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宋体" w:hAnsi="宋体"/>
          <w:spacing w:val="-10"/>
          <w:sz w:val="44"/>
        </w:rPr>
      </w:pPr>
    </w:p>
    <w:p>
      <w:pPr>
        <w:spacing w:line="560" w:lineRule="exact"/>
        <w:jc w:val="center"/>
        <w:rPr>
          <w:rFonts w:hint="eastAsia" w:asciiTheme="majorEastAsia" w:hAnsiTheme="majorEastAsia" w:eastAsiaTheme="majorEastAsia"/>
          <w:b/>
          <w:spacing w:val="-10"/>
          <w:sz w:val="44"/>
          <w:szCs w:val="44"/>
        </w:rPr>
      </w:pPr>
      <w:r>
        <w:rPr>
          <w:rFonts w:hint="eastAsia" w:asciiTheme="majorEastAsia" w:hAnsiTheme="majorEastAsia" w:eastAsiaTheme="majorEastAsia"/>
          <w:b/>
          <w:spacing w:val="-10"/>
          <w:sz w:val="44"/>
          <w:szCs w:val="44"/>
        </w:rPr>
        <w:t>即墨区交通运输局</w:t>
      </w:r>
    </w:p>
    <w:p>
      <w:pPr>
        <w:spacing w:line="560" w:lineRule="exact"/>
        <w:jc w:val="center"/>
        <w:rPr>
          <w:rFonts w:hint="eastAsia" w:asciiTheme="majorEastAsia" w:hAnsiTheme="majorEastAsia" w:eastAsiaTheme="majorEastAsia"/>
          <w:b/>
          <w:spacing w:val="-10"/>
          <w:sz w:val="44"/>
          <w:szCs w:val="44"/>
        </w:rPr>
      </w:pPr>
      <w:r>
        <w:rPr>
          <w:rFonts w:hint="eastAsia" w:asciiTheme="majorEastAsia" w:hAnsiTheme="majorEastAsia" w:eastAsiaTheme="majorEastAsia"/>
          <w:b/>
          <w:spacing w:val="-10"/>
          <w:sz w:val="44"/>
          <w:szCs w:val="44"/>
        </w:rPr>
        <w:t>关于对区</w:t>
      </w:r>
      <w:r>
        <w:rPr>
          <w:rFonts w:asciiTheme="majorEastAsia" w:hAnsiTheme="majorEastAsia" w:eastAsiaTheme="majorEastAsia"/>
          <w:b/>
          <w:spacing w:val="-10"/>
          <w:sz w:val="44"/>
          <w:szCs w:val="44"/>
        </w:rPr>
        <w:t>十八届人大</w:t>
      </w:r>
      <w:r>
        <w:rPr>
          <w:rFonts w:hint="eastAsia" w:asciiTheme="majorEastAsia" w:hAnsiTheme="majorEastAsia" w:eastAsiaTheme="majorEastAsia"/>
          <w:b/>
          <w:spacing w:val="-10"/>
          <w:sz w:val="44"/>
          <w:szCs w:val="44"/>
        </w:rPr>
        <w:t>五</w:t>
      </w:r>
      <w:r>
        <w:rPr>
          <w:rFonts w:asciiTheme="majorEastAsia" w:hAnsiTheme="majorEastAsia" w:eastAsiaTheme="majorEastAsia"/>
          <w:b/>
          <w:spacing w:val="-10"/>
          <w:sz w:val="44"/>
          <w:szCs w:val="44"/>
        </w:rPr>
        <w:t>次会议</w:t>
      </w:r>
      <w:r>
        <w:rPr>
          <w:rFonts w:hint="eastAsia" w:asciiTheme="majorEastAsia" w:hAnsiTheme="majorEastAsia" w:eastAsiaTheme="majorEastAsia"/>
          <w:b/>
          <w:spacing w:val="-10"/>
          <w:sz w:val="44"/>
          <w:szCs w:val="44"/>
        </w:rPr>
        <w:t>第47号</w:t>
      </w:r>
    </w:p>
    <w:p>
      <w:pPr>
        <w:spacing w:line="560" w:lineRule="exact"/>
        <w:jc w:val="center"/>
        <w:rPr>
          <w:rFonts w:asciiTheme="majorEastAsia" w:hAnsiTheme="majorEastAsia" w:eastAsiaTheme="majorEastAsia"/>
          <w:b/>
          <w:spacing w:val="-10"/>
          <w:sz w:val="44"/>
          <w:szCs w:val="44"/>
        </w:rPr>
      </w:pPr>
      <w:r>
        <w:rPr>
          <w:rFonts w:hint="eastAsia" w:asciiTheme="majorEastAsia" w:hAnsiTheme="majorEastAsia" w:eastAsiaTheme="majorEastAsia"/>
          <w:b/>
          <w:spacing w:val="-10"/>
          <w:sz w:val="44"/>
          <w:szCs w:val="44"/>
        </w:rPr>
        <w:t>建议的答复</w:t>
      </w:r>
    </w:p>
    <w:p/>
    <w:p>
      <w:pPr>
        <w:spacing w:after="0" w:line="560" w:lineRule="exact"/>
        <w:rPr>
          <w:rFonts w:eastAsia="仿宋_GB2312"/>
          <w:spacing w:val="-6"/>
          <w:sz w:val="32"/>
        </w:rPr>
      </w:pPr>
      <w:r>
        <w:rPr>
          <w:rFonts w:hint="eastAsia" w:eastAsia="仿宋_GB2312"/>
          <w:spacing w:val="-6"/>
          <w:sz w:val="32"/>
        </w:rPr>
        <w:t>王恩辉代表：</w:t>
      </w:r>
    </w:p>
    <w:p>
      <w:pPr>
        <w:spacing w:after="0" w:line="560" w:lineRule="exact"/>
        <w:ind w:firstLine="616" w:firstLineChars="200"/>
        <w:jc w:val="both"/>
        <w:rPr>
          <w:rFonts w:eastAsia="仿宋_GB2312"/>
          <w:spacing w:val="-6"/>
          <w:sz w:val="32"/>
        </w:rPr>
      </w:pPr>
      <w:r>
        <w:rPr>
          <w:rFonts w:hint="eastAsia" w:eastAsia="仿宋_GB2312"/>
          <w:spacing w:val="-6"/>
          <w:sz w:val="32"/>
        </w:rPr>
        <w:t>您提出的“关于在临近我区地铁站增设公交线路的建议”收悉。现答复如下：</w:t>
      </w:r>
    </w:p>
    <w:p>
      <w:pPr>
        <w:spacing w:after="0" w:line="560" w:lineRule="exact"/>
        <w:ind w:firstLine="616" w:firstLineChars="200"/>
        <w:jc w:val="both"/>
        <w:rPr>
          <w:rFonts w:eastAsia="仿宋_GB2312"/>
          <w:spacing w:val="-6"/>
          <w:sz w:val="32"/>
        </w:rPr>
      </w:pPr>
      <w:r>
        <w:rPr>
          <w:rFonts w:hint="eastAsia" w:eastAsia="仿宋_GB2312"/>
          <w:spacing w:val="-6"/>
          <w:sz w:val="32"/>
        </w:rPr>
        <w:t>为更好的服务市民青岛方向出行，促进即青及周边区市经济、文化交流，2020年12月24日根据地铁1号线（北段）开通，我们积极争取青岛相关部门和周边区市支持，同步调整延伸6条公交线路实现与地铁1号线东郭庄站和青岛农业大学站的无缝衔接，其中7路、13路、29路3条公交线路实现与东郭庄站的无缝衔接；8路、18路、25路3条公交线路实现与青岛农业大学站的无缝衔接。通过近期运营分析，目前上述公交线路已能较好的满足主要客流换乘地铁1号线出行需求。目前，城区公交25路自鼎信水果市场发往地铁1号线青岛农业大学站，途径天山三路、金黄海路、五沽河一路、天山一路等道路，已能较好的满足天山三路周边工业园区广大市民和职工的出行需求。</w:t>
      </w:r>
    </w:p>
    <w:p>
      <w:pPr>
        <w:spacing w:after="0" w:line="560" w:lineRule="exact"/>
        <w:ind w:firstLine="616" w:firstLineChars="200"/>
        <w:jc w:val="both"/>
        <w:rPr>
          <w:rFonts w:eastAsia="仿宋_GB2312"/>
          <w:spacing w:val="-6"/>
          <w:sz w:val="32"/>
        </w:rPr>
      </w:pPr>
      <w:r>
        <w:rPr>
          <w:rFonts w:hint="eastAsia" w:eastAsia="仿宋_GB2312"/>
          <w:spacing w:val="-6"/>
          <w:sz w:val="32"/>
        </w:rPr>
        <w:t>下步，我们将密切跟踪分析地铁1号线客流变化，积极争取青岛相关部门支持，结合地铁运营时间和市民需求实时优化我区公交线网布局和发车班次，更好满足市民出行需求。</w:t>
      </w:r>
    </w:p>
    <w:p>
      <w:pPr>
        <w:spacing w:after="0" w:line="560" w:lineRule="exact"/>
        <w:ind w:firstLine="640" w:firstLineChars="200"/>
        <w:jc w:val="both"/>
        <w:rPr>
          <w:rFonts w:ascii="仿宋_GB2312" w:eastAsia="仿宋_GB2312"/>
          <w:color w:val="000000"/>
          <w:sz w:val="32"/>
          <w:szCs w:val="32"/>
        </w:rPr>
      </w:pPr>
    </w:p>
    <w:p>
      <w:pPr>
        <w:spacing w:after="0" w:line="560" w:lineRule="exact"/>
        <w:ind w:firstLine="640" w:firstLineChars="200"/>
        <w:jc w:val="both"/>
        <w:rPr>
          <w:rFonts w:ascii="仿宋_GB2312" w:eastAsia="仿宋_GB2312"/>
          <w:color w:val="000000"/>
          <w:sz w:val="32"/>
          <w:szCs w:val="32"/>
        </w:rPr>
      </w:pPr>
    </w:p>
    <w:p>
      <w:pPr>
        <w:spacing w:after="0" w:line="560" w:lineRule="exact"/>
        <w:ind w:firstLine="640" w:firstLineChars="200"/>
        <w:jc w:val="both"/>
        <w:rPr>
          <w:rFonts w:ascii="仿宋_GB2312" w:eastAsia="仿宋_GB2312"/>
          <w:color w:val="000000"/>
          <w:sz w:val="32"/>
          <w:szCs w:val="32"/>
        </w:rPr>
      </w:pPr>
    </w:p>
    <w:p>
      <w:pPr>
        <w:spacing w:after="0" w:line="560" w:lineRule="exact"/>
        <w:ind w:firstLine="640" w:firstLineChars="200"/>
        <w:jc w:val="both"/>
        <w:rPr>
          <w:rFonts w:ascii="仿宋_GB2312" w:eastAsia="仿宋_GB2312"/>
          <w:color w:val="000000"/>
          <w:sz w:val="32"/>
          <w:szCs w:val="32"/>
        </w:rPr>
      </w:pPr>
    </w:p>
    <w:p>
      <w:pPr>
        <w:spacing w:after="0" w:line="560" w:lineRule="exact"/>
        <w:rPr>
          <w:rFonts w:eastAsia="仿宋_GB2312"/>
          <w:spacing w:val="-6"/>
          <w:sz w:val="32"/>
        </w:rPr>
      </w:pPr>
      <w:r>
        <w:rPr>
          <w:rFonts w:hint="eastAsia" w:eastAsia="仿宋_GB2312"/>
          <w:b/>
          <w:spacing w:val="-6"/>
          <w:sz w:val="32"/>
        </w:rPr>
        <w:t xml:space="preserve">                                                                   </w:t>
      </w:r>
      <w:r>
        <w:rPr>
          <w:rFonts w:hint="eastAsia" w:eastAsia="仿宋_GB2312"/>
          <w:spacing w:val="-6"/>
          <w:sz w:val="32"/>
        </w:rPr>
        <w:t>（单位印章）</w:t>
      </w:r>
    </w:p>
    <w:p>
      <w:pPr>
        <w:spacing w:after="0" w:line="560" w:lineRule="exact"/>
        <w:rPr>
          <w:rFonts w:eastAsia="仿宋_GB2312"/>
          <w:spacing w:val="-6"/>
          <w:sz w:val="32"/>
        </w:rPr>
      </w:pPr>
      <w:r>
        <w:rPr>
          <w:rFonts w:hint="eastAsia" w:eastAsia="仿宋_GB2312"/>
          <w:spacing w:val="-6"/>
          <w:sz w:val="32"/>
        </w:rPr>
        <w:t xml:space="preserve">                                                             2021年5月14日</w:t>
      </w:r>
    </w:p>
    <w:p>
      <w:pPr>
        <w:spacing w:line="220" w:lineRule="atLeast"/>
      </w:pPr>
      <w:bookmarkStart w:id="0" w:name="_GoBack"/>
      <w:bookmarkEnd w:id="0"/>
    </w:p>
    <w:sectPr>
      <w:pgSz w:w="11906" w:h="16838"/>
      <w:pgMar w:top="1440" w:right="1304" w:bottom="1440" w:left="1304"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roma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27D1C"/>
    <w:rsid w:val="000A6962"/>
    <w:rsid w:val="000A7300"/>
    <w:rsid w:val="000E2AAE"/>
    <w:rsid w:val="00152D84"/>
    <w:rsid w:val="0028621A"/>
    <w:rsid w:val="002A5200"/>
    <w:rsid w:val="002F74DC"/>
    <w:rsid w:val="00323B43"/>
    <w:rsid w:val="003800EC"/>
    <w:rsid w:val="003A681C"/>
    <w:rsid w:val="003D37D8"/>
    <w:rsid w:val="003F5CD1"/>
    <w:rsid w:val="00426133"/>
    <w:rsid w:val="004358AB"/>
    <w:rsid w:val="00485B33"/>
    <w:rsid w:val="004B7EF7"/>
    <w:rsid w:val="00534ED8"/>
    <w:rsid w:val="00583FB3"/>
    <w:rsid w:val="005926ED"/>
    <w:rsid w:val="00664323"/>
    <w:rsid w:val="00666A50"/>
    <w:rsid w:val="007A724F"/>
    <w:rsid w:val="00873EFF"/>
    <w:rsid w:val="008B7726"/>
    <w:rsid w:val="00903436"/>
    <w:rsid w:val="00962015"/>
    <w:rsid w:val="009912F6"/>
    <w:rsid w:val="009F3C92"/>
    <w:rsid w:val="00AF35B3"/>
    <w:rsid w:val="00B3715B"/>
    <w:rsid w:val="00C46839"/>
    <w:rsid w:val="00C707A0"/>
    <w:rsid w:val="00C80025"/>
    <w:rsid w:val="00D105FC"/>
    <w:rsid w:val="00D14FD5"/>
    <w:rsid w:val="00D31D50"/>
    <w:rsid w:val="00D35B87"/>
    <w:rsid w:val="00E12197"/>
    <w:rsid w:val="00F53923"/>
    <w:rsid w:val="3B527F8E"/>
    <w:rsid w:val="3DEC5D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Date"/>
    <w:basedOn w:val="1"/>
    <w:next w:val="1"/>
    <w:link w:val="9"/>
    <w:semiHidden/>
    <w:uiPriority w:val="0"/>
    <w:pPr>
      <w:widowControl w:val="0"/>
      <w:adjustRightInd/>
      <w:snapToGrid/>
      <w:spacing w:after="0"/>
      <w:jc w:val="both"/>
    </w:pPr>
    <w:rPr>
      <w:rFonts w:ascii="Times New Roman" w:hAnsi="Times New Roman" w:eastAsia="宋体" w:cs="Times New Roman"/>
      <w:kern w:val="2"/>
      <w:sz w:val="32"/>
      <w:szCs w:val="20"/>
    </w:rPr>
  </w:style>
  <w:style w:type="paragraph" w:styleId="3">
    <w:name w:val="footer"/>
    <w:basedOn w:val="1"/>
    <w:link w:val="8"/>
    <w:semiHidden/>
    <w:unhideWhenUsed/>
    <w:uiPriority w:val="99"/>
    <w:pPr>
      <w:tabs>
        <w:tab w:val="center" w:pos="4153"/>
        <w:tab w:val="right" w:pos="8306"/>
      </w:tabs>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jc w:val="center"/>
    </w:pPr>
    <w:rPr>
      <w:sz w:val="18"/>
      <w:szCs w:val="18"/>
    </w:rPr>
  </w:style>
  <w:style w:type="character" w:customStyle="1" w:styleId="7">
    <w:name w:val="页眉 Char"/>
    <w:basedOn w:val="5"/>
    <w:link w:val="4"/>
    <w:semiHidden/>
    <w:uiPriority w:val="99"/>
    <w:rPr>
      <w:rFonts w:ascii="Tahoma" w:hAnsi="Tahoma"/>
      <w:sz w:val="18"/>
      <w:szCs w:val="18"/>
    </w:rPr>
  </w:style>
  <w:style w:type="character" w:customStyle="1" w:styleId="8">
    <w:name w:val="页脚 Char"/>
    <w:basedOn w:val="5"/>
    <w:link w:val="3"/>
    <w:semiHidden/>
    <w:qFormat/>
    <w:uiPriority w:val="99"/>
    <w:rPr>
      <w:rFonts w:ascii="Tahoma" w:hAnsi="Tahoma"/>
      <w:sz w:val="18"/>
      <w:szCs w:val="18"/>
    </w:rPr>
  </w:style>
  <w:style w:type="character" w:customStyle="1" w:styleId="9">
    <w:name w:val="日期 Char"/>
    <w:basedOn w:val="5"/>
    <w:link w:val="2"/>
    <w:semiHidden/>
    <w:uiPriority w:val="0"/>
    <w:rPr>
      <w:rFonts w:ascii="Times New Roman" w:hAnsi="Times New Roman" w:eastAsia="宋体" w:cs="Times New Roman"/>
      <w:kern w:val="2"/>
      <w:sz w:val="32"/>
      <w:szCs w:val="20"/>
    </w:rPr>
  </w:style>
  <w:style w:type="character" w:customStyle="1" w:styleId="10">
    <w:name w:val="fontstyle01"/>
    <w:basedOn w:val="5"/>
    <w:uiPriority w:val="0"/>
    <w:rPr>
      <w:rFonts w:hint="default" w:ascii="仿宋" w:hAnsi="仿宋"/>
      <w:color w:val="00000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100</Words>
  <Characters>574</Characters>
  <Lines>4</Lines>
  <Paragraphs>1</Paragraphs>
  <TotalTime>106</TotalTime>
  <ScaleCrop>false</ScaleCrop>
  <LinksUpToDate>false</LinksUpToDate>
  <CharactersWithSpaces>673</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2021-10-13T11:36:07Z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