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</w:rPr>
      </w:pPr>
      <w:r>
        <w:rPr>
          <w:rFonts w:hint="eastAsia" w:ascii="方正小标宋_GBK" w:hAnsi="方正小标宋_GBK" w:eastAsia="方正小标宋_GBK" w:cs="方正小标宋_GBK"/>
          <w:sz w:val="44"/>
        </w:rPr>
        <w:t>青岛市即墨区农业农村局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b/>
          <w:sz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</w:rPr>
        <w:t>关于对</w:t>
      </w:r>
      <w:r>
        <w:rPr>
          <w:rFonts w:hint="eastAsia" w:ascii="方正小标宋_GBK" w:hAnsi="方正小标宋_GBK" w:eastAsia="方正小标宋_GBK" w:cs="方正小标宋_GBK"/>
          <w:sz w:val="44"/>
          <w:lang w:val="en-US" w:eastAsia="zh-CN"/>
        </w:rPr>
        <w:t>即墨区</w:t>
      </w:r>
      <w:r>
        <w:rPr>
          <w:rFonts w:hint="eastAsia" w:ascii="方正小标宋_GBK" w:hAnsi="方正小标宋_GBK" w:eastAsia="方正小标宋_GBK" w:cs="方正小标宋_GBK"/>
          <w:sz w:val="44"/>
        </w:rPr>
        <w:t>第十八届人大第</w:t>
      </w:r>
      <w:r>
        <w:rPr>
          <w:rFonts w:hint="eastAsia" w:ascii="方正小标宋_GBK" w:hAnsi="方正小标宋_GBK" w:eastAsia="方正小标宋_GBK" w:cs="方正小标宋_GBK"/>
          <w:sz w:val="44"/>
          <w:lang w:val="en-US" w:eastAsia="zh-CN"/>
        </w:rPr>
        <w:t>四</w:t>
      </w:r>
      <w:r>
        <w:rPr>
          <w:rFonts w:hint="eastAsia" w:ascii="方正小标宋_GBK" w:hAnsi="方正小标宋_GBK" w:eastAsia="方正小标宋_GBK" w:cs="方正小标宋_GBK"/>
          <w:sz w:val="44"/>
        </w:rPr>
        <w:t>次会议第</w:t>
      </w:r>
      <w:r>
        <w:rPr>
          <w:rFonts w:hint="eastAsia" w:ascii="方正小标宋_GBK" w:hAnsi="方正小标宋_GBK" w:eastAsia="方正小标宋_GBK" w:cs="方正小标宋_GBK"/>
          <w:sz w:val="44"/>
          <w:lang w:val="en-US" w:eastAsia="zh-CN"/>
        </w:rPr>
        <w:t>69</w:t>
      </w:r>
      <w:r>
        <w:rPr>
          <w:rFonts w:hint="eastAsia" w:ascii="方正小标宋_GBK" w:hAnsi="方正小标宋_GBK" w:eastAsia="方正小标宋_GBK" w:cs="方正小标宋_GBK"/>
          <w:sz w:val="44"/>
        </w:rPr>
        <w:t>号建议的答复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napToGrid w:val="0"/>
          <w:kern w:val="0"/>
          <w:sz w:val="32"/>
        </w:rPr>
      </w:pPr>
      <w:r>
        <w:rPr>
          <w:rFonts w:hint="eastAsia" w:ascii="仿宋_GB2312" w:eastAsia="仿宋_GB2312"/>
          <w:snapToGrid w:val="0"/>
          <w:kern w:val="0"/>
          <w:sz w:val="32"/>
          <w:lang w:eastAsia="zh-CN"/>
        </w:rPr>
        <w:t>江联世</w:t>
      </w:r>
      <w:r>
        <w:rPr>
          <w:rFonts w:hint="eastAsia" w:ascii="仿宋_GB2312" w:eastAsia="仿宋_GB2312"/>
          <w:snapToGrid w:val="0"/>
          <w:kern w:val="0"/>
          <w:sz w:val="32"/>
        </w:rPr>
        <w:t>代表：</w:t>
      </w:r>
    </w:p>
    <w:p>
      <w:pPr>
        <w:spacing w:line="560" w:lineRule="exact"/>
        <w:ind w:firstLine="640" w:firstLineChars="200"/>
        <w:rPr>
          <w:rFonts w:ascii="仿宋_GB2312" w:eastAsia="仿宋_GB2312"/>
          <w:snapToGrid w:val="0"/>
          <w:kern w:val="0"/>
          <w:sz w:val="32"/>
        </w:rPr>
      </w:pPr>
      <w:r>
        <w:rPr>
          <w:rFonts w:hint="eastAsia" w:ascii="仿宋_GB2312" w:eastAsia="仿宋_GB2312"/>
          <w:snapToGrid w:val="0"/>
          <w:kern w:val="0"/>
          <w:sz w:val="32"/>
        </w:rPr>
        <w:t>您提出的“关于提升农村人居环境的建议”收悉。现答复如下：</w:t>
      </w:r>
    </w:p>
    <w:p>
      <w:pPr>
        <w:ind w:firstLine="616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lang w:val="en-US" w:eastAsia="zh-CN"/>
        </w:rPr>
        <w:t>2021年，我区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进一步巩固农村人居环境整治三年行动成效基础上，把农村人居环境整治提升作为全面推进乡村振兴的重要抓手，以开展“共建清洁家园，喜迎建党百年”活动为契机，以党建为引领，以建设美丽宜居乡村为目标，以农村改厕、垃圾处理、污水治理和村容村貌提升为主攻方向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开展农村人居环境整治提升工作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一、印发了《青岛市即墨区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农村人居环境整治提升工作实施方案》。</w:t>
      </w: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一是</w:t>
      </w:r>
      <w:r>
        <w:rPr>
          <w:rFonts w:hint="eastAsia" w:ascii="仿宋_GB2312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盯紧</w:t>
      </w: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清脏治污。</w:t>
      </w:r>
      <w:r>
        <w:rPr>
          <w:rFonts w:hint="eastAsia" w:ascii="仿宋_GB2312" w:hAnsi="Calibri" w:eastAsia="仿宋_GB2312" w:cs="Times New Roman"/>
          <w:b w:val="0"/>
          <w:color w:val="000000"/>
          <w:kern w:val="2"/>
          <w:sz w:val="32"/>
          <w:szCs w:val="32"/>
          <w:lang w:val="en-US" w:eastAsia="zh-CN" w:bidi="ar-SA"/>
        </w:rPr>
        <w:t>集中开展农村垃圾综合治理和生活污水治理工作，加强对村庄内外生产生活垃圾、“四大堆”、积存杂物、卫生死角和污水的集中清理。</w:t>
      </w:r>
      <w:r>
        <w:rPr>
          <w:rFonts w:hint="eastAsia" w:ascii="仿宋_GB2312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二是盯紧厕所改造提升</w:t>
      </w:r>
      <w:r>
        <w:rPr>
          <w:rFonts w:hint="eastAsia" w:ascii="仿宋_GB2312" w:eastAsia="仿宋_GB2312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eastAsia="仿宋_GB2312" w:cs="Times New Roman"/>
          <w:b w:val="0"/>
          <w:color w:val="000000"/>
          <w:kern w:val="2"/>
          <w:sz w:val="32"/>
          <w:szCs w:val="32"/>
          <w:lang w:val="en-US" w:eastAsia="zh-CN" w:bidi="ar-SA"/>
        </w:rPr>
        <w:t>确保做到问题整改到位、后期管护到位、300户以上村庄公厕覆盖到位。</w:t>
      </w:r>
      <w:r>
        <w:rPr>
          <w:rFonts w:hint="eastAsia" w:ascii="仿宋_GB2312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三</w:t>
      </w: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是</w:t>
      </w:r>
      <w:r>
        <w:rPr>
          <w:rFonts w:hint="eastAsia" w:ascii="仿宋_GB2312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盯紧增绿</w:t>
      </w: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美化。</w:t>
      </w:r>
      <w:r>
        <w:rPr>
          <w:rFonts w:hint="eastAsia" w:ascii="仿宋_GB2312" w:hAnsi="Calibri" w:eastAsia="仿宋_GB2312" w:cs="Times New Roman"/>
          <w:b w:val="0"/>
          <w:color w:val="000000"/>
          <w:kern w:val="2"/>
          <w:sz w:val="32"/>
          <w:szCs w:val="32"/>
          <w:lang w:val="en-US" w:eastAsia="zh-CN" w:bidi="ar-SA"/>
        </w:rPr>
        <w:t>充分利用村内、村庄周边空闲地，推进村庄增绿。加强农村公共空间整治，清理墙体电线杆乱贴乱画等问题，打造墙体文化，提升村庄整体美感</w:t>
      </w:r>
      <w:r>
        <w:rPr>
          <w:rFonts w:hint="eastAsia" w:ascii="仿宋_GB2312" w:hAnsi="Calibri" w:eastAsia="仿宋_GB2312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四</w:t>
      </w: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是</w:t>
      </w:r>
      <w:r>
        <w:rPr>
          <w:rFonts w:hint="eastAsia" w:ascii="仿宋_GB2312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盯紧</w:t>
      </w: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设施建设。</w:t>
      </w:r>
      <w:r>
        <w:rPr>
          <w:rFonts w:hint="eastAsia" w:ascii="仿宋_GB2312" w:hAnsi="Calibri" w:eastAsia="仿宋_GB2312" w:cs="Times New Roman"/>
          <w:b w:val="0"/>
          <w:color w:val="000000"/>
          <w:kern w:val="2"/>
          <w:sz w:val="32"/>
          <w:szCs w:val="32"/>
          <w:lang w:val="en-US" w:eastAsia="zh-CN" w:bidi="ar-SA"/>
        </w:rPr>
        <w:t>全面加强农村水、电、路、气、暖等基础设施建设提升工程，全面提升村容村貌品质。</w:t>
      </w:r>
      <w:r>
        <w:rPr>
          <w:rFonts w:hint="eastAsia" w:ascii="仿宋_GB2312" w:hAnsi="Calibri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五是</w:t>
      </w:r>
      <w:r>
        <w:rPr>
          <w:rFonts w:hint="eastAsia" w:ascii="仿宋_GB2312" w:eastAsia="仿宋_GB2312" w:cs="Times New Roman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盯紧参与意识</w:t>
      </w:r>
      <w:r>
        <w:rPr>
          <w:rFonts w:hint="eastAsia" w:ascii="仿宋_GB2312" w:hAnsi="Calibri" w:eastAsia="仿宋_GB2312" w:cs="Times New Roman"/>
          <w:b/>
          <w:bCs/>
          <w:color w:val="000000"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通过组织开展美丽庭院评选、环境卫生红黑榜、村规民约约束引导等活动，充分调动群众积极性和主动性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统筹协调区住建局、水利局、青岛生态环境局即墨分局、妇联等部门专项推进农村环境治理，按照实施方案职责分工，密切协作配合，共同抓好协调实施，建立了镇街主体责任、社区党委和村“两委”直接责任、相关部门联动的各负其责、齐抓共管的农村人居环境整治工作机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default" w:ascii="仿宋_GB2312" w:hAnsi="Calibri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三、</w:t>
      </w:r>
      <w:r>
        <w:rPr>
          <w:rFonts w:hint="eastAsia" w:ascii="仿宋_GB2312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开展</w:t>
      </w:r>
      <w:r>
        <w:rPr>
          <w:rFonts w:hint="eastAsia" w:ascii="仿宋_GB2312" w:hAnsi="Calibri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每月</w:t>
      </w:r>
      <w:r>
        <w:rPr>
          <w:rFonts w:hint="eastAsia" w:ascii="仿宋_GB2312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检</w:t>
      </w:r>
      <w:r>
        <w:rPr>
          <w:rFonts w:hint="eastAsia" w:ascii="仿宋_GB2312" w:hAnsi="Calibri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查排名</w:t>
      </w:r>
      <w:r>
        <w:rPr>
          <w:rFonts w:hint="eastAsia" w:ascii="仿宋_GB2312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、季度全覆盖排名</w:t>
      </w:r>
      <w:r>
        <w:rPr>
          <w:rFonts w:hint="eastAsia" w:ascii="仿宋_GB2312" w:hAnsi="Calibri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和聘请第三方每季度随机抽查暗访相结合，</w:t>
      </w:r>
      <w:r>
        <w:rPr>
          <w:rFonts w:hint="eastAsia" w:ascii="仿宋_GB2312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多措并举</w:t>
      </w:r>
      <w:r>
        <w:rPr>
          <w:rFonts w:hint="eastAsia" w:ascii="仿宋_GB2312" w:hAnsi="Calibri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确保工作抓实抓细抓常，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促进全区农村人居环境整治提升的任务目标落地落实。</w:t>
      </w:r>
      <w:r>
        <w:rPr>
          <w:rFonts w:hint="eastAsia" w:ascii="仿宋_GB2312" w:hAnsi="Calibri" w:eastAsia="仿宋_GB2312" w:cs="Times New Roman"/>
          <w:b w:val="0"/>
          <w:color w:val="auto"/>
          <w:kern w:val="2"/>
          <w:sz w:val="32"/>
          <w:szCs w:val="32"/>
          <w:lang w:val="en-US" w:eastAsia="zh-CN" w:bidi="ar-SA"/>
        </w:rPr>
        <w:t>并切块环卫一体化1000万奖补资金，专门用于奖补农村人居环境考核先进镇街和先进村。</w:t>
      </w:r>
    </w:p>
    <w:p>
      <w:pPr>
        <w:spacing w:line="560" w:lineRule="exact"/>
        <w:ind w:firstLine="5120" w:firstLineChars="1600"/>
        <w:rPr>
          <w:rFonts w:hint="eastAsia" w:ascii="仿宋_GB2312" w:eastAsia="仿宋_GB2312"/>
          <w:snapToGrid w:val="0"/>
          <w:kern w:val="0"/>
          <w:sz w:val="32"/>
        </w:rPr>
      </w:pPr>
    </w:p>
    <w:p>
      <w:pPr>
        <w:spacing w:line="560" w:lineRule="exact"/>
        <w:ind w:firstLine="5120" w:firstLineChars="1600"/>
        <w:rPr>
          <w:rFonts w:hint="eastAsia" w:ascii="仿宋_GB2312" w:eastAsia="仿宋_GB2312"/>
          <w:snapToGrid w:val="0"/>
          <w:kern w:val="0"/>
          <w:sz w:val="32"/>
        </w:rPr>
      </w:pPr>
    </w:p>
    <w:p>
      <w:pPr>
        <w:spacing w:line="560" w:lineRule="exact"/>
        <w:ind w:firstLine="5120" w:firstLineChars="1600"/>
        <w:rPr>
          <w:rFonts w:ascii="仿宋_GB2312" w:eastAsia="仿宋_GB2312"/>
          <w:snapToGrid w:val="0"/>
          <w:kern w:val="0"/>
          <w:sz w:val="32"/>
        </w:rPr>
      </w:pPr>
      <w:r>
        <w:rPr>
          <w:rFonts w:hint="eastAsia" w:ascii="仿宋_GB2312" w:eastAsia="仿宋_GB2312"/>
          <w:snapToGrid w:val="0"/>
          <w:kern w:val="0"/>
          <w:sz w:val="32"/>
        </w:rPr>
        <w:t>青岛市即墨区农业农村局</w:t>
      </w:r>
    </w:p>
    <w:p>
      <w:pPr>
        <w:spacing w:line="560" w:lineRule="exact"/>
        <w:ind w:firstLine="5760" w:firstLineChars="1800"/>
        <w:rPr>
          <w:rFonts w:ascii="仿宋_GB2312" w:eastAsia="仿宋_GB2312"/>
          <w:snapToGrid w:val="0"/>
          <w:kern w:val="0"/>
          <w:sz w:val="32"/>
        </w:rPr>
      </w:pPr>
      <w:r>
        <w:rPr>
          <w:rFonts w:hint="eastAsia" w:ascii="仿宋_GB2312" w:eastAsia="仿宋_GB2312"/>
          <w:snapToGrid w:val="0"/>
          <w:kern w:val="0"/>
          <w:sz w:val="32"/>
        </w:rPr>
        <w:t>2021年5月</w:t>
      </w:r>
      <w:r>
        <w:rPr>
          <w:rFonts w:hint="eastAsia" w:ascii="仿宋_GB2312" w:eastAsia="仿宋_GB2312"/>
          <w:snapToGrid w:val="0"/>
          <w:kern w:val="0"/>
          <w:sz w:val="32"/>
          <w:lang w:val="en-US" w:eastAsia="zh-CN"/>
        </w:rPr>
        <w:t>19</w:t>
      </w:r>
      <w:r>
        <w:rPr>
          <w:rFonts w:hint="eastAsia" w:ascii="仿宋_GB2312" w:eastAsia="仿宋_GB2312"/>
          <w:snapToGrid w:val="0"/>
          <w:kern w:val="0"/>
          <w:sz w:val="32"/>
        </w:rPr>
        <w:t>日</w:t>
      </w:r>
    </w:p>
    <w:p>
      <w:pPr>
        <w:spacing w:line="560" w:lineRule="exact"/>
        <w:rPr>
          <w:rFonts w:hint="eastAsia" w:ascii="仿宋_GB2312" w:eastAsia="仿宋_GB2312"/>
          <w:snapToGrid w:val="0"/>
          <w:kern w:val="0"/>
          <w:sz w:val="32"/>
        </w:rPr>
      </w:pPr>
    </w:p>
    <w:p>
      <w:pPr>
        <w:spacing w:line="560" w:lineRule="exact"/>
        <w:rPr>
          <w:rFonts w:ascii="仿宋_GB2312" w:eastAsia="仿宋_GB2312"/>
          <w:snapToGrid w:val="0"/>
          <w:kern w:val="0"/>
          <w:sz w:val="32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8293002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5"/>
          <w:jc w:val="right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48293003"/>
    </w:sdtPr>
    <w:sdtContent>
      <w:p>
        <w:pPr>
          <w:pStyle w:val="5"/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EC45D0"/>
    <w:rsid w:val="00083C66"/>
    <w:rsid w:val="00137262"/>
    <w:rsid w:val="001A2767"/>
    <w:rsid w:val="001A632D"/>
    <w:rsid w:val="001E4A20"/>
    <w:rsid w:val="002E34A3"/>
    <w:rsid w:val="003D73F5"/>
    <w:rsid w:val="00470C67"/>
    <w:rsid w:val="004E0426"/>
    <w:rsid w:val="004F5F0F"/>
    <w:rsid w:val="00543B4D"/>
    <w:rsid w:val="0061316A"/>
    <w:rsid w:val="00616067"/>
    <w:rsid w:val="00654751"/>
    <w:rsid w:val="00663662"/>
    <w:rsid w:val="006637D1"/>
    <w:rsid w:val="00730511"/>
    <w:rsid w:val="007A21BB"/>
    <w:rsid w:val="007D371F"/>
    <w:rsid w:val="00817F03"/>
    <w:rsid w:val="00885C95"/>
    <w:rsid w:val="008B76AC"/>
    <w:rsid w:val="009260ED"/>
    <w:rsid w:val="009E2C1E"/>
    <w:rsid w:val="00B4680D"/>
    <w:rsid w:val="00BB056E"/>
    <w:rsid w:val="00C35722"/>
    <w:rsid w:val="00CF309D"/>
    <w:rsid w:val="00E44468"/>
    <w:rsid w:val="00E96F71"/>
    <w:rsid w:val="00F2707F"/>
    <w:rsid w:val="00F31351"/>
    <w:rsid w:val="00F351CE"/>
    <w:rsid w:val="00FC1333"/>
    <w:rsid w:val="00FE3947"/>
    <w:rsid w:val="02E75669"/>
    <w:rsid w:val="030E4812"/>
    <w:rsid w:val="03493838"/>
    <w:rsid w:val="0B920786"/>
    <w:rsid w:val="101F4418"/>
    <w:rsid w:val="14843B7C"/>
    <w:rsid w:val="17E35452"/>
    <w:rsid w:val="198B3CA8"/>
    <w:rsid w:val="276C3963"/>
    <w:rsid w:val="29B02AEA"/>
    <w:rsid w:val="2A4C7BDF"/>
    <w:rsid w:val="2E8C6F74"/>
    <w:rsid w:val="345F542C"/>
    <w:rsid w:val="37861EDD"/>
    <w:rsid w:val="3DEC45D0"/>
    <w:rsid w:val="52D07E73"/>
    <w:rsid w:val="547E6A6B"/>
    <w:rsid w:val="55D74AFA"/>
    <w:rsid w:val="5A694FA3"/>
    <w:rsid w:val="5AAC7B81"/>
    <w:rsid w:val="5AF27F63"/>
    <w:rsid w:val="5D952989"/>
    <w:rsid w:val="64BB0CC5"/>
    <w:rsid w:val="708848E7"/>
    <w:rsid w:val="70C749E8"/>
    <w:rsid w:val="72696F82"/>
    <w:rsid w:val="732B0290"/>
    <w:rsid w:val="77627A25"/>
    <w:rsid w:val="7AAB1537"/>
    <w:rsid w:val="7C1C0D92"/>
    <w:rsid w:val="7E1C3548"/>
    <w:rsid w:val="7E7F21E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Date"/>
    <w:basedOn w:val="1"/>
    <w:next w:val="1"/>
    <w:semiHidden/>
    <w:qFormat/>
    <w:uiPriority w:val="0"/>
    <w:rPr>
      <w:sz w:val="32"/>
      <w:szCs w:val="20"/>
    </w:r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9">
    <w:name w:val="页脚 Char"/>
    <w:basedOn w:val="7"/>
    <w:link w:val="5"/>
    <w:qFormat/>
    <w:uiPriority w:val="99"/>
    <w:rPr>
      <w:kern w:val="2"/>
      <w:sz w:val="18"/>
      <w:szCs w:val="24"/>
    </w:rPr>
  </w:style>
  <w:style w:type="character" w:customStyle="1" w:styleId="10">
    <w:name w:val="批注框文本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212</Words>
  <Characters>1214</Characters>
  <Lines>10</Lines>
  <Paragraphs>2</Paragraphs>
  <TotalTime>4</TotalTime>
  <ScaleCrop>false</ScaleCrop>
  <LinksUpToDate>false</LinksUpToDate>
  <CharactersWithSpaces>1424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2021-05-11T06:45:00Z</dcterms:created>
  <dc:creator>农业技术推广站</dc:creator>
  <cp:lastModifiedBy>Administrator</cp:lastModifiedBy>
  <cp:lastPrinted>2020-09-22T02:20:00Z</cp:lastPrinted>
  <dcterms:modified xsi:type="dcterms:W3CDTF">2021-10-13T12:17:02Z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2BA39DEE1FB84DBB8B31BC86AB359AD5</vt:lpwstr>
  </property>
</Properties>
</file>