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rPr>
          <w:rFonts w:ascii="黑体" w:eastAsia="黑体"/>
          <w:sz w:val="28"/>
        </w:rPr>
      </w:pPr>
    </w:p>
    <w:p>
      <w:pPr>
        <w:spacing w:line="520" w:lineRule="exact"/>
        <w:jc w:val="center"/>
        <w:rPr>
          <w:rFonts w:hint="eastAsia" w:asciiTheme="majorEastAsia" w:hAnsiTheme="majorEastAsia" w:eastAsiaTheme="majorEastAsia"/>
          <w:b/>
          <w:spacing w:val="-10"/>
          <w:sz w:val="44"/>
          <w:lang w:val="en-US" w:eastAsia="zh-CN"/>
        </w:rPr>
      </w:pPr>
      <w:r>
        <w:rPr>
          <w:rFonts w:hint="eastAsia" w:asciiTheme="majorEastAsia" w:hAnsiTheme="majorEastAsia" w:eastAsiaTheme="majorEastAsia"/>
          <w:b/>
          <w:spacing w:val="-10"/>
          <w:sz w:val="44"/>
          <w:lang w:val="en-US" w:eastAsia="zh-CN"/>
        </w:rPr>
        <w:t>青岛市即墨区温泉街道办事处</w:t>
      </w:r>
    </w:p>
    <w:p>
      <w:pPr>
        <w:spacing w:line="520" w:lineRule="exact"/>
        <w:jc w:val="center"/>
        <w:rPr>
          <w:rFonts w:hint="eastAsia" w:asciiTheme="majorEastAsia" w:hAnsiTheme="majorEastAsia" w:eastAsiaTheme="majorEastAsia"/>
          <w:b/>
          <w:spacing w:val="-10"/>
          <w:sz w:val="44"/>
        </w:rPr>
      </w:pPr>
      <w:bookmarkStart w:id="0" w:name="_GoBack"/>
      <w:bookmarkEnd w:id="0"/>
      <w:r>
        <w:rPr>
          <w:rFonts w:hint="eastAsia" w:asciiTheme="majorEastAsia" w:hAnsiTheme="majorEastAsia" w:eastAsiaTheme="majorEastAsia"/>
          <w:b/>
          <w:spacing w:val="-10"/>
          <w:sz w:val="44"/>
        </w:rPr>
        <w:t>关于对区十八届人大</w:t>
      </w:r>
      <w:r>
        <w:rPr>
          <w:rFonts w:hint="eastAsia" w:asciiTheme="majorEastAsia" w:hAnsiTheme="majorEastAsia" w:eastAsiaTheme="majorEastAsia"/>
          <w:b/>
          <w:spacing w:val="-10"/>
          <w:sz w:val="44"/>
          <w:lang w:val="en-US" w:eastAsia="zh-CN"/>
        </w:rPr>
        <w:t>第五</w:t>
      </w:r>
      <w:r>
        <w:rPr>
          <w:rFonts w:hint="eastAsia" w:asciiTheme="majorEastAsia" w:hAnsiTheme="majorEastAsia" w:eastAsiaTheme="majorEastAsia"/>
          <w:b/>
          <w:spacing w:val="-10"/>
          <w:sz w:val="44"/>
        </w:rPr>
        <w:t>次会议第</w:t>
      </w:r>
      <w:r>
        <w:rPr>
          <w:rFonts w:hint="eastAsia" w:asciiTheme="majorEastAsia" w:hAnsiTheme="majorEastAsia" w:eastAsiaTheme="majorEastAsia"/>
          <w:b/>
          <w:spacing w:val="-10"/>
          <w:sz w:val="44"/>
          <w:lang w:val="en-US" w:eastAsia="zh-CN"/>
        </w:rPr>
        <w:t>70</w:t>
      </w:r>
      <w:r>
        <w:rPr>
          <w:rFonts w:hint="eastAsia" w:asciiTheme="majorEastAsia" w:hAnsiTheme="majorEastAsia" w:eastAsiaTheme="majorEastAsia"/>
          <w:b/>
          <w:spacing w:val="-10"/>
          <w:sz w:val="44"/>
        </w:rPr>
        <w:t>号</w:t>
      </w:r>
    </w:p>
    <w:p>
      <w:pPr>
        <w:spacing w:line="520" w:lineRule="exact"/>
        <w:jc w:val="center"/>
        <w:rPr>
          <w:rFonts w:asciiTheme="majorEastAsia" w:hAnsiTheme="majorEastAsia" w:eastAsiaTheme="majorEastAsia"/>
          <w:b/>
          <w:spacing w:val="-10"/>
          <w:sz w:val="44"/>
        </w:rPr>
      </w:pPr>
      <w:r>
        <w:rPr>
          <w:rFonts w:hint="eastAsia" w:asciiTheme="majorEastAsia" w:hAnsiTheme="majorEastAsia" w:eastAsiaTheme="majorEastAsia"/>
          <w:b/>
          <w:spacing w:val="-10"/>
          <w:sz w:val="44"/>
        </w:rPr>
        <w:t>建议的答复</w:t>
      </w:r>
    </w:p>
    <w:p>
      <w:pPr>
        <w:spacing w:line="520" w:lineRule="exact"/>
        <w:rPr>
          <w:sz w:val="32"/>
          <w:szCs w:val="32"/>
        </w:rPr>
      </w:pPr>
    </w:p>
    <w:p>
      <w:pPr>
        <w:spacing w:line="520" w:lineRule="exact"/>
        <w:rPr>
          <w:rFonts w:ascii="仿宋_GB2312" w:eastAsia="仿宋_GB2312"/>
          <w:sz w:val="32"/>
        </w:rPr>
      </w:pPr>
      <w:r>
        <w:rPr>
          <w:rFonts w:hint="eastAsia" w:ascii="仿宋_GB2312" w:eastAsia="仿宋_GB2312"/>
          <w:sz w:val="32"/>
        </w:rPr>
        <w:t>杜平代表：</w:t>
      </w:r>
    </w:p>
    <w:p>
      <w:pPr>
        <w:spacing w:line="520" w:lineRule="exact"/>
        <w:ind w:firstLine="627" w:firstLineChars="196"/>
        <w:rPr>
          <w:rFonts w:ascii="仿宋_GB2312" w:eastAsia="仿宋_GB2312"/>
          <w:sz w:val="32"/>
        </w:rPr>
      </w:pPr>
      <w:r>
        <w:rPr>
          <w:rFonts w:hint="eastAsia" w:ascii="仿宋_GB2312" w:eastAsia="仿宋_GB2312"/>
          <w:sz w:val="32"/>
        </w:rPr>
        <w:t>您提出的“关于</w:t>
      </w:r>
      <w:r>
        <w:rPr>
          <w:rFonts w:hint="eastAsia" w:ascii="仿宋_GB2312" w:eastAsia="仿宋_GB2312"/>
          <w:sz w:val="32"/>
          <w:lang w:val="en-US" w:eastAsia="zh-CN"/>
        </w:rPr>
        <w:t>加快海洋温泉小镇建设，全力打造青岛全季旅游康养目的地</w:t>
      </w:r>
      <w:r>
        <w:rPr>
          <w:rFonts w:hint="eastAsia" w:ascii="仿宋_GB2312" w:eastAsia="仿宋_GB2312"/>
          <w:sz w:val="32"/>
        </w:rPr>
        <w:t>的建议”收悉</w:t>
      </w:r>
      <w:r>
        <w:rPr>
          <w:rFonts w:hint="eastAsia" w:ascii="仿宋_GB2312" w:eastAsia="仿宋_GB2312"/>
          <w:sz w:val="32"/>
          <w:lang w:eastAsia="zh-CN"/>
        </w:rPr>
        <w:t>，</w:t>
      </w:r>
      <w:r>
        <w:rPr>
          <w:rFonts w:hint="eastAsia" w:ascii="仿宋_GB2312" w:eastAsia="仿宋_GB2312"/>
          <w:sz w:val="32"/>
          <w:lang w:val="en-US" w:eastAsia="zh-CN"/>
        </w:rPr>
        <w:t>就您建议中所涉及温泉街道的相关事项，</w:t>
      </w:r>
      <w:r>
        <w:rPr>
          <w:rFonts w:hint="eastAsia" w:ascii="仿宋_GB2312" w:eastAsia="仿宋_GB2312"/>
          <w:sz w:val="32"/>
        </w:rPr>
        <w:t>现答复如下：</w:t>
      </w:r>
    </w:p>
    <w:p>
      <w:pPr>
        <w:spacing w:line="560" w:lineRule="exact"/>
        <w:ind w:firstLine="660"/>
        <w:rPr>
          <w:rFonts w:hint="eastAsia" w:ascii="仿宋_GB2312" w:eastAsia="仿宋_GB2312"/>
          <w:sz w:val="32"/>
          <w:lang w:val="en-US" w:eastAsia="zh-CN"/>
        </w:rPr>
      </w:pPr>
      <w:r>
        <w:rPr>
          <w:rFonts w:hint="eastAsia" w:ascii="仿宋_GB2312" w:eastAsia="仿宋_GB2312"/>
          <w:sz w:val="32"/>
        </w:rPr>
        <w:t>近年来，</w:t>
      </w:r>
      <w:r>
        <w:rPr>
          <w:rFonts w:hint="eastAsia" w:ascii="仿宋_GB2312" w:eastAsia="仿宋_GB2312"/>
          <w:sz w:val="32"/>
          <w:lang w:val="en-US" w:eastAsia="zh-CN"/>
        </w:rPr>
        <w:t>温泉街道紧紧围绕“国内一流的康养休闲度假目的地”建设目标，根据区委区政府决策部署，集中优势，实现温泉小镇建设新突破：</w:t>
      </w:r>
    </w:p>
    <w:p>
      <w:pPr>
        <w:spacing w:line="560" w:lineRule="exact"/>
        <w:ind w:firstLine="660"/>
        <w:rPr>
          <w:rFonts w:hint="eastAsia" w:ascii="黑体" w:hAnsi="黑体" w:eastAsia="黑体" w:cs="黑体"/>
          <w:sz w:val="32"/>
          <w:lang w:val="en-US" w:eastAsia="zh-CN"/>
        </w:rPr>
      </w:pPr>
      <w:r>
        <w:rPr>
          <w:rFonts w:hint="eastAsia" w:ascii="黑体" w:hAnsi="黑体" w:eastAsia="黑体" w:cs="黑体"/>
          <w:sz w:val="32"/>
          <w:lang w:val="en-US" w:eastAsia="zh-CN"/>
        </w:rPr>
        <w:t>一、组织架构</w:t>
      </w:r>
    </w:p>
    <w:p>
      <w:pPr>
        <w:spacing w:line="560" w:lineRule="exact"/>
        <w:ind w:firstLine="660"/>
        <w:rPr>
          <w:rFonts w:hint="eastAsia" w:ascii="仿宋_GB2312" w:eastAsia="仿宋_GB2312"/>
          <w:sz w:val="32"/>
          <w:lang w:val="en-US" w:eastAsia="zh-CN"/>
        </w:rPr>
      </w:pPr>
      <w:r>
        <w:rPr>
          <w:rFonts w:hint="eastAsia" w:ascii="仿宋_GB2312" w:eastAsia="仿宋_GB2312"/>
          <w:sz w:val="32"/>
          <w:lang w:val="en-US" w:eastAsia="zh-CN"/>
        </w:rPr>
        <w:t>为进一步强化“中国海洋温泉小镇”组织领导，全面迅速推进“中国海洋温泉小镇”建设，2016年8月，即墨市人民政府和青岛蓝谷管理局成立“中国海洋温泉小镇”建设工作领导小组，领导小组组长由区主要领导担任，副组长由相关区级领导担任，成员由相关区直部门和镇街主要领导组成，领导小组下设办公室，</w:t>
      </w:r>
      <w:r>
        <w:rPr>
          <w:rFonts w:hint="eastAsia" w:ascii="仿宋_GB2312" w:eastAsia="仿宋_GB2312"/>
          <w:spacing w:val="-6"/>
          <w:sz w:val="32"/>
          <w:szCs w:val="32"/>
        </w:rPr>
        <w:t>办公室设在温泉街道</w:t>
      </w:r>
      <w:r>
        <w:rPr>
          <w:rFonts w:hint="eastAsia" w:ascii="仿宋_GB2312" w:eastAsia="仿宋_GB2312"/>
          <w:sz w:val="32"/>
          <w:lang w:val="en-US" w:eastAsia="zh-CN"/>
        </w:rPr>
        <w:t>。</w:t>
      </w:r>
    </w:p>
    <w:p>
      <w:pPr>
        <w:numPr>
          <w:ilvl w:val="0"/>
          <w:numId w:val="1"/>
        </w:numPr>
        <w:spacing w:line="560" w:lineRule="exact"/>
        <w:ind w:firstLine="660"/>
        <w:rPr>
          <w:rFonts w:hint="eastAsia" w:ascii="黑体" w:hAnsi="黑体" w:eastAsia="黑体" w:cs="黑体"/>
          <w:sz w:val="32"/>
          <w:lang w:val="en-US" w:eastAsia="zh-CN"/>
        </w:rPr>
      </w:pPr>
      <w:r>
        <w:rPr>
          <w:rFonts w:hint="eastAsia" w:ascii="黑体" w:hAnsi="黑体" w:eastAsia="黑体" w:cs="黑体"/>
          <w:sz w:val="32"/>
          <w:lang w:val="en-US" w:eastAsia="zh-CN"/>
        </w:rPr>
        <w:t>双招双引</w:t>
      </w:r>
    </w:p>
    <w:p>
      <w:pPr>
        <w:numPr>
          <w:ilvl w:val="0"/>
          <w:numId w:val="0"/>
        </w:numPr>
        <w:spacing w:line="560" w:lineRule="exact"/>
        <w:ind w:firstLine="640" w:firstLineChars="200"/>
        <w:rPr>
          <w:rFonts w:hint="eastAsia" w:ascii="仿宋_GB2312" w:eastAsia="仿宋_GB2312"/>
          <w:sz w:val="32"/>
          <w:lang w:val="en-US" w:eastAsia="zh-CN"/>
        </w:rPr>
      </w:pPr>
      <w:r>
        <w:rPr>
          <w:rFonts w:hint="eastAsia" w:ascii="仿宋_GB2312" w:eastAsia="仿宋_GB2312"/>
          <w:sz w:val="32"/>
          <w:lang w:val="en-US" w:eastAsia="zh-CN"/>
        </w:rPr>
        <w:t>一是</w:t>
      </w:r>
      <w:r>
        <w:rPr>
          <w:rFonts w:hint="eastAsia" w:ascii="仿宋_GB2312" w:eastAsia="仿宋_GB2312"/>
          <w:sz w:val="32"/>
        </w:rPr>
        <w:t>成功培育4A级度假景区天泰LOVEYE艺术小镇，新建LOVEPARK（爱的公园），同时整合温泉酒店、山顶天文台、泰幸福庄园、蓝谷自行车骑行道，成功打造青岛市旅游度假网红打卡地，与青岛市婚庆协会合作将天泰艺术小镇确定为青岛市婚纱旅拍基地，2020年通过“嗨即墨”主题活动、知名主持人现场直播等宣传推介举措，天泰艺术小镇知名度大幅提升。</w:t>
      </w:r>
      <w:r>
        <w:rPr>
          <w:rFonts w:hint="eastAsia" w:ascii="仿宋_GB2312" w:eastAsia="仿宋_GB2312"/>
          <w:sz w:val="32"/>
          <w:lang w:val="en-US" w:eastAsia="zh-CN"/>
        </w:rPr>
        <w:t>二是</w:t>
      </w:r>
      <w:r>
        <w:rPr>
          <w:rFonts w:hint="eastAsia" w:ascii="仿宋_GB2312" w:eastAsia="仿宋_GB2312"/>
          <w:sz w:val="32"/>
        </w:rPr>
        <w:t>投资6.8亿元的海尔极乐汤</w:t>
      </w:r>
      <w:r>
        <w:rPr>
          <w:rFonts w:hint="eastAsia" w:ascii="仿宋_GB2312" w:eastAsia="仿宋_GB2312"/>
          <w:sz w:val="32"/>
          <w:lang w:val="en-US" w:eastAsia="zh-CN"/>
        </w:rPr>
        <w:t>温泉馆</w:t>
      </w:r>
      <w:r>
        <w:rPr>
          <w:rFonts w:hint="eastAsia" w:ascii="仿宋_GB2312" w:eastAsia="仿宋_GB2312"/>
          <w:sz w:val="32"/>
        </w:rPr>
        <w:t>，由海尔产城创集团与日本极乐汤株式会社联合打造，引入日本极乐汤品牌盘活芭东小镇1.7万平方米的温泉中心，成功打造集“温泉休闲+养生康体+特色餐饮+主题客房”于一体的国内首家国际化温泉休闲度假体验样板，拥有43间智能客房，室内外24个泡池（引进日本水循环设施，全天候进行温泉水循环，保持水的纯度），以正宗日式料理为特色，可同时容纳80-100人用餐。此外，设置棋牌室</w:t>
      </w:r>
      <w:r>
        <w:rPr>
          <w:rFonts w:hint="eastAsia" w:ascii="仿宋_GB2312" w:eastAsia="仿宋_GB2312"/>
          <w:sz w:val="32"/>
          <w:lang w:eastAsia="zh-CN"/>
        </w:rPr>
        <w:t>、</w:t>
      </w:r>
      <w:r>
        <w:rPr>
          <w:rFonts w:hint="eastAsia" w:ascii="仿宋_GB2312" w:eastAsia="仿宋_GB2312"/>
          <w:sz w:val="32"/>
        </w:rPr>
        <w:t>儿童娱乐区，适合家庭亲子和老友聚会。项目已于2021年1月28日完工运营，是极乐汤在日本之外全球经营面积最大的温泉项目。</w:t>
      </w:r>
      <w:r>
        <w:rPr>
          <w:rFonts w:hint="eastAsia" w:ascii="仿宋_GB2312" w:eastAsia="仿宋_GB2312"/>
          <w:sz w:val="32"/>
          <w:lang w:val="en-US" w:eastAsia="zh-CN"/>
        </w:rPr>
        <w:t>三是</w:t>
      </w:r>
      <w:r>
        <w:rPr>
          <w:rFonts w:hint="eastAsia" w:ascii="仿宋_GB2312" w:eastAsia="仿宋_GB2312"/>
          <w:sz w:val="32"/>
        </w:rPr>
        <w:t>山东省总工会鉴于温泉独特的资源禀赋和良好的区位优势，总投资8亿元，对青岛工人温泉疗养院进行全面改造提升，共分3期建设。其中，一期改造提升原有职工疗养区和综合管理中心，2019年9月已建成运营；二期计划新建疗养客房、水疗中心、康养公寓等，2020年11月已实现开工。</w:t>
      </w:r>
      <w:r>
        <w:rPr>
          <w:rFonts w:hint="eastAsia" w:ascii="仿宋_GB2312" w:eastAsia="仿宋_GB2312"/>
          <w:sz w:val="32"/>
          <w:lang w:val="en-US" w:eastAsia="zh-CN"/>
        </w:rPr>
        <w:t>四是</w:t>
      </w:r>
      <w:r>
        <w:rPr>
          <w:rFonts w:hint="eastAsia" w:ascii="仿宋_GB2312" w:eastAsia="仿宋_GB2312"/>
          <w:sz w:val="32"/>
        </w:rPr>
        <w:t>2020年3月签约引进投资</w:t>
      </w:r>
      <w:r>
        <w:rPr>
          <w:rFonts w:hint="eastAsia" w:ascii="仿宋_GB2312" w:eastAsia="仿宋_GB2312"/>
          <w:sz w:val="32"/>
          <w:lang w:val="en-US" w:eastAsia="zh-CN"/>
        </w:rPr>
        <w:t>11</w:t>
      </w:r>
      <w:r>
        <w:rPr>
          <w:rFonts w:hint="eastAsia" w:ascii="仿宋_GB2312" w:eastAsia="仿宋_GB2312"/>
          <w:sz w:val="32"/>
        </w:rPr>
        <w:t>0亿元的青岛温泉拈花湾项目，开发主体是即墨区丁字湾科技金融投资有限公司与无锡拈花湾文化投资发展有限公司（该公司成功策划、建设及运营的无锡灵山胜境项目、无锡拈花湾小镇项目、曲阜尼山圣境项目、汉中兴汉胜境项目，影响远至海外），将规范开发宝贵的海水温泉资源，深度结合辖区的历史文化民俗，把温泉小镇核心区建设成为集康养、休闲、观光、住宿、体验于一体的旅游度假综合体，打造独一无二的专属温泉的文化IP，项目第一阶段的规划方案已基本完成。</w:t>
      </w:r>
      <w:r>
        <w:rPr>
          <w:rFonts w:hint="eastAsia" w:ascii="仿宋_GB2312" w:eastAsia="仿宋_GB2312"/>
          <w:sz w:val="32"/>
          <w:lang w:eastAsia="zh-CN"/>
        </w:rPr>
        <w:t>五</w:t>
      </w:r>
      <w:r>
        <w:rPr>
          <w:rFonts w:hint="eastAsia" w:ascii="仿宋_GB2312" w:eastAsia="仿宋_GB2312"/>
          <w:sz w:val="32"/>
          <w:lang w:val="en-US" w:eastAsia="zh-CN"/>
        </w:rPr>
        <w:t>是</w:t>
      </w:r>
      <w:r>
        <w:rPr>
          <w:rFonts w:hint="eastAsia" w:ascii="仿宋_GB2312" w:eastAsia="仿宋_GB2312"/>
          <w:sz w:val="32"/>
        </w:rPr>
        <w:t>2020年12月签约引进投资150亿元的融创乐高城项目，投资主体是世界500强企业融创中国，将深度开发龙凤岛，主要建设乐高旅游文化主题乐园、康养中心等，计划打造面向北中国市场、辐射日韩的高端文旅城，全业态、全天候的休闲度假目的地，目前，正在进行规划设计，计划年内开工建设。</w:t>
      </w:r>
      <w:r>
        <w:rPr>
          <w:rFonts w:hint="eastAsia" w:ascii="仿宋_GB2312" w:eastAsia="仿宋_GB2312"/>
          <w:sz w:val="32"/>
          <w:lang w:eastAsia="zh-CN"/>
        </w:rPr>
        <w:t>六是</w:t>
      </w:r>
      <w:r>
        <w:rPr>
          <w:rFonts w:hint="eastAsia" w:ascii="仿宋_GB2312" w:eastAsia="仿宋_GB2312"/>
          <w:sz w:val="32"/>
        </w:rPr>
        <w:t>青岛阳光温泉酒店项目概念性草案已提报，</w:t>
      </w:r>
      <w:r>
        <w:rPr>
          <w:rFonts w:hint="eastAsia" w:ascii="仿宋_GB2312" w:eastAsia="仿宋_GB2312"/>
          <w:sz w:val="32"/>
          <w:lang w:eastAsia="zh-CN"/>
        </w:rPr>
        <w:t>正在和自然资源等部门对接，同步进行土地征收和土地合证工作，计划2021年1</w:t>
      </w:r>
      <w:r>
        <w:rPr>
          <w:rFonts w:hint="eastAsia" w:ascii="仿宋_GB2312" w:eastAsia="仿宋_GB2312"/>
          <w:sz w:val="32"/>
          <w:lang w:val="en-US" w:eastAsia="zh-CN"/>
        </w:rPr>
        <w:t>2</w:t>
      </w:r>
      <w:r>
        <w:rPr>
          <w:rFonts w:hint="eastAsia" w:ascii="仿宋_GB2312" w:eastAsia="仿宋_GB2312"/>
          <w:sz w:val="32"/>
          <w:lang w:eastAsia="zh-CN"/>
        </w:rPr>
        <w:t>月开工。</w:t>
      </w:r>
    </w:p>
    <w:p>
      <w:pPr>
        <w:numPr>
          <w:ilvl w:val="0"/>
          <w:numId w:val="1"/>
        </w:numPr>
        <w:adjustRightInd w:val="0"/>
        <w:snapToGrid w:val="0"/>
        <w:spacing w:line="540" w:lineRule="exact"/>
        <w:ind w:left="0" w:leftChars="0" w:firstLine="660" w:firstLineChars="0"/>
        <w:rPr>
          <w:rFonts w:hint="eastAsia" w:ascii="黑体" w:hAnsi="黑体" w:eastAsia="黑体" w:cs="黑体"/>
          <w:sz w:val="32"/>
          <w:szCs w:val="40"/>
        </w:rPr>
      </w:pPr>
      <w:r>
        <w:rPr>
          <w:rFonts w:hint="eastAsia" w:ascii="黑体" w:hAnsi="黑体" w:eastAsia="黑体" w:cs="黑体"/>
          <w:sz w:val="32"/>
          <w:szCs w:val="40"/>
        </w:rPr>
        <w:t>以“营商环境”为抓手，加快实现产业升级。</w:t>
      </w:r>
    </w:p>
    <w:p>
      <w:pPr>
        <w:numPr>
          <w:ilvl w:val="0"/>
          <w:numId w:val="0"/>
        </w:numPr>
        <w:adjustRightInd w:val="0"/>
        <w:snapToGrid w:val="0"/>
        <w:spacing w:line="540" w:lineRule="exact"/>
        <w:ind w:firstLine="643" w:firstLineChars="200"/>
        <w:rPr>
          <w:rFonts w:hint="eastAsia" w:ascii="仿宋_GB2312" w:eastAsia="仿宋_GB2312"/>
          <w:sz w:val="32"/>
          <w:szCs w:val="32"/>
        </w:rPr>
      </w:pPr>
      <w:r>
        <w:rPr>
          <w:rFonts w:hint="eastAsia" w:ascii="仿宋_GB2312" w:hAnsi="黑体" w:eastAsia="仿宋_GB2312"/>
          <w:b/>
          <w:bCs/>
          <w:sz w:val="32"/>
          <w:szCs w:val="32"/>
        </w:rPr>
        <w:t>对运营项目，</w:t>
      </w:r>
      <w:r>
        <w:rPr>
          <w:rFonts w:hint="eastAsia" w:ascii="仿宋_GB2312" w:hAnsi="黑体" w:eastAsia="仿宋_GB2312"/>
          <w:sz w:val="32"/>
          <w:szCs w:val="32"/>
        </w:rPr>
        <w:t>在产业集群发展和跨区域合作上狠下功夫，充分</w:t>
      </w:r>
      <w:r>
        <w:rPr>
          <w:rFonts w:hint="eastAsia" w:ascii="仿宋_GB2312" w:eastAsia="仿宋_GB2312"/>
          <w:sz w:val="32"/>
          <w:szCs w:val="32"/>
        </w:rPr>
        <w:t>整合海尔日本极乐汤、天泰LOVEYE艺术小镇等1</w:t>
      </w:r>
      <w:r>
        <w:rPr>
          <w:rFonts w:ascii="仿宋_GB2312" w:eastAsia="仿宋_GB2312"/>
          <w:sz w:val="32"/>
          <w:szCs w:val="32"/>
        </w:rPr>
        <w:t>6</w:t>
      </w:r>
      <w:r>
        <w:rPr>
          <w:rFonts w:hint="eastAsia" w:ascii="仿宋_GB2312" w:eastAsia="仿宋_GB2312"/>
          <w:sz w:val="32"/>
          <w:szCs w:val="32"/>
        </w:rPr>
        <w:t>个建成项目，积极探索与蓝谷管理局科研资源和周边兄弟镇街有效合作，打造多条精品旅游线路，形成康养文旅产业发展大格局。</w:t>
      </w:r>
      <w:r>
        <w:rPr>
          <w:rFonts w:hint="eastAsia" w:ascii="仿宋_GB2312" w:eastAsia="仿宋_GB2312"/>
          <w:b/>
          <w:bCs/>
          <w:sz w:val="32"/>
          <w:szCs w:val="32"/>
        </w:rPr>
        <w:t>对在建和拟建项目，</w:t>
      </w:r>
      <w:r>
        <w:rPr>
          <w:rFonts w:hint="eastAsia" w:ascii="仿宋_GB2312" w:eastAsia="仿宋_GB2312"/>
          <w:sz w:val="32"/>
          <w:szCs w:val="32"/>
        </w:rPr>
        <w:t>继续优化营商环境，推进北航科教新城一期、青岛工人温泉疗养院二期、五泉山农业科技园和即发源润阁温泉酒店尽快完工，海尔国际温泉旅游度假区建成旅游度假中心和部分度假用房；全力做好调地等服务工作，力促融创乐高城、青岛温泉拈花湾、时光隧道科技乐园、青岛蓝谷生物医药产业社区4个项目尽快落地开工。此外，</w:t>
      </w:r>
      <w:r>
        <w:rPr>
          <w:rFonts w:hint="eastAsia" w:eastAsia="仿宋_GB2312"/>
          <w:sz w:val="32"/>
          <w:szCs w:val="40"/>
        </w:rPr>
        <w:t>全力保障蓝谷项目建设，成立调地办公室，优先完成北航科教新城、硅谷大道建设等项目调地任务。</w:t>
      </w:r>
      <w:r>
        <w:rPr>
          <w:rFonts w:hint="eastAsia" w:ascii="仿宋_GB2312" w:eastAsia="仿宋_GB2312"/>
          <w:b/>
          <w:bCs/>
          <w:sz w:val="32"/>
          <w:szCs w:val="32"/>
        </w:rPr>
        <w:t>持续引进优质项目，</w:t>
      </w:r>
      <w:r>
        <w:rPr>
          <w:rFonts w:hint="eastAsia" w:ascii="仿宋_GB2312" w:eastAsia="仿宋_GB2312"/>
          <w:sz w:val="32"/>
          <w:szCs w:val="32"/>
        </w:rPr>
        <w:t>积极与区委区政府和蓝谷管理局对接沟通，借助上级招商引资平台大力引进符合发展定位的优质项目。同时，用好青岛国际博览中心平台，加快完善周边配套设施，留住渔博会等品牌展会，同时，充分利用各类展会，通过座谈会、研讨会等方式与参展客商深入探讨合作方案，吸纳技术、人才等各类资源要素，争取做到“办好一次展会，搞活一个产业”。</w:t>
      </w:r>
    </w:p>
    <w:p>
      <w:pPr>
        <w:pStyle w:val="2"/>
        <w:ind w:firstLine="640" w:firstLineChars="200"/>
        <w:rPr>
          <w:rFonts w:hint="eastAsia" w:ascii="黑体" w:hAnsi="黑体" w:eastAsia="黑体" w:cs="黑体"/>
          <w:lang w:eastAsia="zh-CN"/>
        </w:rPr>
      </w:pPr>
      <w:r>
        <w:rPr>
          <w:rFonts w:hint="eastAsia" w:ascii="黑体" w:hAnsi="黑体" w:eastAsia="黑体" w:cs="黑体"/>
          <w:sz w:val="32"/>
          <w:szCs w:val="32"/>
          <w:lang w:eastAsia="zh-CN"/>
        </w:rPr>
        <w:t>四、加强基础设施配套建设</w:t>
      </w:r>
    </w:p>
    <w:p>
      <w:pPr>
        <w:spacing w:line="520" w:lineRule="exact"/>
        <w:ind w:firstLine="640" w:firstLineChars="200"/>
        <w:rPr>
          <w:rFonts w:hint="eastAsia" w:ascii="仿宋_GB2312" w:eastAsia="仿宋_GB2312"/>
          <w:sz w:val="32"/>
        </w:rPr>
      </w:pPr>
      <w:r>
        <w:rPr>
          <w:rFonts w:hint="eastAsia" w:ascii="仿宋_GB2312" w:eastAsia="仿宋_GB2312"/>
          <w:sz w:val="32"/>
          <w:lang w:val="en-US" w:eastAsia="zh-CN"/>
        </w:rPr>
        <w:t>2021年</w:t>
      </w:r>
      <w:r>
        <w:rPr>
          <w:rFonts w:hint="eastAsia" w:ascii="仿宋_GB2312" w:eastAsia="仿宋_GB2312"/>
          <w:sz w:val="32"/>
        </w:rPr>
        <w:t>对</w:t>
      </w:r>
      <w:r>
        <w:rPr>
          <w:rFonts w:hint="eastAsia" w:ascii="仿宋_GB2312" w:eastAsia="仿宋_GB2312"/>
          <w:sz w:val="32"/>
          <w:lang w:eastAsia="zh-CN"/>
        </w:rPr>
        <w:t>街道主干线路灯进行维护，对</w:t>
      </w:r>
      <w:r>
        <w:rPr>
          <w:rFonts w:hint="eastAsia" w:ascii="仿宋_GB2312" w:eastAsia="仿宋_GB2312"/>
          <w:sz w:val="32"/>
        </w:rPr>
        <w:t>2条10.3公里乡村公路实施预防性养护，社生路</w:t>
      </w:r>
      <w:r>
        <w:rPr>
          <w:rFonts w:hint="eastAsia" w:ascii="仿宋_GB2312" w:eastAsia="仿宋_GB2312"/>
          <w:sz w:val="32"/>
          <w:lang w:eastAsia="zh-CN"/>
        </w:rPr>
        <w:t>进行</w:t>
      </w:r>
      <w:r>
        <w:rPr>
          <w:rFonts w:hint="eastAsia" w:ascii="仿宋_GB2312" w:eastAsia="仿宋_GB2312"/>
          <w:sz w:val="32"/>
        </w:rPr>
        <w:t>大修</w:t>
      </w:r>
      <w:r>
        <w:rPr>
          <w:rFonts w:hint="eastAsia" w:ascii="仿宋_GB2312" w:eastAsia="仿宋_GB2312"/>
          <w:sz w:val="32"/>
          <w:lang w:eastAsia="zh-CN"/>
        </w:rPr>
        <w:t>，石泉庄路进行大中修，硅谷大道建设进行调地，进一步完善区域内基础设施配套。</w:t>
      </w:r>
    </w:p>
    <w:p>
      <w:pPr>
        <w:spacing w:line="520" w:lineRule="exact"/>
        <w:ind w:firstLine="640" w:firstLineChars="200"/>
        <w:rPr>
          <w:rFonts w:hint="eastAsia" w:ascii="仿宋_GB2312" w:eastAsia="仿宋_GB2312"/>
          <w:sz w:val="32"/>
          <w:szCs w:val="32"/>
        </w:rPr>
      </w:pPr>
      <w:r>
        <w:rPr>
          <w:rFonts w:hint="eastAsia" w:ascii="仿宋_GB2312" w:eastAsia="仿宋_GB2312"/>
          <w:sz w:val="32"/>
        </w:rPr>
        <w:t>下一步，我们将通过</w:t>
      </w:r>
      <w:r>
        <w:rPr>
          <w:rFonts w:hint="eastAsia" w:ascii="仿宋_GB2312" w:hAnsi="仿宋" w:eastAsia="仿宋_GB2312"/>
          <w:sz w:val="32"/>
          <w:szCs w:val="32"/>
        </w:rPr>
        <w:t>强化“双招双引”力度，加大</w:t>
      </w:r>
      <w:r>
        <w:rPr>
          <w:rFonts w:ascii="仿宋_GB2312" w:eastAsia="仿宋_GB2312"/>
          <w:sz w:val="32"/>
        </w:rPr>
        <w:t>基础设施建设</w:t>
      </w:r>
      <w:r>
        <w:rPr>
          <w:rFonts w:hint="eastAsia" w:ascii="仿宋_GB2312" w:eastAsia="仿宋_GB2312"/>
          <w:sz w:val="32"/>
        </w:rPr>
        <w:t>，着重引进</w:t>
      </w:r>
      <w:r>
        <w:rPr>
          <w:rFonts w:ascii="仿宋_GB2312" w:eastAsia="仿宋_GB2312"/>
          <w:sz w:val="32"/>
        </w:rPr>
        <w:t>实力强、规模大的康养龙头企业，</w:t>
      </w:r>
      <w:r>
        <w:rPr>
          <w:rFonts w:hint="eastAsia" w:ascii="仿宋_GB2312" w:eastAsia="仿宋_GB2312"/>
          <w:sz w:val="32"/>
          <w:szCs w:val="32"/>
        </w:rPr>
        <w:t>推进我区康养目的地建设。</w:t>
      </w:r>
    </w:p>
    <w:p>
      <w:pPr>
        <w:pStyle w:val="2"/>
        <w:rPr>
          <w:rFonts w:hint="eastAsia" w:ascii="仿宋_GB2312" w:eastAsia="仿宋_GB2312"/>
          <w:sz w:val="32"/>
          <w:szCs w:val="32"/>
        </w:rPr>
      </w:pPr>
    </w:p>
    <w:p>
      <w:pPr>
        <w:pStyle w:val="2"/>
        <w:rPr>
          <w:rFonts w:hint="eastAsia" w:ascii="仿宋_GB2312" w:eastAsia="仿宋_GB2312"/>
          <w:sz w:val="32"/>
          <w:szCs w:val="32"/>
        </w:rPr>
      </w:pPr>
    </w:p>
    <w:p>
      <w:pPr>
        <w:spacing w:line="520" w:lineRule="exact"/>
        <w:ind w:firstLine="4004" w:firstLineChars="1300"/>
        <w:jc w:val="right"/>
        <w:rPr>
          <w:rFonts w:hint="default" w:ascii="仿宋_GB2312" w:eastAsia="仿宋_GB2312"/>
          <w:spacing w:val="-6"/>
          <w:sz w:val="32"/>
          <w:lang w:val="en-US" w:eastAsia="zh-CN"/>
        </w:rPr>
      </w:pPr>
      <w:r>
        <w:rPr>
          <w:rFonts w:hint="eastAsia" w:ascii="仿宋_GB2312" w:eastAsia="仿宋_GB2312"/>
          <w:spacing w:val="-6"/>
          <w:sz w:val="32"/>
          <w:lang w:val="en-US" w:eastAsia="zh-CN"/>
        </w:rPr>
        <w:t>青岛市</w:t>
      </w:r>
      <w:r>
        <w:rPr>
          <w:rFonts w:hint="eastAsia" w:ascii="仿宋_GB2312" w:eastAsia="仿宋_GB2312"/>
          <w:spacing w:val="-6"/>
          <w:sz w:val="32"/>
        </w:rPr>
        <w:t>即墨区</w:t>
      </w:r>
      <w:r>
        <w:rPr>
          <w:rFonts w:hint="eastAsia" w:ascii="仿宋_GB2312" w:eastAsia="仿宋_GB2312"/>
          <w:spacing w:val="-6"/>
          <w:sz w:val="32"/>
          <w:lang w:val="en-US" w:eastAsia="zh-CN"/>
        </w:rPr>
        <w:t>温泉街道办事处</w:t>
      </w:r>
    </w:p>
    <w:p>
      <w:pPr>
        <w:spacing w:line="520" w:lineRule="exact"/>
        <w:ind w:firstLine="4928" w:firstLineChars="1600"/>
        <w:rPr>
          <w:rFonts w:ascii="仿宋_GB2312" w:eastAsia="仿宋_GB2312"/>
          <w:spacing w:val="-6"/>
          <w:sz w:val="32"/>
        </w:rPr>
      </w:pPr>
      <w:r>
        <w:rPr>
          <w:rFonts w:hint="eastAsia" w:ascii="仿宋_GB2312" w:eastAsia="仿宋_GB2312"/>
          <w:spacing w:val="-6"/>
          <w:sz w:val="32"/>
        </w:rPr>
        <w:t>202</w:t>
      </w:r>
      <w:r>
        <w:rPr>
          <w:rFonts w:hint="eastAsia" w:ascii="仿宋_GB2312" w:eastAsia="仿宋_GB2312"/>
          <w:spacing w:val="-6"/>
          <w:sz w:val="32"/>
          <w:lang w:val="en-US" w:eastAsia="zh-CN"/>
        </w:rPr>
        <w:t>1</w:t>
      </w:r>
      <w:r>
        <w:rPr>
          <w:rFonts w:hint="eastAsia" w:ascii="仿宋_GB2312" w:eastAsia="仿宋_GB2312"/>
          <w:spacing w:val="-6"/>
          <w:sz w:val="32"/>
        </w:rPr>
        <w:t>年</w:t>
      </w:r>
      <w:r>
        <w:rPr>
          <w:rFonts w:hint="eastAsia" w:ascii="仿宋_GB2312" w:eastAsia="仿宋_GB2312"/>
          <w:spacing w:val="-6"/>
          <w:sz w:val="32"/>
          <w:lang w:val="en-US" w:eastAsia="zh-CN"/>
        </w:rPr>
        <w:t>5</w:t>
      </w:r>
      <w:r>
        <w:rPr>
          <w:rFonts w:hint="eastAsia" w:ascii="仿宋_GB2312" w:eastAsia="仿宋_GB2312"/>
          <w:spacing w:val="-6"/>
          <w:sz w:val="32"/>
        </w:rPr>
        <w:t>月</w:t>
      </w:r>
      <w:r>
        <w:rPr>
          <w:rFonts w:hint="eastAsia" w:ascii="仿宋_GB2312" w:eastAsia="仿宋_GB2312"/>
          <w:spacing w:val="-6"/>
          <w:sz w:val="32"/>
          <w:lang w:val="en-US" w:eastAsia="zh-CN"/>
        </w:rPr>
        <w:t>17</w:t>
      </w:r>
      <w:r>
        <w:rPr>
          <w:rFonts w:hint="eastAsia" w:ascii="仿宋_GB2312" w:eastAsia="仿宋_GB2312"/>
          <w:spacing w:val="-6"/>
          <w:sz w:val="32"/>
        </w:rPr>
        <w:t>日</w:t>
      </w:r>
    </w:p>
    <w:p>
      <w:pPr>
        <w:spacing w:line="520" w:lineRule="exact"/>
        <w:rPr>
          <w:rFonts w:ascii="仿宋_GB2312" w:eastAsia="仿宋_GB2312"/>
          <w:spacing w:val="-6"/>
          <w:sz w:val="32"/>
        </w:rPr>
      </w:pPr>
    </w:p>
    <w:p>
      <w:pPr>
        <w:spacing w:line="520" w:lineRule="exact"/>
        <w:rPr>
          <w:rFonts w:ascii="仿宋_GB2312" w:eastAsia="仿宋_GB2312"/>
          <w:spacing w:val="-6"/>
          <w:sz w:val="32"/>
        </w:rPr>
      </w:pPr>
    </w:p>
    <w:p>
      <w:pPr>
        <w:spacing w:line="520" w:lineRule="exact"/>
        <w:rPr>
          <w:rFonts w:ascii="仿宋_GB2312" w:eastAsia="仿宋_GB2312"/>
          <w:spacing w:val="-6"/>
          <w:sz w:val="32"/>
        </w:rPr>
      </w:pPr>
    </w:p>
    <w:p>
      <w:pPr>
        <w:spacing w:line="520" w:lineRule="exact"/>
        <w:rPr>
          <w:rFonts w:ascii="仿宋_GB2312" w:eastAsia="仿宋_GB2312"/>
          <w:spacing w:val="-6"/>
          <w:sz w:val="32"/>
        </w:rPr>
      </w:pPr>
    </w:p>
    <w:p>
      <w:pPr>
        <w:pStyle w:val="2"/>
        <w:rPr>
          <w:rFonts w:ascii="仿宋_GB2312" w:eastAsia="仿宋_GB2312"/>
          <w:spacing w:val="-6"/>
          <w:sz w:val="32"/>
        </w:rPr>
      </w:pPr>
    </w:p>
    <w:p>
      <w:pPr>
        <w:pStyle w:val="2"/>
        <w:rPr>
          <w:rFonts w:ascii="仿宋_GB2312" w:eastAsia="仿宋_GB2312"/>
          <w:spacing w:val="-6"/>
          <w:sz w:val="32"/>
        </w:rPr>
      </w:pPr>
    </w:p>
    <w:p>
      <w:pPr>
        <w:pStyle w:val="2"/>
        <w:rPr>
          <w:rFonts w:ascii="仿宋_GB2312" w:eastAsia="仿宋_GB2312"/>
          <w:spacing w:val="-6"/>
          <w:sz w:val="32"/>
        </w:rPr>
      </w:pPr>
    </w:p>
    <w:p>
      <w:pPr>
        <w:spacing w:line="520" w:lineRule="exact"/>
        <w:rPr>
          <w:rFonts w:ascii="仿宋_GB2312" w:eastAsia="仿宋_GB2312"/>
          <w:spacing w:val="-6"/>
          <w:sz w:val="32"/>
        </w:rPr>
      </w:pPr>
    </w:p>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15A983F"/>
    <w:multiLevelType w:val="singleLevel"/>
    <w:tmpl w:val="415A983F"/>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B7131"/>
    <w:rsid w:val="00057A89"/>
    <w:rsid w:val="00072C91"/>
    <w:rsid w:val="000A5E44"/>
    <w:rsid w:val="001340D3"/>
    <w:rsid w:val="001438B9"/>
    <w:rsid w:val="001D47A3"/>
    <w:rsid w:val="001F37EA"/>
    <w:rsid w:val="001F3912"/>
    <w:rsid w:val="00242F06"/>
    <w:rsid w:val="002A041B"/>
    <w:rsid w:val="002A6BA4"/>
    <w:rsid w:val="002C1B68"/>
    <w:rsid w:val="0032163B"/>
    <w:rsid w:val="00325404"/>
    <w:rsid w:val="00370E92"/>
    <w:rsid w:val="00384C14"/>
    <w:rsid w:val="003B445E"/>
    <w:rsid w:val="00410FD4"/>
    <w:rsid w:val="00471FF9"/>
    <w:rsid w:val="00497687"/>
    <w:rsid w:val="004E636E"/>
    <w:rsid w:val="00514BB1"/>
    <w:rsid w:val="00526973"/>
    <w:rsid w:val="005464FA"/>
    <w:rsid w:val="00573273"/>
    <w:rsid w:val="00576410"/>
    <w:rsid w:val="005A3F48"/>
    <w:rsid w:val="005F64A7"/>
    <w:rsid w:val="00614014"/>
    <w:rsid w:val="00614DF5"/>
    <w:rsid w:val="00616F6F"/>
    <w:rsid w:val="0061717A"/>
    <w:rsid w:val="00617A90"/>
    <w:rsid w:val="00667C74"/>
    <w:rsid w:val="006B14DB"/>
    <w:rsid w:val="006C090A"/>
    <w:rsid w:val="00702ED9"/>
    <w:rsid w:val="00705A27"/>
    <w:rsid w:val="0071006C"/>
    <w:rsid w:val="0075756E"/>
    <w:rsid w:val="007817F4"/>
    <w:rsid w:val="007834D2"/>
    <w:rsid w:val="00793299"/>
    <w:rsid w:val="007A72FF"/>
    <w:rsid w:val="007C7CE1"/>
    <w:rsid w:val="007D6D3B"/>
    <w:rsid w:val="007E33B1"/>
    <w:rsid w:val="00851687"/>
    <w:rsid w:val="00894379"/>
    <w:rsid w:val="0098064D"/>
    <w:rsid w:val="009829E3"/>
    <w:rsid w:val="00A070E0"/>
    <w:rsid w:val="00A3738D"/>
    <w:rsid w:val="00A55F88"/>
    <w:rsid w:val="00A87375"/>
    <w:rsid w:val="00A95A77"/>
    <w:rsid w:val="00AA223E"/>
    <w:rsid w:val="00AB20CB"/>
    <w:rsid w:val="00AB3C5B"/>
    <w:rsid w:val="00AE563A"/>
    <w:rsid w:val="00AF4635"/>
    <w:rsid w:val="00B35477"/>
    <w:rsid w:val="00B44E0E"/>
    <w:rsid w:val="00BD1E4F"/>
    <w:rsid w:val="00C84C29"/>
    <w:rsid w:val="00C94E1C"/>
    <w:rsid w:val="00CC2A9D"/>
    <w:rsid w:val="00CC5BB0"/>
    <w:rsid w:val="00CE0DED"/>
    <w:rsid w:val="00D06C24"/>
    <w:rsid w:val="00DA7668"/>
    <w:rsid w:val="00DB7131"/>
    <w:rsid w:val="00DD5976"/>
    <w:rsid w:val="00DF2FE7"/>
    <w:rsid w:val="00E34573"/>
    <w:rsid w:val="00E647E7"/>
    <w:rsid w:val="00E94F35"/>
    <w:rsid w:val="00EA25FA"/>
    <w:rsid w:val="00EB569D"/>
    <w:rsid w:val="00EF5593"/>
    <w:rsid w:val="00F6661D"/>
    <w:rsid w:val="00F75D7E"/>
    <w:rsid w:val="00FA3092"/>
    <w:rsid w:val="00FA58DC"/>
    <w:rsid w:val="00FE0F38"/>
    <w:rsid w:val="165416BD"/>
    <w:rsid w:val="260D303F"/>
    <w:rsid w:val="41413CDB"/>
    <w:rsid w:val="48862405"/>
    <w:rsid w:val="4E1017C3"/>
    <w:rsid w:val="4EFF2BC6"/>
    <w:rsid w:val="519A028F"/>
    <w:rsid w:val="6A8A6D83"/>
    <w:rsid w:val="75CB32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iPriority="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8">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w:basedOn w:val="1"/>
    <w:qFormat/>
    <w:uiPriority w:val="1"/>
    <w:rPr>
      <w:rFonts w:ascii="仿宋_GB2312" w:hAnsi="仿宋_GB2312"/>
      <w:lang w:val="zh-CN" w:bidi="zh-CN"/>
    </w:rPr>
  </w:style>
  <w:style w:type="paragraph" w:styleId="3">
    <w:name w:val="Date"/>
    <w:basedOn w:val="1"/>
    <w:next w:val="1"/>
    <w:link w:val="11"/>
    <w:semiHidden/>
    <w:unhideWhenUsed/>
    <w:qFormat/>
    <w:uiPriority w:val="0"/>
    <w:rPr>
      <w:sz w:val="32"/>
      <w:szCs w:val="20"/>
    </w:rPr>
  </w:style>
  <w:style w:type="paragraph" w:styleId="4">
    <w:name w:val="Body Text Indent 2"/>
    <w:basedOn w:val="1"/>
    <w:link w:val="9"/>
    <w:semiHidden/>
    <w:unhideWhenUsed/>
    <w:qFormat/>
    <w:uiPriority w:val="0"/>
    <w:pPr>
      <w:spacing w:line="500" w:lineRule="exact"/>
      <w:ind w:firstLine="640" w:firstLineChars="200"/>
    </w:pPr>
    <w:rPr>
      <w:rFonts w:eastAsia="仿宋_GB2312"/>
      <w:sz w:val="32"/>
    </w:rPr>
  </w:style>
  <w:style w:type="paragraph" w:styleId="5">
    <w:name w:val="footer"/>
    <w:basedOn w:val="1"/>
    <w:link w:val="13"/>
    <w:unhideWhenUsed/>
    <w:qFormat/>
    <w:uiPriority w:val="99"/>
    <w:pPr>
      <w:tabs>
        <w:tab w:val="center" w:pos="4153"/>
        <w:tab w:val="right" w:pos="8306"/>
      </w:tabs>
      <w:snapToGrid w:val="0"/>
      <w:jc w:val="left"/>
    </w:pPr>
    <w:rPr>
      <w:sz w:val="18"/>
      <w:szCs w:val="18"/>
    </w:rPr>
  </w:style>
  <w:style w:type="paragraph" w:styleId="6">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9">
    <w:name w:val="正文文本缩进 2 字符"/>
    <w:basedOn w:val="7"/>
    <w:link w:val="4"/>
    <w:semiHidden/>
    <w:qFormat/>
    <w:uiPriority w:val="0"/>
    <w:rPr>
      <w:rFonts w:ascii="Times New Roman" w:hAnsi="Times New Roman" w:eastAsia="仿宋_GB2312" w:cs="Times New Roman"/>
      <w:sz w:val="32"/>
      <w:szCs w:val="24"/>
    </w:rPr>
  </w:style>
  <w:style w:type="character" w:customStyle="1" w:styleId="10">
    <w:name w:val="apple-style-span"/>
    <w:basedOn w:val="7"/>
    <w:qFormat/>
    <w:uiPriority w:val="0"/>
  </w:style>
  <w:style w:type="character" w:customStyle="1" w:styleId="11">
    <w:name w:val="日期 字符"/>
    <w:basedOn w:val="7"/>
    <w:link w:val="3"/>
    <w:semiHidden/>
    <w:qFormat/>
    <w:uiPriority w:val="0"/>
    <w:rPr>
      <w:rFonts w:ascii="Times New Roman" w:hAnsi="Times New Roman" w:eastAsia="宋体" w:cs="Times New Roman"/>
      <w:sz w:val="32"/>
      <w:szCs w:val="20"/>
    </w:rPr>
  </w:style>
  <w:style w:type="character" w:customStyle="1" w:styleId="12">
    <w:name w:val="页眉 字符"/>
    <w:basedOn w:val="7"/>
    <w:link w:val="6"/>
    <w:qFormat/>
    <w:uiPriority w:val="99"/>
    <w:rPr>
      <w:rFonts w:ascii="Times New Roman" w:hAnsi="Times New Roman" w:eastAsia="宋体" w:cs="Times New Roman"/>
      <w:sz w:val="18"/>
      <w:szCs w:val="18"/>
    </w:rPr>
  </w:style>
  <w:style w:type="character" w:customStyle="1" w:styleId="13">
    <w:name w:val="页脚 字符"/>
    <w:basedOn w:val="7"/>
    <w:link w:val="5"/>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Pages>
  <Words>134</Words>
  <Characters>764</Characters>
  <Lines>6</Lines>
  <Paragraphs>1</Paragraphs>
  <TotalTime>6</TotalTime>
  <ScaleCrop>false</ScaleCrop>
  <LinksUpToDate>false</LinksUpToDate>
  <CharactersWithSpaces>897</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2020-08-17T02:49:00Z</dcterms:created>
  <dc:creator>Administrator</dc:creator>
  <cp:lastModifiedBy>Administrator</cp:lastModifiedBy>
  <dcterms:modified xsi:type="dcterms:W3CDTF">2021-10-13T12:20:20Z</dcterms:modified>
  <cp:revision>47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y fmtid="{D5CDD505-2E9C-101B-9397-08002B2CF9AE}" pid="3" name="ICV">
    <vt:lpwstr>C69E6A9500294BB7BD7C3C6DE851190D</vt:lpwstr>
  </property>
</Properties>
</file>