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sz w:val="44"/>
        </w:rPr>
      </w:pPr>
      <w:r>
        <w:rPr>
          <w:rFonts w:hint="eastAsia" w:ascii="方正小标宋_GBK" w:hAnsi="方正小标宋_GBK" w:eastAsia="方正小标宋_GBK" w:cs="方正小标宋_GBK"/>
          <w:sz w:val="44"/>
        </w:rPr>
        <w:t>青岛市即墨区农业农村局</w:t>
      </w:r>
    </w:p>
    <w:p>
      <w:pPr>
        <w:spacing w:line="560" w:lineRule="exact"/>
        <w:jc w:val="center"/>
        <w:rPr>
          <w:rFonts w:ascii="方正小标宋_GBK" w:hAnsi="方正小标宋_GBK" w:eastAsia="方正小标宋_GBK" w:cs="方正小标宋_GBK"/>
          <w:b/>
          <w:sz w:val="44"/>
        </w:rPr>
      </w:pPr>
      <w:r>
        <w:rPr>
          <w:rFonts w:hint="eastAsia" w:ascii="方正小标宋_GBK" w:hAnsi="方正小标宋_GBK" w:eastAsia="方正小标宋_GBK" w:cs="方正小标宋_GBK"/>
          <w:sz w:val="44"/>
        </w:rPr>
        <w:t>关于对</w:t>
      </w:r>
      <w:r>
        <w:rPr>
          <w:rFonts w:hint="eastAsia" w:ascii="方正小标宋_GBK" w:hAnsi="方正小标宋_GBK" w:eastAsia="方正小标宋_GBK" w:cs="方正小标宋_GBK"/>
          <w:sz w:val="44"/>
          <w:lang w:val="en-US" w:eastAsia="zh-CN"/>
        </w:rPr>
        <w:t>即墨区</w:t>
      </w:r>
      <w:r>
        <w:rPr>
          <w:rFonts w:hint="eastAsia" w:ascii="方正小标宋_GBK" w:hAnsi="方正小标宋_GBK" w:eastAsia="方正小标宋_GBK" w:cs="方正小标宋_GBK"/>
          <w:sz w:val="44"/>
        </w:rPr>
        <w:t>第十八届人大第</w:t>
      </w:r>
      <w:r>
        <w:rPr>
          <w:rFonts w:hint="eastAsia" w:ascii="方正小标宋_GBK" w:hAnsi="方正小标宋_GBK" w:eastAsia="方正小标宋_GBK" w:cs="方正小标宋_GBK"/>
          <w:sz w:val="44"/>
          <w:lang w:val="en-US" w:eastAsia="zh-CN"/>
        </w:rPr>
        <w:t>四</w:t>
      </w:r>
      <w:r>
        <w:rPr>
          <w:rFonts w:hint="eastAsia" w:ascii="方正小标宋_GBK" w:hAnsi="方正小标宋_GBK" w:eastAsia="方正小标宋_GBK" w:cs="方正小标宋_GBK"/>
          <w:sz w:val="44"/>
        </w:rPr>
        <w:t>次会议第74号建议的答复</w:t>
      </w:r>
    </w:p>
    <w:p>
      <w:pPr>
        <w:spacing w:line="560" w:lineRule="exact"/>
        <w:rPr>
          <w:rFonts w:ascii="仿宋_GB2312" w:eastAsia="仿宋_GB2312"/>
          <w:sz w:val="32"/>
          <w:szCs w:val="32"/>
        </w:rPr>
      </w:pPr>
    </w:p>
    <w:p>
      <w:pPr>
        <w:spacing w:line="560" w:lineRule="exact"/>
        <w:rPr>
          <w:rFonts w:ascii="仿宋_GB2312" w:eastAsia="仿宋_GB2312"/>
          <w:snapToGrid w:val="0"/>
          <w:kern w:val="0"/>
          <w:sz w:val="32"/>
        </w:rPr>
      </w:pPr>
      <w:r>
        <w:rPr>
          <w:rFonts w:hint="eastAsia" w:ascii="仿宋_GB2312" w:eastAsia="仿宋_GB2312"/>
          <w:snapToGrid w:val="0"/>
          <w:kern w:val="0"/>
          <w:sz w:val="32"/>
        </w:rPr>
        <w:t>王连恩代表：</w:t>
      </w:r>
    </w:p>
    <w:p>
      <w:pPr>
        <w:spacing w:line="560" w:lineRule="exact"/>
        <w:ind w:firstLine="640" w:firstLineChars="200"/>
        <w:rPr>
          <w:rFonts w:ascii="仿宋_GB2312" w:eastAsia="仿宋_GB2312"/>
          <w:snapToGrid w:val="0"/>
          <w:kern w:val="0"/>
          <w:sz w:val="32"/>
        </w:rPr>
      </w:pPr>
      <w:r>
        <w:rPr>
          <w:rFonts w:hint="eastAsia" w:ascii="仿宋_GB2312" w:eastAsia="仿宋_GB2312"/>
          <w:snapToGrid w:val="0"/>
          <w:kern w:val="0"/>
          <w:sz w:val="32"/>
        </w:rPr>
        <w:t>您提出的“关于扶持即墨甘薯产业做大做强，以产业振兴促进乡村振兴的建议”收悉。现答复如下：</w:t>
      </w:r>
    </w:p>
    <w:p>
      <w:pPr>
        <w:spacing w:line="560" w:lineRule="exact"/>
        <w:ind w:firstLine="640" w:firstLineChars="200"/>
        <w:rPr>
          <w:rFonts w:ascii="仿宋_GB2312" w:eastAsia="仿宋_GB2312"/>
          <w:snapToGrid w:val="0"/>
          <w:kern w:val="0"/>
          <w:sz w:val="32"/>
        </w:rPr>
      </w:pPr>
      <w:r>
        <w:rPr>
          <w:rFonts w:hint="eastAsia" w:ascii="仿宋_GB2312" w:eastAsia="仿宋_GB2312"/>
          <w:snapToGrid w:val="0"/>
          <w:kern w:val="0"/>
          <w:sz w:val="32"/>
        </w:rPr>
        <w:t>习近平同志指出：“要推动乡村产业振兴，紧紧围绕发展现代农业，围绕农村一二三产业融合发展，构建乡村产业体系，实现产业兴旺，把产业发展落到促进农民增收上来，全力以赴消除农村贫困，推动乡村生活富裕。”近年以来即墨区农业农村局紧紧抓住这个主线，充分发挥特色优势，做大做强特色甘薯产业，在全区范围内大力推广特色甘薯绿色高质高效集成技术，加快推进脱贫富民，走出了一条发展特色农业、助推乡村振兴的新路子。在工作中我们采取的工作措施：</w:t>
      </w:r>
    </w:p>
    <w:p>
      <w:pPr>
        <w:spacing w:line="560" w:lineRule="exact"/>
        <w:ind w:firstLine="640" w:firstLineChars="200"/>
        <w:rPr>
          <w:rFonts w:ascii="仿宋_GB2312" w:eastAsia="仿宋_GB2312"/>
          <w:snapToGrid w:val="0"/>
          <w:kern w:val="0"/>
          <w:sz w:val="32"/>
        </w:rPr>
      </w:pPr>
      <w:r>
        <w:rPr>
          <w:rFonts w:hint="eastAsia" w:ascii="仿宋_GB2312" w:eastAsia="仿宋_GB2312"/>
          <w:snapToGrid w:val="0"/>
          <w:kern w:val="0"/>
          <w:sz w:val="32"/>
        </w:rPr>
        <w:t>一是加强与大专院校、科研院校合作，推动“产学研”深度融合。我们主动与省农科院、青农大等联系，深化院地、校地合作，以科研单位为主体，开展甘薯资源引进与创新，强化基础研究，奠定新品种基础，促进了新产品、新技术、新模式在即墨落地转化，打造了利益共同体。</w:t>
      </w:r>
      <w:r>
        <w:rPr>
          <w:rFonts w:hint="eastAsia" w:ascii="仿宋_GB2312" w:eastAsia="仿宋_GB2312"/>
          <w:snapToGrid w:val="0"/>
          <w:kern w:val="0"/>
          <w:sz w:val="32"/>
          <w:lang w:val="en-US" w:eastAsia="zh-CN"/>
        </w:rPr>
        <w:t>同时，</w:t>
      </w:r>
      <w:r>
        <w:rPr>
          <w:rFonts w:hint="eastAsia" w:ascii="仿宋_GB2312" w:eastAsia="仿宋_GB2312"/>
          <w:snapToGrid w:val="0"/>
          <w:kern w:val="0"/>
          <w:sz w:val="32"/>
        </w:rPr>
        <w:t>积极整合科研力量，加强政府、企业与农业科研单位的产学研合作，优化科技资源配置，提升创新效率，解决甘薯产业共性难题，促进科研成果研发与产业实际需求紧密衔接，使之更好地应用于生产实践中。</w:t>
      </w:r>
    </w:p>
    <w:p>
      <w:pPr>
        <w:spacing w:line="560" w:lineRule="exact"/>
        <w:ind w:firstLine="640" w:firstLineChars="200"/>
        <w:rPr>
          <w:rFonts w:ascii="仿宋_GB2312" w:eastAsia="仿宋_GB2312"/>
          <w:snapToGrid w:val="0"/>
          <w:kern w:val="0"/>
          <w:sz w:val="32"/>
        </w:rPr>
      </w:pPr>
      <w:r>
        <w:rPr>
          <w:rFonts w:hint="eastAsia" w:ascii="仿宋_GB2312" w:eastAsia="仿宋_GB2312"/>
          <w:snapToGrid w:val="0"/>
          <w:kern w:val="0"/>
          <w:sz w:val="32"/>
        </w:rPr>
        <w:t>二是整合相关政策及项目资金重点向特色种植业倾斜。2017年即墨区出台《关于促进农内增收缩小城乡居民收入差距的意见》，意见指出鼓励特色种植。近几年实施的水肥一体化技术应用示范、有机肥替代化肥等项目对甘薯等特色种植业进行了适当补贴，加快特色农业发展和技术推广。目前，我区正围绕产业提质增效，立足我区甘薯、茶叶、中药材和花卉等地方特色产业，着力加快特色种植业发展，将资本、技术、人才等要素向产业集聚，扶持建设一批集产品生产、休闲观光、采摘体验、市场营销等为一体的特色现代园区和田园综合体。</w:t>
      </w:r>
    </w:p>
    <w:p>
      <w:pPr>
        <w:spacing w:line="560" w:lineRule="exact"/>
        <w:ind w:firstLine="640" w:firstLineChars="200"/>
        <w:rPr>
          <w:rFonts w:ascii="仿宋_GB2312" w:eastAsia="仿宋_GB2312"/>
          <w:snapToGrid w:val="0"/>
          <w:kern w:val="0"/>
          <w:sz w:val="32"/>
        </w:rPr>
      </w:pPr>
      <w:r>
        <w:rPr>
          <w:rFonts w:hint="eastAsia" w:ascii="仿宋_GB2312" w:eastAsia="仿宋_GB2312"/>
          <w:snapToGrid w:val="0"/>
          <w:kern w:val="0"/>
          <w:sz w:val="32"/>
        </w:rPr>
        <w:t>三是推广先进技术，提升甘薯产量和质量</w:t>
      </w:r>
      <w:r>
        <w:rPr>
          <w:rFonts w:hint="eastAsia" w:ascii="仿宋_GB2312" w:eastAsia="仿宋_GB2312"/>
          <w:snapToGrid w:val="0"/>
          <w:kern w:val="0"/>
          <w:sz w:val="32"/>
          <w:lang w:eastAsia="zh-CN"/>
        </w:rPr>
        <w:t>，</w:t>
      </w:r>
      <w:r>
        <w:rPr>
          <w:rFonts w:hint="eastAsia" w:ascii="仿宋_GB2312" w:eastAsia="仿宋_GB2312"/>
          <w:snapToGrid w:val="0"/>
          <w:kern w:val="0"/>
          <w:sz w:val="32"/>
        </w:rPr>
        <w:t>加强专用品种选育与配套栽培技术研究。</w:t>
      </w:r>
      <w:r>
        <w:rPr>
          <w:rFonts w:hint="eastAsia" w:ascii="仿宋_GB2312" w:eastAsia="仿宋_GB2312"/>
          <w:snapToGrid w:val="0"/>
          <w:kern w:val="0"/>
          <w:sz w:val="32"/>
          <w:lang w:val="en-US" w:eastAsia="zh-CN"/>
        </w:rPr>
        <w:t>我区积极</w:t>
      </w:r>
      <w:r>
        <w:rPr>
          <w:rFonts w:hint="eastAsia" w:ascii="仿宋_GB2312" w:eastAsia="仿宋_GB2312"/>
          <w:snapToGrid w:val="0"/>
          <w:kern w:val="0"/>
          <w:sz w:val="32"/>
        </w:rPr>
        <w:t>开展甘薯专用新品种的选育、繁殖技术研究与基地建设、配套栽培技术的研究及示范，</w:t>
      </w:r>
      <w:r>
        <w:rPr>
          <w:rFonts w:hint="eastAsia" w:ascii="仿宋_GB2312" w:eastAsia="仿宋_GB2312"/>
          <w:snapToGrid w:val="0"/>
          <w:kern w:val="0"/>
          <w:sz w:val="32"/>
          <w:lang w:val="en-US" w:eastAsia="zh-CN"/>
        </w:rPr>
        <w:t>为</w:t>
      </w:r>
      <w:r>
        <w:rPr>
          <w:rFonts w:hint="eastAsia" w:ascii="仿宋_GB2312" w:eastAsia="仿宋_GB2312"/>
          <w:snapToGrid w:val="0"/>
          <w:kern w:val="0"/>
          <w:sz w:val="32"/>
        </w:rPr>
        <w:t>甘薯产业发展</w:t>
      </w:r>
      <w:r>
        <w:rPr>
          <w:rFonts w:hint="eastAsia" w:ascii="仿宋_GB2312" w:eastAsia="仿宋_GB2312"/>
          <w:snapToGrid w:val="0"/>
          <w:kern w:val="0"/>
          <w:sz w:val="32"/>
          <w:lang w:val="en-US" w:eastAsia="zh-CN"/>
        </w:rPr>
        <w:t>打下坚实</w:t>
      </w:r>
      <w:r>
        <w:rPr>
          <w:rFonts w:hint="eastAsia" w:ascii="仿宋_GB2312" w:eastAsia="仿宋_GB2312"/>
          <w:snapToGrid w:val="0"/>
          <w:kern w:val="0"/>
          <w:sz w:val="32"/>
        </w:rPr>
        <w:t>基础。</w:t>
      </w:r>
      <w:r>
        <w:rPr>
          <w:rFonts w:hint="eastAsia" w:ascii="仿宋_GB2312" w:eastAsia="仿宋_GB2312"/>
          <w:snapToGrid w:val="0"/>
          <w:kern w:val="0"/>
          <w:sz w:val="32"/>
          <w:lang w:val="en-US" w:eastAsia="zh-CN"/>
        </w:rPr>
        <w:t>同时</w:t>
      </w:r>
      <w:r>
        <w:rPr>
          <w:rFonts w:hint="eastAsia" w:ascii="仿宋_GB2312" w:eastAsia="仿宋_GB2312"/>
          <w:snapToGrid w:val="0"/>
          <w:kern w:val="0"/>
          <w:sz w:val="32"/>
        </w:rPr>
        <w:t>对标国内外先进技术推广模式，</w:t>
      </w:r>
      <w:r>
        <w:rPr>
          <w:rFonts w:hint="eastAsia" w:ascii="仿宋_GB2312" w:eastAsia="仿宋_GB2312"/>
          <w:snapToGrid w:val="0"/>
          <w:kern w:val="0"/>
          <w:sz w:val="32"/>
          <w:lang w:val="en-US" w:eastAsia="zh-CN"/>
        </w:rPr>
        <w:t>结合新型职业农民培训，</w:t>
      </w:r>
      <w:r>
        <w:rPr>
          <w:rFonts w:hint="eastAsia" w:ascii="仿宋_GB2312" w:eastAsia="仿宋_GB2312"/>
          <w:snapToGrid w:val="0"/>
          <w:kern w:val="0"/>
          <w:sz w:val="32"/>
        </w:rPr>
        <w:t>多方位、多角度、多渠道的对农户进行不同领域的、更加具有针对性的农业技术推广</w:t>
      </w:r>
      <w:r>
        <w:rPr>
          <w:rFonts w:hint="eastAsia" w:ascii="仿宋_GB2312" w:eastAsia="仿宋_GB2312"/>
          <w:snapToGrid w:val="0"/>
          <w:kern w:val="0"/>
          <w:sz w:val="32"/>
          <w:lang w:eastAsia="zh-CN"/>
        </w:rPr>
        <w:t>，</w:t>
      </w:r>
      <w:r>
        <w:rPr>
          <w:rFonts w:hint="eastAsia" w:ascii="仿宋_GB2312" w:eastAsia="仿宋_GB2312"/>
          <w:snapToGrid w:val="0"/>
          <w:kern w:val="0"/>
          <w:sz w:val="32"/>
          <w:lang w:val="en-US" w:eastAsia="zh-CN"/>
        </w:rPr>
        <w:t>并通过</w:t>
      </w:r>
      <w:r>
        <w:rPr>
          <w:rFonts w:hint="eastAsia" w:ascii="仿宋_GB2312" w:eastAsia="仿宋_GB2312"/>
          <w:snapToGrid w:val="0"/>
          <w:kern w:val="0"/>
          <w:sz w:val="32"/>
        </w:rPr>
        <w:t>加强与农民之间的交流与沟通，将先进的农业技术教授给农民，帮助他们解决学习和种植过程中出现的种种难题，最大限度地提升甘薯种植的产量和质量，增加农民的经济收益。</w:t>
      </w:r>
    </w:p>
    <w:p>
      <w:pPr>
        <w:spacing w:line="560" w:lineRule="exact"/>
        <w:ind w:firstLine="640" w:firstLineChars="200"/>
        <w:rPr>
          <w:rFonts w:ascii="仿宋_GB2312" w:eastAsia="仿宋_GB2312"/>
          <w:snapToGrid w:val="0"/>
          <w:kern w:val="0"/>
          <w:sz w:val="32"/>
        </w:rPr>
      </w:pPr>
      <w:r>
        <w:rPr>
          <w:rFonts w:hint="eastAsia" w:ascii="仿宋_GB2312" w:hAnsi="仿宋_GB2312" w:eastAsia="仿宋_GB2312" w:cs="仿宋_GB2312"/>
          <w:bCs/>
          <w:kern w:val="0"/>
          <w:sz w:val="32"/>
          <w:szCs w:val="32"/>
        </w:rPr>
        <w:t>四是</w:t>
      </w:r>
      <w:r>
        <w:rPr>
          <w:rFonts w:hint="eastAsia" w:ascii="仿宋_GB2312" w:eastAsia="仿宋_GB2312"/>
          <w:snapToGrid w:val="0"/>
          <w:kern w:val="0"/>
          <w:sz w:val="32"/>
        </w:rPr>
        <w:t>加大甘薯品牌建设</w:t>
      </w:r>
      <w:r>
        <w:rPr>
          <w:rFonts w:hint="eastAsia" w:ascii="仿宋_GB2312" w:hAnsi="仿宋_GB2312" w:eastAsia="仿宋_GB2312" w:cs="仿宋_GB2312"/>
          <w:bCs/>
          <w:kern w:val="0"/>
          <w:sz w:val="32"/>
          <w:szCs w:val="32"/>
        </w:rPr>
        <w:t>，搭建品牌服务平台</w:t>
      </w:r>
      <w:r>
        <w:rPr>
          <w:rFonts w:hint="eastAsia" w:ascii="仿宋_GB2312" w:eastAsia="仿宋_GB2312"/>
          <w:snapToGrid w:val="0"/>
          <w:kern w:val="0"/>
          <w:sz w:val="32"/>
        </w:rPr>
        <w:t>，推进产业发展</w:t>
      </w:r>
      <w:r>
        <w:rPr>
          <w:rFonts w:hint="eastAsia" w:ascii="仿宋_GB2312" w:hAnsi="仿宋_GB2312" w:eastAsia="仿宋_GB2312" w:cs="仿宋_GB2312"/>
          <w:bCs/>
          <w:kern w:val="0"/>
          <w:sz w:val="32"/>
          <w:szCs w:val="32"/>
        </w:rPr>
        <w:t>。根据我区资源特色和产业优势，引导经营主体加快商标注册、“三品一标”认证。</w:t>
      </w:r>
      <w:r>
        <w:rPr>
          <w:rFonts w:hint="eastAsia" w:ascii="仿宋_GB2312" w:eastAsia="仿宋_GB2312"/>
          <w:snapToGrid w:val="0"/>
          <w:kern w:val="0"/>
          <w:sz w:val="32"/>
        </w:rPr>
        <w:t>2018年即墨区农业技术推广站通过了“即墨地瓜”国家地理标志认证，且已授权5家经营主体；2家甘薯产品获绿色食品认证，1家获得有机农产品认证，这些品牌的创建为即墨甘薯产业的下一步的发展和壮大打下更为坚实的基础。同时我们</w:t>
      </w:r>
      <w:r>
        <w:rPr>
          <w:rFonts w:hint="eastAsia" w:ascii="仿宋_GB2312" w:hAnsi="仿宋_GB2312" w:eastAsia="仿宋_GB2312" w:cs="仿宋_GB2312"/>
          <w:bCs/>
          <w:kern w:val="0"/>
          <w:sz w:val="32"/>
          <w:szCs w:val="32"/>
        </w:rPr>
        <w:t>组织优质农产品生产经营主体和相关专家学者建立“即墨区品牌农业联盟”，发挥“智囊团”作用，为农业品牌创建提供智力支持；另外，我们还积极组织企业、合作社、家庭农场等新型经营主体参加各类农产品交易会、展销会等农产品宣传推介活动，扩大甘薯产品的品牌影响力和知名度。</w:t>
      </w:r>
    </w:p>
    <w:p>
      <w:pPr>
        <w:spacing w:line="560" w:lineRule="exact"/>
        <w:ind w:firstLine="640" w:firstLineChars="200"/>
        <w:rPr>
          <w:rFonts w:ascii="仿宋_GB2312" w:eastAsia="仿宋_GB2312"/>
          <w:snapToGrid w:val="0"/>
          <w:kern w:val="0"/>
          <w:sz w:val="32"/>
        </w:rPr>
      </w:pPr>
    </w:p>
    <w:p>
      <w:pPr>
        <w:spacing w:line="560" w:lineRule="exact"/>
        <w:rPr>
          <w:rFonts w:ascii="仿宋_GB2312" w:eastAsia="仿宋_GB2312"/>
          <w:snapToGrid w:val="0"/>
          <w:kern w:val="0"/>
          <w:sz w:val="32"/>
        </w:rPr>
      </w:pPr>
    </w:p>
    <w:p>
      <w:pPr>
        <w:spacing w:line="560" w:lineRule="exact"/>
        <w:ind w:firstLine="5120" w:firstLineChars="1600"/>
        <w:rPr>
          <w:rFonts w:ascii="仿宋_GB2312" w:eastAsia="仿宋_GB2312"/>
          <w:snapToGrid w:val="0"/>
          <w:kern w:val="0"/>
          <w:sz w:val="32"/>
        </w:rPr>
      </w:pPr>
      <w:r>
        <w:rPr>
          <w:rFonts w:hint="eastAsia" w:ascii="仿宋_GB2312" w:eastAsia="仿宋_GB2312"/>
          <w:snapToGrid w:val="0"/>
          <w:kern w:val="0"/>
          <w:sz w:val="32"/>
        </w:rPr>
        <w:t>青岛市即墨区农业农村局</w:t>
      </w:r>
    </w:p>
    <w:p>
      <w:pPr>
        <w:spacing w:line="560" w:lineRule="exact"/>
        <w:ind w:firstLine="5760" w:firstLineChars="1800"/>
        <w:rPr>
          <w:rFonts w:ascii="仿宋_GB2312" w:eastAsia="仿宋_GB2312"/>
          <w:snapToGrid w:val="0"/>
          <w:kern w:val="0"/>
          <w:sz w:val="32"/>
        </w:rPr>
      </w:pPr>
      <w:r>
        <w:rPr>
          <w:rFonts w:hint="eastAsia" w:ascii="仿宋_GB2312" w:eastAsia="仿宋_GB2312"/>
          <w:snapToGrid w:val="0"/>
          <w:kern w:val="0"/>
          <w:sz w:val="32"/>
        </w:rPr>
        <w:t>2021年5月16日</w:t>
      </w:r>
    </w:p>
    <w:p>
      <w:pPr>
        <w:spacing w:line="560" w:lineRule="exact"/>
        <w:rPr>
          <w:rFonts w:hint="eastAsia" w:ascii="仿宋_GB2312" w:eastAsia="仿宋_GB2312"/>
          <w:snapToGrid w:val="0"/>
          <w:kern w:val="0"/>
          <w:sz w:val="32"/>
        </w:rPr>
      </w:pPr>
    </w:p>
    <w:p>
      <w:pPr>
        <w:spacing w:line="560" w:lineRule="exact"/>
        <w:rPr>
          <w:rFonts w:ascii="仿宋_GB2312" w:eastAsia="仿宋_GB2312"/>
          <w:snapToGrid w:val="0"/>
          <w:kern w:val="0"/>
          <w:sz w:val="32"/>
        </w:rPr>
      </w:pPr>
      <w:bookmarkStart w:id="0" w:name="_GoBack"/>
      <w:bookmarkEnd w:id="0"/>
    </w:p>
    <w:sectPr>
      <w:footerReference r:id="rId3" w:type="default"/>
      <w:footerReference r:id="rId4" w:type="even"/>
      <w:pgSz w:w="11906" w:h="16838"/>
      <w:pgMar w:top="2098" w:right="1474" w:bottom="1984"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8293002"/>
    </w:sdtPr>
    <w:sdtEndPr>
      <w:rPr>
        <w:rFonts w:asciiTheme="minorEastAsia" w:hAnsiTheme="minorEastAsia" w:eastAsiaTheme="minorEastAsia"/>
        <w:sz w:val="28"/>
        <w:szCs w:val="28"/>
      </w:rPr>
    </w:sdtEndPr>
    <w:sdtContent>
      <w:p>
        <w:pPr>
          <w:pStyle w:val="4"/>
          <w:jc w:val="right"/>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3 -</w:t>
        </w:r>
        <w:r>
          <w:rPr>
            <w:rFonts w:asciiTheme="minorEastAsia" w:hAnsiTheme="minorEastAsia" w:eastAsiaTheme="minorEastAsia"/>
            <w:sz w:val="28"/>
            <w:szCs w:val="28"/>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8293003"/>
    </w:sdtPr>
    <w:sdtContent>
      <w:p>
        <w:pPr>
          <w:pStyle w:val="4"/>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EC45D0"/>
    <w:rsid w:val="00083C66"/>
    <w:rsid w:val="00137262"/>
    <w:rsid w:val="001A2767"/>
    <w:rsid w:val="001A632D"/>
    <w:rsid w:val="001E4A20"/>
    <w:rsid w:val="002E34A3"/>
    <w:rsid w:val="003D73F5"/>
    <w:rsid w:val="00470C67"/>
    <w:rsid w:val="004E0426"/>
    <w:rsid w:val="004F5F0F"/>
    <w:rsid w:val="0061316A"/>
    <w:rsid w:val="00616067"/>
    <w:rsid w:val="00654751"/>
    <w:rsid w:val="00663662"/>
    <w:rsid w:val="006637D1"/>
    <w:rsid w:val="00730511"/>
    <w:rsid w:val="007A21BB"/>
    <w:rsid w:val="007D371F"/>
    <w:rsid w:val="00817F03"/>
    <w:rsid w:val="00885C95"/>
    <w:rsid w:val="008B76AC"/>
    <w:rsid w:val="009260ED"/>
    <w:rsid w:val="009E2C1E"/>
    <w:rsid w:val="00B4680D"/>
    <w:rsid w:val="00BB056E"/>
    <w:rsid w:val="00C35722"/>
    <w:rsid w:val="00CF309D"/>
    <w:rsid w:val="00E44468"/>
    <w:rsid w:val="00E96F71"/>
    <w:rsid w:val="00F2707F"/>
    <w:rsid w:val="00F31351"/>
    <w:rsid w:val="00F351CE"/>
    <w:rsid w:val="00FC1333"/>
    <w:rsid w:val="00FE3947"/>
    <w:rsid w:val="02E75669"/>
    <w:rsid w:val="030E4812"/>
    <w:rsid w:val="03493838"/>
    <w:rsid w:val="039356FD"/>
    <w:rsid w:val="0B920786"/>
    <w:rsid w:val="101F4418"/>
    <w:rsid w:val="14843B7C"/>
    <w:rsid w:val="17E35452"/>
    <w:rsid w:val="198B3CA8"/>
    <w:rsid w:val="2A4C7BDF"/>
    <w:rsid w:val="2E8C6F74"/>
    <w:rsid w:val="345F542C"/>
    <w:rsid w:val="37861EDD"/>
    <w:rsid w:val="38850666"/>
    <w:rsid w:val="3DEC45D0"/>
    <w:rsid w:val="52D07E73"/>
    <w:rsid w:val="547E6A6B"/>
    <w:rsid w:val="55D74AFA"/>
    <w:rsid w:val="5A694FA3"/>
    <w:rsid w:val="5AAC7B81"/>
    <w:rsid w:val="5AF27F63"/>
    <w:rsid w:val="5D952989"/>
    <w:rsid w:val="64BB0CC5"/>
    <w:rsid w:val="708848E7"/>
    <w:rsid w:val="70C749E8"/>
    <w:rsid w:val="72696F82"/>
    <w:rsid w:val="732B0290"/>
    <w:rsid w:val="7C1C0D92"/>
    <w:rsid w:val="7E1C3548"/>
    <w:rsid w:val="7E7F21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semiHidden/>
    <w:qFormat/>
    <w:uiPriority w:val="0"/>
    <w:rPr>
      <w:sz w:val="32"/>
      <w:szCs w:val="20"/>
    </w:rPr>
  </w:style>
  <w:style w:type="paragraph" w:styleId="3">
    <w:name w:val="Balloon Text"/>
    <w:basedOn w:val="1"/>
    <w:link w:val="9"/>
    <w:qFormat/>
    <w:uiPriority w:val="0"/>
    <w:rPr>
      <w:sz w:val="18"/>
      <w:szCs w:val="18"/>
    </w:rPr>
  </w:style>
  <w:style w:type="paragraph" w:styleId="4">
    <w:name w:val="footer"/>
    <w:basedOn w:val="1"/>
    <w:link w:val="8"/>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8">
    <w:name w:val="页脚 Char"/>
    <w:basedOn w:val="6"/>
    <w:link w:val="4"/>
    <w:qFormat/>
    <w:uiPriority w:val="99"/>
    <w:rPr>
      <w:kern w:val="2"/>
      <w:sz w:val="18"/>
      <w:szCs w:val="24"/>
    </w:rPr>
  </w:style>
  <w:style w:type="character" w:customStyle="1" w:styleId="9">
    <w:name w:val="批注框文本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Pages>
  <Words>212</Words>
  <Characters>1214</Characters>
  <Lines>10</Lines>
  <Paragraphs>2</Paragraphs>
  <TotalTime>15</TotalTime>
  <ScaleCrop>false</ScaleCrop>
  <LinksUpToDate>false</LinksUpToDate>
  <CharactersWithSpaces>1424</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2021-05-11T06:45:00Z</dcterms:created>
  <dc:creator>农业技术推广站</dc:creator>
  <cp:lastModifiedBy>Administrator</cp:lastModifiedBy>
  <cp:lastPrinted>2020-09-22T02:20:00Z</cp:lastPrinted>
  <dcterms:modified xsi:type="dcterms:W3CDTF">2021-10-13T12:30:17Z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2BA39DEE1FB84DBB8B31BC86AB359AD5</vt:lpwstr>
  </property>
</Properties>
</file>