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即墨区龙泉街道办事处</w:t>
      </w:r>
    </w:p>
    <w:p>
      <w:pPr>
        <w:spacing w:line="60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关于对区十八届人大五次会议第0</w:t>
      </w:r>
      <w:r>
        <w:rPr>
          <w:rFonts w:ascii="方正小标宋_GBK" w:hAnsi="宋体" w:eastAsia="方正小标宋_GBK"/>
          <w:spacing w:val="-10"/>
          <w:sz w:val="44"/>
        </w:rPr>
        <w:t>81</w:t>
      </w:r>
      <w:r>
        <w:rPr>
          <w:rFonts w:hint="eastAsia" w:ascii="方正小标宋_GBK" w:hAnsi="宋体" w:eastAsia="方正小标宋_GBK"/>
          <w:spacing w:val="-10"/>
          <w:sz w:val="44"/>
        </w:rPr>
        <w:t>号</w:t>
      </w:r>
    </w:p>
    <w:p>
      <w:pPr>
        <w:spacing w:line="600" w:lineRule="exact"/>
        <w:jc w:val="center"/>
        <w:rPr>
          <w:rFonts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建议的答复</w:t>
      </w:r>
    </w:p>
    <w:p>
      <w:pPr>
        <w:rPr>
          <w:rFonts w:eastAsia="仿宋_GB2312"/>
          <w:spacing w:val="-6"/>
          <w:sz w:val="32"/>
        </w:rPr>
      </w:pPr>
    </w:p>
    <w:p>
      <w:pPr>
        <w:overflowPunct w:val="0"/>
        <w:spacing w:line="570" w:lineRule="exact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姜成峰代表：</w:t>
      </w:r>
    </w:p>
    <w:p>
      <w:pPr>
        <w:overflowPunct w:val="0"/>
        <w:spacing w:line="570" w:lineRule="exact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 xml:space="preserve">    您提出的“关于进一步推动产城融合，促进莲花田园乡村振兴示范区发展的建议”收悉。现答复如下：</w:t>
      </w:r>
    </w:p>
    <w:p>
      <w:pPr>
        <w:overflowPunct w:val="0"/>
        <w:spacing w:line="570" w:lineRule="exact"/>
        <w:ind w:firstLine="640" w:firstLineChars="200"/>
        <w:rPr>
          <w:rFonts w:ascii="仿宋_GB2312" w:hAnsi="宋体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kern w:val="0"/>
          <w:sz w:val="32"/>
          <w:szCs w:val="32"/>
        </w:rPr>
        <w:t>莲花田园乡村振兴示范片区，位于龙泉街道东部，以莲花山、莲茵河山水廊道为中心轴，东部与温泉街道接壤，西部以青龙高速为界，南至鹤山路，北至王圈水库。规划面积52平方公里，辖3个新村，31个自然村、2.4万人口，核心区面积14平方公里，包含台子、张家庄等12个美丽乡村。域内自然资源禀赋，莲花山、莲茵河自然风光优美，生态环境良好，分布有农科院青岛特种作物研究中心、青岛农大、鲁东大学等农业产学研基地以及瑞草园、竹韵轩等新型农业经营主体100余家。龙泉街道坚持市场化思维，引入央企华侨城集团，持续导入高品质产业资源。目前，莲花山运动公园、莲山胜境游客服务中心、乡村振兴规划展示中心、莲花优鲜馆、嘉禾CSA农场等项目已投入运营，拉开片区高品质旅游序幕。</w:t>
      </w:r>
    </w:p>
    <w:p>
      <w:pPr>
        <w:overflowPunct w:val="0"/>
        <w:spacing w:line="570" w:lineRule="exact"/>
        <w:ind w:firstLine="640" w:firstLineChars="200"/>
        <w:rPr>
          <w:rFonts w:ascii="仿宋_GB2312" w:hAnsi="宋体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kern w:val="0"/>
          <w:sz w:val="32"/>
          <w:szCs w:val="32"/>
        </w:rPr>
        <w:t>今年以来，龙泉街道紧紧围绕区委区政府的工作部署，铆足干劲，狠抓落实，聚力推动莲花田园乡村振兴示范片区建设：</w:t>
      </w:r>
    </w:p>
    <w:p>
      <w:pPr>
        <w:widowControl/>
        <w:tabs>
          <w:tab w:val="left" w:pos="48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00"/>
        <w:jc w:val="left"/>
        <w:rPr>
          <w:rFonts w:ascii="楷体_GB2312" w:hAnsi="黑体" w:eastAsia="楷体_GB2312"/>
          <w:color w:val="000000"/>
          <w:spacing w:val="-6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pacing w:val="-6"/>
          <w:sz w:val="32"/>
          <w:szCs w:val="32"/>
        </w:rPr>
        <w:t>（一）以组织振兴为引领，夯实基层组织基础。</w:t>
      </w:r>
    </w:p>
    <w:p>
      <w:pPr>
        <w:widowControl/>
        <w:tabs>
          <w:tab w:val="left" w:pos="48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585"/>
        <w:rPr>
          <w:rFonts w:ascii="仿宋_GB2312" w:hAnsi="楷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pacing w:val="-6"/>
          <w:sz w:val="32"/>
          <w:szCs w:val="32"/>
        </w:rPr>
        <w:t>一方面，扎实推进</w:t>
      </w:r>
      <w:r>
        <w:rPr>
          <w:rFonts w:hint="eastAsia" w:ascii="仿宋_GB2312" w:hAnsi="Calibri" w:eastAsia="仿宋_GB2312"/>
          <w:sz w:val="32"/>
          <w:szCs w:val="32"/>
        </w:rPr>
        <w:t>村庄换届选举工作，在建立“街道党工委-新村党委-网格党支部-党员中心户”的组织架构体系的同时，抓好新任村“两委”干部培训和村庄建章立制工作，加快建立健全新村干部职责分工、坐班值班、议事决策、党员议事代表、党员中心户等制度，</w:t>
      </w:r>
      <w:r>
        <w:rPr>
          <w:rFonts w:hint="eastAsia" w:ascii="仿宋_GB2312" w:hAnsi="楷体" w:eastAsia="仿宋_GB2312" w:cs="仿宋_GB2312"/>
          <w:color w:val="000000"/>
          <w:sz w:val="32"/>
          <w:szCs w:val="32"/>
        </w:rPr>
        <w:t>构建以新村党委统领发展、治理、服务的工作体系。另一方面，创新组织体系，已构建“</w:t>
      </w:r>
      <w:r>
        <w:rPr>
          <w:rFonts w:ascii="仿宋_GB2312" w:hAnsi="楷体" w:eastAsia="仿宋_GB2312" w:cs="仿宋_GB2312"/>
          <w:color w:val="000000"/>
          <w:sz w:val="32"/>
          <w:szCs w:val="32"/>
        </w:rPr>
        <w:t>1+1+N</w:t>
      </w:r>
      <w:r>
        <w:rPr>
          <w:rFonts w:hint="eastAsia" w:ascii="仿宋_GB2312" w:hAnsi="楷体" w:eastAsia="仿宋_GB2312" w:cs="仿宋_GB2312"/>
          <w:color w:val="000000"/>
          <w:sz w:val="32"/>
          <w:szCs w:val="32"/>
        </w:rPr>
        <w:t>”的区域化党建组织架构，成立莲花田园片区联合党委，在区域内村庄、合作社、农旅文旅产业、社会服务组织等组建多个党组织，下步继续</w:t>
      </w:r>
      <w:r>
        <w:rPr>
          <w:rFonts w:hint="eastAsia" w:ascii="仿宋_GB2312" w:hAnsi="楷体" w:eastAsia="仿宋_GB2312" w:cs="仿宋_GB2312"/>
          <w:bCs/>
          <w:color w:val="000000"/>
          <w:sz w:val="32"/>
          <w:szCs w:val="32"/>
        </w:rPr>
        <w:t>抓好莲花田园区域化党建工作，</w:t>
      </w:r>
      <w:r>
        <w:rPr>
          <w:rFonts w:hint="eastAsia" w:ascii="仿宋_GB2312" w:hAnsi="楷体" w:eastAsia="仿宋_GB2312" w:cs="仿宋_GB2312"/>
          <w:color w:val="000000"/>
          <w:sz w:val="32"/>
          <w:szCs w:val="32"/>
        </w:rPr>
        <w:t>有效整合区域内各类要素资源，吸引各类人才、技术、资金、信息向片区集聚。</w:t>
      </w:r>
    </w:p>
    <w:p>
      <w:pPr>
        <w:spacing w:line="540" w:lineRule="exact"/>
        <w:ind w:firstLine="645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_GB2312" w:hAnsi="Calibri" w:eastAsia="楷体_GB2312"/>
          <w:bCs/>
          <w:sz w:val="32"/>
          <w:szCs w:val="32"/>
        </w:rPr>
        <w:t>（二）</w:t>
      </w:r>
      <w:r>
        <w:rPr>
          <w:rFonts w:hint="eastAsia" w:ascii="楷体" w:hAnsi="楷体" w:eastAsia="楷体" w:cs="楷体"/>
          <w:sz w:val="32"/>
          <w:szCs w:val="32"/>
        </w:rPr>
        <w:t>以产业振兴为引擎，全面助力乡村振兴发展。</w:t>
      </w:r>
    </w:p>
    <w:p>
      <w:pPr>
        <w:autoSpaceDE w:val="0"/>
        <w:autoSpaceDN w:val="0"/>
        <w:adjustRightInd w:val="0"/>
        <w:spacing w:line="560" w:lineRule="exact"/>
        <w:ind w:firstLine="643" w:firstLineChars="200"/>
        <w:rPr>
          <w:rFonts w:ascii="楷体_GB2312" w:hAnsi="Calibri" w:eastAsia="楷体_GB2312"/>
          <w:bCs/>
          <w:sz w:val="32"/>
          <w:szCs w:val="32"/>
        </w:rPr>
      </w:pPr>
      <w:r>
        <w:rPr>
          <w:rFonts w:hint="eastAsia" w:ascii="仿宋_GB2312" w:hAnsi="Calibri" w:eastAsia="仿宋_GB2312"/>
          <w:b/>
          <w:bCs/>
          <w:sz w:val="32"/>
          <w:szCs w:val="32"/>
        </w:rPr>
        <w:t>一是加快重点项目落地。</w:t>
      </w:r>
      <w:r>
        <w:rPr>
          <w:rFonts w:hint="eastAsia" w:ascii="楷体_GB2312" w:hAnsi="Calibri" w:eastAsia="楷体_GB2312"/>
          <w:bCs/>
          <w:sz w:val="32"/>
          <w:szCs w:val="32"/>
        </w:rPr>
        <w:t>2021年，</w:t>
      </w:r>
      <w:r>
        <w:rPr>
          <w:rFonts w:hint="eastAsia" w:ascii="仿宋_GB2312" w:hAnsi="黑体" w:eastAsia="仿宋_GB2312"/>
          <w:color w:val="000000"/>
          <w:spacing w:val="-6"/>
          <w:sz w:val="32"/>
          <w:szCs w:val="32"/>
        </w:rPr>
        <w:t>凝心聚力推进核心区建设，从南部、中部和北部和三个板块共同发力，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</w:rPr>
        <w:t>导入优质农旅、文旅项目，实现产业融合发展</w:t>
      </w:r>
      <w:r>
        <w:rPr>
          <w:rFonts w:hint="eastAsia" w:ascii="仿宋_GB2312" w:hAnsi="黑体" w:eastAsia="仿宋_GB2312"/>
          <w:color w:val="000000"/>
          <w:spacing w:val="-6"/>
          <w:sz w:val="32"/>
          <w:szCs w:val="32"/>
        </w:rPr>
        <w:t>。围绕南部板块建设，投资1100万元，推进莲花山运动公园提升工程，北入口、南入口和骑行道中部建设游客中心、“悠仙美地”网红打卡休闲区、驿站、停车场等项目，打造成为青岛市最具吸引力的户外运动公园。围绕中部板块建设，莲花优鲜慢生活度假区项目，由蚂蚁乡集投资500万元，持续提升莲花优鲜品牌，片区内建设亲子乐园、民宿、生态餐厅、观光火车等，不断优化旅游服务设施，提升乡村旅游服务能力。手作工坊、乡村市集项目，由华侨城集团投资2000万元，利用展示中心附近存量老建筑，以胶东地区非遗传统文化为脉络，打造互动性、参与性民俗工艺匠人馆，成为本土特色的文化研学类项目，周边配套乡村集市，目前正在进行方案设计。围绕北部板块建设，由华侨城集团投资7700万元，围绕莲湾美村打造，计划导入凤栖乡居、星空营地、梧桐小院、花橙农场、自然研学营、花庐小筑、蜂巢度假酒店等</w:t>
      </w:r>
      <w:r>
        <w:rPr>
          <w:rFonts w:ascii="仿宋_GB2312" w:hAnsi="黑体" w:eastAsia="仿宋_GB2312"/>
          <w:color w:val="000000"/>
          <w:spacing w:val="-6"/>
          <w:sz w:val="32"/>
          <w:szCs w:val="32"/>
        </w:rPr>
        <w:t>小而美的文旅产品</w:t>
      </w:r>
      <w:r>
        <w:rPr>
          <w:rFonts w:hint="eastAsia" w:ascii="仿宋_GB2312" w:hAnsi="黑体" w:eastAsia="仿宋_GB2312"/>
          <w:color w:val="000000"/>
          <w:spacing w:val="-6"/>
          <w:sz w:val="32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color w:val="000000"/>
          <w:sz w:val="32"/>
          <w:szCs w:val="32"/>
        </w:rPr>
        <w:t>二是推动产业升级。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一方面，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与农科院深度合作，建设莲花山蜜桃基地、苹果基地、树莓基地和满贡茶示范基地，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从品种、育苗、施肥、病虫害防治等方面进行标准化管理，提升种植规模和品种质量，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借助莲花优鲜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农产品展示交易平台，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全面叫响莲花山优质农产品品牌。另一方面，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推动片区内瑞草园、竹韵轩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100余家新型经营主体提档升级，积极发展餐饮、民宿、农家乐、采摘园等产业，使其成为园区重要的配套区和休闲娱乐点。目前，竹韵轩已与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鲁东大学签约，建设完成菌类实验基地，现推动竹韵轩打造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“蘑法世界”食用菌主题展厅，栽培珍稀食用菌品种，填补我市珍稀食用菌品种生产技术短缺空白。推动瑞草园与青岛农业大学“泰山学者”丁兆堂开展合作，新建茶树良种繁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育基地，通过“合作社+基地+农户”集合周边茶农散户，助推社员增收致富。</w:t>
      </w:r>
    </w:p>
    <w:p>
      <w:pPr>
        <w:spacing w:line="560" w:lineRule="exact"/>
        <w:ind w:firstLine="640"/>
        <w:jc w:val="left"/>
        <w:rPr>
          <w:rFonts w:ascii="楷体_GB2312" w:hAnsi="黑体" w:eastAsia="楷体_GB2312" w:cs="楷体"/>
          <w:sz w:val="32"/>
          <w:szCs w:val="32"/>
        </w:rPr>
      </w:pPr>
      <w:r>
        <w:rPr>
          <w:rFonts w:hint="eastAsia" w:ascii="楷体_GB2312" w:hAnsi="黑体" w:eastAsia="楷体_GB2312"/>
          <w:bCs/>
          <w:sz w:val="32"/>
          <w:szCs w:val="22"/>
        </w:rPr>
        <w:t>（三）</w:t>
      </w:r>
      <w:r>
        <w:rPr>
          <w:rFonts w:hint="eastAsia" w:ascii="楷体_GB2312" w:hAnsi="黑体" w:eastAsia="楷体_GB2312" w:cs="楷体"/>
          <w:sz w:val="32"/>
          <w:szCs w:val="32"/>
        </w:rPr>
        <w:t>以生态振兴为基底，建设美丽宜居乡村。</w:t>
      </w:r>
    </w:p>
    <w:p>
      <w:pPr>
        <w:spacing w:line="560" w:lineRule="exact"/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Calibri" w:eastAsia="仿宋_GB2312"/>
          <w:b/>
          <w:bCs/>
          <w:sz w:val="32"/>
          <w:szCs w:val="32"/>
        </w:rPr>
        <w:t>一是推进美丽乡村成方连片。</w:t>
      </w:r>
      <w:r>
        <w:rPr>
          <w:rFonts w:hint="eastAsia" w:ascii="仿宋_GB2312" w:hAnsi="Calibri" w:eastAsia="仿宋_GB2312"/>
          <w:color w:val="000000"/>
          <w:spacing w:val="-6"/>
          <w:sz w:val="32"/>
          <w:szCs w:val="32"/>
        </w:rPr>
        <w:t>核心区范围内已建成10个美丽乡村精品示范村，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今年持续提升美丽乡村建设，打造美丽乡村群落</w:t>
      </w:r>
      <w:r>
        <w:rPr>
          <w:rFonts w:hint="eastAsia" w:ascii="仿宋_GB2312" w:hAnsi="Calibri" w:eastAsia="仿宋_GB2312"/>
          <w:color w:val="000000"/>
          <w:spacing w:val="-6"/>
          <w:sz w:val="32"/>
          <w:szCs w:val="32"/>
        </w:rPr>
        <w:t>。</w:t>
      </w:r>
      <w:r>
        <w:rPr>
          <w:rFonts w:hint="eastAsia" w:ascii="仿宋_GB2312" w:hAnsi="Calibri" w:eastAsia="仿宋_GB2312"/>
          <w:b/>
          <w:color w:val="000000"/>
          <w:spacing w:val="-6"/>
          <w:sz w:val="32"/>
          <w:szCs w:val="32"/>
        </w:rPr>
        <w:t>二是加快民生工程建设。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建议提出，要整合教育资源、推动教育水平提升。今年以来，我处</w:t>
      </w:r>
      <w:r>
        <w:rPr>
          <w:rFonts w:hint="eastAsia" w:ascii="仿宋_GB2312" w:eastAsia="仿宋_GB2312"/>
          <w:sz w:val="32"/>
          <w:szCs w:val="32"/>
        </w:rPr>
        <w:t>从扩大优质教育资源、调整教育布局、建设高质量师资队伍、提升教育教学质量等多个方面着手，在学前教育、义务教育、高中教育领域不断推进域内教育优质均衡发展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，不断提升龙泉街道城乡融合示范区教育质量。</w:t>
      </w:r>
      <w:r>
        <w:rPr>
          <w:rFonts w:hint="eastAsia" w:ascii="仿宋_GB2312" w:hAnsi="Calibri" w:eastAsia="仿宋_GB2312" w:cs="仿宋_GB2312"/>
          <w:b/>
          <w:color w:val="000000"/>
          <w:sz w:val="32"/>
          <w:szCs w:val="32"/>
          <w:lang w:val="zh-CN"/>
        </w:rPr>
        <w:t>三是</w:t>
      </w:r>
      <w:r>
        <w:rPr>
          <w:rFonts w:hint="eastAsia" w:ascii="仿宋_GB2312" w:hAnsi="仿宋_GB2312" w:eastAsia="仿宋_GB2312"/>
          <w:b/>
          <w:sz w:val="32"/>
          <w:szCs w:val="32"/>
        </w:rPr>
        <w:t>完善基础配套建设。</w:t>
      </w:r>
      <w:r>
        <w:rPr>
          <w:rFonts w:hint="eastAsia" w:ascii="仿宋_GB2312" w:hAnsi="Calibri" w:eastAsia="仿宋_GB2312" w:cs="仿宋_GB2312"/>
          <w:bCs/>
          <w:color w:val="000000"/>
          <w:sz w:val="32"/>
          <w:szCs w:val="32"/>
        </w:rPr>
        <w:t>建议提出，要加强交通规划，不断完善交通体系。我处多次与公交公司沟通协调，目前已完成公交站升级施工图设计，履行相关招投标程序，正在稳步推进该项工程。就潍兰路东通工程有关前期规划、用地手续问题，对接区交通局及区自然资源局，积极推动潍兰路道路东通工程。另外，正在推进台子村至吴家庄村滨水一路道路整修和绿化提升工程，实施满贡一村、满贡二村、大埠村、西河北等村庄道路硬化、亮化等工程，改善村庄出行条件。</w:t>
      </w:r>
      <w:r>
        <w:rPr>
          <w:rFonts w:hint="eastAsia" w:ascii="仿宋_GB2312" w:hAnsi="Calibri" w:eastAsia="仿宋_GB2312"/>
          <w:b/>
          <w:sz w:val="32"/>
          <w:szCs w:val="32"/>
        </w:rPr>
        <w:t>四是持续改善人居环境。</w:t>
      </w:r>
      <w:r>
        <w:rPr>
          <w:rFonts w:hint="eastAsia" w:ascii="仿宋_GB2312" w:hAnsi="Calibri" w:eastAsia="仿宋_GB2312" w:cs="仿宋_GB2312"/>
          <w:bCs/>
          <w:color w:val="000000"/>
          <w:sz w:val="32"/>
          <w:szCs w:val="32"/>
        </w:rPr>
        <w:t>建议提出，</w:t>
      </w:r>
      <w:r>
        <w:rPr>
          <w:rFonts w:ascii="仿宋_GB2312" w:hAnsi="Calibri" w:eastAsia="仿宋_GB2312" w:cs="仿宋_GB2312"/>
          <w:bCs/>
          <w:sz w:val="32"/>
          <w:szCs w:val="32"/>
        </w:rPr>
        <w:t>实施河道综合整治，提升宜居宜游品质。我处</w:t>
      </w:r>
      <w:r>
        <w:rPr>
          <w:rFonts w:hint="eastAsia" w:ascii="仿宋_GB2312" w:hAnsi="Calibri" w:eastAsia="仿宋_GB2312" w:cs="仿宋_GB2312"/>
          <w:bCs/>
          <w:sz w:val="32"/>
          <w:szCs w:val="32"/>
        </w:rPr>
        <w:t>深入落实“节水优先、空间均衡、系统治理、两手发力”的治水思路，坚定不移践行水利改革发展总基调，按照务实、高效、管用的原则，深入推进“清四乱”常态化、规范化，努力让每条河流都成为造福人民的幸福河。</w:t>
      </w:r>
      <w:r>
        <w:rPr>
          <w:rFonts w:ascii="仿宋_GB2312" w:hAnsi="Calibri" w:eastAsia="仿宋_GB2312" w:cs="仿宋_GB2312"/>
          <w:bCs/>
          <w:sz w:val="32"/>
          <w:szCs w:val="32"/>
        </w:rPr>
        <w:t>结合人居环境整治，积极</w:t>
      </w:r>
      <w:r>
        <w:rPr>
          <w:rFonts w:hint="eastAsia" w:ascii="仿宋_GB2312" w:hAnsi="Calibri" w:eastAsia="仿宋_GB2312" w:cs="仿宋_GB2312"/>
          <w:bCs/>
          <w:color w:val="000000"/>
          <w:sz w:val="32"/>
          <w:szCs w:val="32"/>
        </w:rPr>
        <w:t>推进前碾-果园、汪河水南-莲花山、满贡-吴家庄段河道清理整治工程，计划12月份完工。</w:t>
      </w:r>
      <w:r>
        <w:rPr>
          <w:rFonts w:hint="eastAsia" w:ascii="仿宋_GB2312" w:hAnsi="Calibri" w:eastAsia="仿宋_GB2312"/>
          <w:sz w:val="32"/>
          <w:szCs w:val="32"/>
        </w:rPr>
        <w:t>印发《</w:t>
      </w:r>
      <w:r>
        <w:rPr>
          <w:rFonts w:ascii="仿宋_GB2312" w:hAnsi="Calibri" w:eastAsia="仿宋_GB2312"/>
          <w:sz w:val="32"/>
          <w:szCs w:val="32"/>
        </w:rPr>
        <w:t>2021</w:t>
      </w:r>
      <w:r>
        <w:rPr>
          <w:rFonts w:hint="eastAsia" w:ascii="仿宋_GB2312" w:hAnsi="Calibri" w:eastAsia="仿宋_GB2312"/>
          <w:sz w:val="32"/>
          <w:szCs w:val="32"/>
        </w:rPr>
        <w:t>年农村人居环境全面整治提升实施方案》《2021年农村人居环境整治提升工作考核奖励办法》，</w:t>
      </w:r>
      <w:r>
        <w:rPr>
          <w:rFonts w:hint="eastAsia" w:ascii="仿宋_GB2312" w:hAnsi="黑体" w:eastAsia="仿宋_GB2312"/>
          <w:sz w:val="32"/>
          <w:szCs w:val="32"/>
        </w:rPr>
        <w:t>明确考核标准和奖惩措施，</w:t>
      </w:r>
      <w:r>
        <w:rPr>
          <w:rFonts w:hint="eastAsia" w:ascii="仿宋_GB2312" w:hAnsi="Calibri" w:eastAsia="仿宋_GB2312"/>
          <w:sz w:val="32"/>
          <w:szCs w:val="32"/>
        </w:rPr>
        <w:t>压实社区、村庄、保洁公司责任，形成以街道抓总、村庄主导、保洁协助、社区督促、考核督查的人居环境整治模式，全面打响人居环境整治攻坚战。</w:t>
      </w:r>
      <w:r>
        <w:rPr>
          <w:rFonts w:hint="eastAsia" w:ascii="仿宋_GB2312" w:hAnsi="黑体" w:eastAsia="仿宋_GB2312"/>
          <w:sz w:val="32"/>
          <w:szCs w:val="32"/>
        </w:rPr>
        <w:t>督查专班</w:t>
      </w:r>
      <w:r>
        <w:rPr>
          <w:rFonts w:hint="eastAsia" w:ascii="仿宋_GB2312" w:hAnsi="Calibri" w:eastAsia="仿宋_GB2312"/>
          <w:sz w:val="32"/>
          <w:szCs w:val="32"/>
        </w:rPr>
        <w:t>采取明查暗访的方式，建立“日督查、日整改”机制，确保将问题改到底、改到位。同时，将人居环境整治与完善基础设施配套、美丽庭院创建、修订村规民约、开展幸福积分活动结合，全面提升辖区村容村貌和乡村旅游品质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</w:p>
    <w:p>
      <w:pPr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 xml:space="preserve">                                       202</w:t>
      </w:r>
      <w:r>
        <w:rPr>
          <w:rFonts w:eastAsia="仿宋_GB2312"/>
          <w:spacing w:val="-6"/>
          <w:sz w:val="32"/>
        </w:rPr>
        <w:t>1</w:t>
      </w:r>
      <w:r>
        <w:rPr>
          <w:rFonts w:hint="eastAsia" w:eastAsia="仿宋_GB2312"/>
          <w:spacing w:val="-6"/>
          <w:sz w:val="32"/>
        </w:rPr>
        <w:t>年</w:t>
      </w:r>
      <w:r>
        <w:rPr>
          <w:rFonts w:eastAsia="仿宋_GB2312"/>
          <w:spacing w:val="-6"/>
          <w:sz w:val="32"/>
        </w:rPr>
        <w:t>5</w:t>
      </w:r>
      <w:r>
        <w:rPr>
          <w:rFonts w:hint="eastAsia" w:eastAsia="仿宋_GB2312"/>
          <w:spacing w:val="-6"/>
          <w:sz w:val="32"/>
        </w:rPr>
        <w:t>月</w:t>
      </w:r>
      <w:r>
        <w:rPr>
          <w:rFonts w:eastAsia="仿宋_GB2312"/>
          <w:spacing w:val="-6"/>
          <w:sz w:val="32"/>
        </w:rPr>
        <w:t>19</w:t>
      </w:r>
      <w:r>
        <w:rPr>
          <w:rFonts w:hint="eastAsia" w:eastAsia="仿宋_GB2312"/>
          <w:spacing w:val="-6"/>
          <w:sz w:val="32"/>
        </w:rPr>
        <w:t>日</w:t>
      </w:r>
    </w:p>
    <w:p>
      <w:pPr>
        <w:rPr>
          <w:spacing w:val="-6"/>
        </w:rPr>
      </w:pP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2B8"/>
    <w:rsid w:val="00163BA1"/>
    <w:rsid w:val="00214F3E"/>
    <w:rsid w:val="002F12B8"/>
    <w:rsid w:val="00416877"/>
    <w:rsid w:val="00566A92"/>
    <w:rsid w:val="005A1F27"/>
    <w:rsid w:val="005E0DF1"/>
    <w:rsid w:val="00622BA1"/>
    <w:rsid w:val="00692891"/>
    <w:rsid w:val="009A12B3"/>
    <w:rsid w:val="00A56A40"/>
    <w:rsid w:val="00AD216F"/>
    <w:rsid w:val="00CF383B"/>
    <w:rsid w:val="00F4323D"/>
    <w:rsid w:val="175D7A90"/>
    <w:rsid w:val="22952253"/>
    <w:rsid w:val="5880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Date"/>
    <w:basedOn w:val="1"/>
    <w:next w:val="1"/>
    <w:semiHidden/>
    <w:qFormat/>
    <w:uiPriority w:val="0"/>
    <w:rPr>
      <w:sz w:val="32"/>
      <w:szCs w:val="20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正文文本缩进 21"/>
    <w:basedOn w:val="1"/>
    <w:qFormat/>
    <w:uiPriority w:val="0"/>
    <w:pPr>
      <w:spacing w:after="120" w:line="480" w:lineRule="auto"/>
      <w:ind w:left="420" w:leftChars="200"/>
    </w:pPr>
    <w:rPr>
      <w:rFonts w:eastAsiaTheme="minorEastAsia" w:cstheme="minorBidi"/>
    </w:rPr>
  </w:style>
  <w:style w:type="character" w:customStyle="1" w:styleId="9">
    <w:name w:val="fontstyle01"/>
    <w:basedOn w:val="6"/>
    <w:uiPriority w:val="0"/>
    <w:rPr>
      <w:rFonts w:hint="eastAsia" w:ascii="楷体_GB2312" w:eastAsia="楷体_GB2312"/>
      <w:color w:val="000000"/>
      <w:sz w:val="28"/>
      <w:szCs w:val="28"/>
    </w:rPr>
  </w:style>
  <w:style w:type="character" w:customStyle="1" w:styleId="10">
    <w:name w:val="页眉 字符"/>
    <w:basedOn w:val="6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384</Words>
  <Characters>2189</Characters>
  <Lines>18</Lines>
  <Paragraphs>5</Paragraphs>
  <TotalTime>282</TotalTime>
  <ScaleCrop>false</ScaleCrop>
  <LinksUpToDate>false</LinksUpToDate>
  <CharactersWithSpaces>2568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2021-10-13T12:44:19Z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