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60" w:lineRule="exact"/>
        <w:jc w:val="right"/>
        <w:outlineLvl w:val="3"/>
        <w:rPr>
          <w:rFonts w:hint="eastAsia" w:ascii="黑体" w:hAnsi="黑体" w:eastAsia="黑体" w:cs="Arial"/>
          <w:bCs/>
          <w:color w:val="000000"/>
          <w:kern w:val="0"/>
          <w:sz w:val="28"/>
          <w:szCs w:val="45"/>
        </w:rPr>
      </w:pPr>
      <w:r>
        <w:rPr>
          <w:rFonts w:hint="eastAsia" w:ascii="黑体" w:hAnsi="黑体" w:eastAsia="黑体" w:cs="Arial"/>
          <w:bCs/>
          <w:color w:val="000000"/>
          <w:kern w:val="0"/>
          <w:sz w:val="28"/>
          <w:szCs w:val="45"/>
        </w:rPr>
        <w:t>标记：A</w:t>
      </w:r>
    </w:p>
    <w:p>
      <w:pPr>
        <w:widowControl/>
        <w:shd w:val="clear" w:color="auto" w:fill="FFFFFF"/>
        <w:spacing w:line="560" w:lineRule="exact"/>
        <w:jc w:val="right"/>
        <w:outlineLvl w:val="3"/>
        <w:rPr>
          <w:rFonts w:ascii="黑体" w:hAnsi="黑体" w:eastAsia="黑体" w:cs="Arial"/>
          <w:bCs/>
          <w:color w:val="000000"/>
          <w:kern w:val="0"/>
          <w:sz w:val="28"/>
          <w:szCs w:val="45"/>
        </w:rPr>
      </w:pPr>
    </w:p>
    <w:p>
      <w:pPr>
        <w:widowControl/>
        <w:shd w:val="clear" w:color="auto" w:fill="FFFFFF"/>
        <w:spacing w:line="560" w:lineRule="exact"/>
        <w:jc w:val="center"/>
        <w:outlineLvl w:val="3"/>
        <w:rPr>
          <w:rFonts w:ascii="方正小标宋_GBK" w:hAnsi="黑体" w:eastAsia="方正小标宋_GBK" w:cs="Arial"/>
          <w:bCs/>
          <w:color w:val="000000"/>
          <w:kern w:val="0"/>
          <w:sz w:val="45"/>
          <w:szCs w:val="45"/>
        </w:rPr>
      </w:pPr>
      <w:r>
        <w:rPr>
          <w:rFonts w:hint="eastAsia" w:ascii="方正小标宋_GBK" w:hAnsi="黑体" w:eastAsia="方正小标宋_GBK" w:cs="Arial"/>
          <w:bCs/>
          <w:color w:val="000000"/>
          <w:kern w:val="0"/>
          <w:sz w:val="45"/>
          <w:szCs w:val="45"/>
        </w:rPr>
        <w:t>即墨区行政审批服务局</w:t>
      </w:r>
    </w:p>
    <w:p>
      <w:pPr>
        <w:widowControl/>
        <w:shd w:val="clear" w:color="auto" w:fill="FFFFFF"/>
        <w:spacing w:line="560" w:lineRule="exact"/>
        <w:jc w:val="center"/>
        <w:outlineLvl w:val="3"/>
        <w:rPr>
          <w:rFonts w:ascii="方正小标宋_GBK" w:hAnsi="黑体" w:eastAsia="方正小标宋_GBK" w:cs="Arial"/>
          <w:bCs/>
          <w:color w:val="000000"/>
          <w:kern w:val="0"/>
          <w:sz w:val="45"/>
          <w:szCs w:val="45"/>
        </w:rPr>
      </w:pPr>
      <w:r>
        <w:rPr>
          <w:rFonts w:hint="eastAsia" w:ascii="方正小标宋_GBK" w:hAnsi="黑体" w:eastAsia="方正小标宋_GBK" w:cs="Arial"/>
          <w:bCs/>
          <w:color w:val="000000"/>
          <w:kern w:val="0"/>
          <w:sz w:val="45"/>
          <w:szCs w:val="45"/>
        </w:rPr>
        <w:t>关于对区政协第十五届一次会议的第26号</w:t>
      </w:r>
    </w:p>
    <w:p>
      <w:pPr>
        <w:widowControl/>
        <w:shd w:val="clear" w:color="auto" w:fill="FFFFFF"/>
        <w:spacing w:line="560" w:lineRule="exact"/>
        <w:jc w:val="center"/>
        <w:outlineLvl w:val="3"/>
        <w:rPr>
          <w:rFonts w:ascii="方正小标宋_GBK" w:hAnsi="黑体" w:eastAsia="方正小标宋_GBK" w:cs="Arial"/>
          <w:bCs/>
          <w:color w:val="000000"/>
          <w:kern w:val="0"/>
          <w:sz w:val="45"/>
          <w:szCs w:val="45"/>
        </w:rPr>
      </w:pPr>
      <w:r>
        <w:rPr>
          <w:rFonts w:hint="eastAsia" w:ascii="方正小标宋_GBK" w:hAnsi="黑体" w:eastAsia="方正小标宋_GBK" w:cs="Arial"/>
          <w:bCs/>
          <w:color w:val="000000"/>
          <w:kern w:val="0"/>
          <w:sz w:val="45"/>
          <w:szCs w:val="45"/>
        </w:rPr>
        <w:t>提案的答复</w:t>
      </w:r>
    </w:p>
    <w:p>
      <w:pPr>
        <w:widowControl/>
        <w:shd w:val="clear" w:color="auto" w:fill="FFFFFF"/>
        <w:spacing w:line="540" w:lineRule="exact"/>
        <w:jc w:val="left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张克杰委员：</w:t>
      </w:r>
    </w:p>
    <w:p>
      <w:pPr>
        <w:widowControl/>
        <w:shd w:val="clear" w:color="auto" w:fill="FFFFFF"/>
        <w:spacing w:line="540" w:lineRule="exact"/>
        <w:ind w:firstLine="640" w:firstLineChars="200"/>
        <w:jc w:val="left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您提出的关于优化我区营商环境、助推企业高质量发展的建议收悉。现答复如下：</w:t>
      </w:r>
    </w:p>
    <w:p>
      <w:pPr>
        <w:spacing w:line="540" w:lineRule="exact"/>
        <w:ind w:firstLine="640" w:firstLineChars="200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首先感谢您对即墨区营商环境的支持与关注。在接到您的建议后，我局高度重视，组织人员就做好建议办理工作进行了安排部署，指定专人负责办理落实，专题研究了即墨区优化营商环境工作落实情况。近年来，即墨区</w:t>
      </w:r>
      <w:r>
        <w:rPr>
          <w:rFonts w:hint="eastAsia" w:ascii="仿宋_GB2312" w:hAnsi="宋体" w:eastAsia="仿宋_GB2312" w:cs="Times New Roman"/>
          <w:sz w:val="32"/>
          <w:szCs w:val="32"/>
        </w:rPr>
        <w:t>全面落实国家、</w:t>
      </w:r>
      <w:r>
        <w:rPr>
          <w:rFonts w:hint="eastAsia" w:ascii="仿宋_GB2312" w:hAnsi="宋体" w:eastAsia="仿宋_GB2312"/>
          <w:sz w:val="32"/>
          <w:szCs w:val="32"/>
        </w:rPr>
        <w:t>省、市</w:t>
      </w:r>
      <w:r>
        <w:rPr>
          <w:rFonts w:hint="eastAsia" w:ascii="仿宋_GB2312" w:hAnsi="宋体" w:eastAsia="仿宋_GB2312" w:cs="Times New Roman"/>
          <w:sz w:val="32"/>
          <w:szCs w:val="32"/>
        </w:rPr>
        <w:t>优化营商环境各项措施和任务，以提升企业获得感和满意度为目标，聚焦企业办事创业的痛点、难点、堵点，在</w:t>
      </w:r>
      <w:r>
        <w:rPr>
          <w:rFonts w:hint="eastAsia" w:ascii="仿宋_GB2312" w:hAnsi="仿宋_GB2312" w:eastAsia="仿宋_GB2312" w:cs="仿宋_GB2312"/>
          <w:sz w:val="32"/>
          <w:szCs w:val="32"/>
        </w:rPr>
        <w:t>打造高效便捷的政务环境</w:t>
      </w:r>
      <w:r>
        <w:rPr>
          <w:rFonts w:hint="eastAsia" w:ascii="仿宋_GB2312" w:hAnsi="宋体" w:eastAsia="仿宋_GB2312" w:cs="Times New Roman"/>
          <w:sz w:val="32"/>
          <w:szCs w:val="32"/>
        </w:rPr>
        <w:t>、打造公平竞争的市场环境、打造依法办事的法治环境、加强对民营企业经济人士的教育等方面做了大量工作，</w:t>
      </w:r>
      <w:r>
        <w:rPr>
          <w:rFonts w:hint="eastAsia" w:ascii="仿宋_GB2312" w:hAnsi="仿宋_GB2312" w:eastAsia="仿宋_GB2312" w:cs="仿宋_GB2312"/>
          <w:sz w:val="32"/>
          <w:szCs w:val="32"/>
        </w:rPr>
        <w:t>将优化营商环境落到实处，营造更加和谐高效的营商环境</w:t>
      </w:r>
      <w:r>
        <w:rPr>
          <w:rFonts w:hint="eastAsia" w:ascii="仿宋_GB2312" w:hAnsi="宋体" w:eastAsia="仿宋_GB2312" w:cs="Times New Roman"/>
          <w:sz w:val="32"/>
          <w:szCs w:val="32"/>
        </w:rPr>
        <w:t>。</w:t>
      </w:r>
    </w:p>
    <w:p>
      <w:pPr>
        <w:widowControl/>
        <w:shd w:val="clear" w:color="auto" w:fill="FFFFFF"/>
        <w:spacing w:line="540" w:lineRule="exact"/>
        <w:ind w:firstLine="640" w:firstLineChars="200"/>
        <w:jc w:val="left"/>
        <w:rPr>
          <w:rFonts w:eastAsia="仿宋_GB2312"/>
          <w:sz w:val="32"/>
        </w:rPr>
      </w:pPr>
      <w:r>
        <w:rPr>
          <w:rFonts w:hint="eastAsia" w:ascii="黑体" w:hAnsi="黑体" w:eastAsia="黑体" w:cs="黑体"/>
          <w:sz w:val="32"/>
          <w:szCs w:val="32"/>
        </w:rPr>
        <w:t>一、</w:t>
      </w:r>
      <w:r>
        <w:rPr>
          <w:rFonts w:hint="eastAsia" w:ascii="黑体" w:hAnsi="黑体" w:eastAsia="黑体" w:cs="楷体_GB2312"/>
          <w:kern w:val="32"/>
          <w:sz w:val="32"/>
          <w:szCs w:val="32"/>
        </w:rPr>
        <w:t>健全顶层设计，推动营商环境不断优化提升。</w:t>
      </w:r>
    </w:p>
    <w:p>
      <w:pPr>
        <w:pStyle w:val="3"/>
        <w:spacing w:line="540" w:lineRule="exact"/>
        <w:ind w:firstLine="640"/>
        <w:rPr>
          <w:rFonts w:asciiTheme="minorHAnsi" w:hAnsiTheme="minorHAnsi" w:cstheme="minorBidi"/>
          <w:szCs w:val="22"/>
        </w:rPr>
      </w:pPr>
      <w:r>
        <w:rPr>
          <w:rFonts w:hint="eastAsia" w:eastAsia="仿宋_GB2312" w:asciiTheme="minorHAnsi" w:hAnsiTheme="minorHAnsi" w:cstheme="minorBidi"/>
          <w:sz w:val="32"/>
          <w:szCs w:val="22"/>
        </w:rPr>
        <w:t>全</w:t>
      </w:r>
      <w:r>
        <w:rPr>
          <w:rFonts w:hint="eastAsia" w:eastAsia="仿宋_GB2312"/>
          <w:sz w:val="32"/>
        </w:rPr>
        <w:t>区</w:t>
      </w:r>
      <w:r>
        <w:rPr>
          <w:rFonts w:hint="eastAsia" w:eastAsia="仿宋_GB2312" w:asciiTheme="minorHAnsi" w:hAnsiTheme="minorHAnsi" w:cstheme="minorBidi"/>
          <w:sz w:val="32"/>
          <w:szCs w:val="22"/>
        </w:rPr>
        <w:t>围绕构建一流营商环境狠下力气，区委区政府多次召开常委会议、专题工作会议，研究部署我区优化营商环境工作，围绕市委陆治原书记提出的办事方便、法治公平、成本竞争力强、宜居宜业四个主要方面，起草了《青岛市即墨区持续优化营商环境实施意见》，提出</w:t>
      </w:r>
      <w:r>
        <w:rPr>
          <w:rFonts w:hint="eastAsia" w:ascii="仿宋_GB2312" w:eastAsia="仿宋_GB2312" w:hAnsiTheme="minorHAnsi" w:cstheme="minorBidi"/>
          <w:sz w:val="32"/>
          <w:szCs w:val="22"/>
        </w:rPr>
        <w:t>32</w:t>
      </w:r>
      <w:r>
        <w:rPr>
          <w:rFonts w:hint="eastAsia" w:eastAsia="仿宋_GB2312" w:asciiTheme="minorHAnsi" w:hAnsiTheme="minorHAnsi" w:cstheme="minorBidi"/>
          <w:sz w:val="32"/>
          <w:szCs w:val="22"/>
        </w:rPr>
        <w:t>项重点任务</w:t>
      </w:r>
      <w:r>
        <w:rPr>
          <w:rStyle w:val="11"/>
          <w:rFonts w:hint="eastAsia" w:ascii="仿宋_GB2312" w:hAnsi="仿宋_GB2312" w:cs="仿宋_GB2312"/>
          <w:spacing w:val="-6"/>
          <w:szCs w:val="32"/>
        </w:rPr>
        <w:t>，</w:t>
      </w:r>
      <w:r>
        <w:rPr>
          <w:rFonts w:hint="eastAsia" w:eastAsia="仿宋_GB2312" w:asciiTheme="minorHAnsi" w:hAnsiTheme="minorHAnsi" w:cstheme="minorBidi"/>
          <w:sz w:val="32"/>
          <w:szCs w:val="22"/>
        </w:rPr>
        <w:t>并将各项任务责任化，建立工作台账，对标对表抓改革，促进政策落实落地落细，推动优化营商环境体制机制更加高效</w:t>
      </w:r>
      <w:r>
        <w:rPr>
          <w:rFonts w:hint="eastAsia" w:eastAsia="仿宋_GB2312"/>
          <w:sz w:val="32"/>
        </w:rPr>
        <w:t>，</w:t>
      </w:r>
      <w:r>
        <w:rPr>
          <w:rFonts w:hint="eastAsia" w:eastAsia="仿宋_GB2312" w:asciiTheme="minorHAnsi" w:hAnsiTheme="minorHAnsi" w:cstheme="minorBidi"/>
          <w:sz w:val="32"/>
          <w:szCs w:val="22"/>
        </w:rPr>
        <w:t>持续优化营商环境的氛围不断增强。即墨</w:t>
      </w:r>
      <w:r>
        <w:rPr>
          <w:rFonts w:hint="eastAsia" w:ascii="仿宋_GB2312" w:eastAsia="仿宋_GB2312" w:hAnsiTheme="minorHAnsi" w:cstheme="minorBidi"/>
          <w:sz w:val="32"/>
          <w:szCs w:val="22"/>
        </w:rPr>
        <w:t>在2021年</w:t>
      </w:r>
      <w:r>
        <w:rPr>
          <w:rFonts w:hint="eastAsia" w:eastAsia="仿宋_GB2312" w:asciiTheme="minorHAnsi" w:hAnsiTheme="minorHAnsi" w:cstheme="minorBidi"/>
          <w:sz w:val="32"/>
          <w:szCs w:val="22"/>
        </w:rPr>
        <w:t>青岛市企业家对政务服务环境满意指数调查中表现优异，在各区市中排名第</w:t>
      </w:r>
      <w:r>
        <w:rPr>
          <w:rFonts w:hint="eastAsia" w:ascii="仿宋_GB2312" w:eastAsia="仿宋_GB2312" w:hAnsiTheme="minorHAnsi" w:cstheme="minorBidi"/>
          <w:sz w:val="32"/>
          <w:szCs w:val="22"/>
        </w:rPr>
        <w:t>1</w:t>
      </w:r>
      <w:r>
        <w:rPr>
          <w:rFonts w:hint="eastAsia" w:eastAsia="仿宋_GB2312" w:asciiTheme="minorHAnsi" w:hAnsiTheme="minorHAnsi" w:cstheme="minorBidi"/>
          <w:sz w:val="32"/>
          <w:szCs w:val="22"/>
        </w:rPr>
        <w:t>位</w:t>
      </w:r>
      <w:r>
        <w:rPr>
          <w:rFonts w:hint="eastAsia" w:asciiTheme="minorHAnsi" w:hAnsiTheme="minorHAnsi" w:cstheme="minorBidi"/>
          <w:szCs w:val="22"/>
        </w:rPr>
        <w:t>。</w:t>
      </w:r>
    </w:p>
    <w:p>
      <w:pPr>
        <w:spacing w:line="540" w:lineRule="exact"/>
        <w:ind w:firstLine="640" w:firstLineChars="200"/>
        <w:rPr>
          <w:rFonts w:ascii="楷体_GB2312" w:hAnsi="仿宋_GB2312" w:eastAsia="楷体_GB2312" w:cs="仿宋_GB2312"/>
          <w:bCs/>
          <w:kern w:val="32"/>
          <w:sz w:val="32"/>
          <w:szCs w:val="32"/>
        </w:rPr>
      </w:pPr>
      <w:r>
        <w:rPr>
          <w:rFonts w:hint="eastAsia" w:ascii="黑体" w:hAnsi="黑体" w:eastAsia="黑体" w:cs="楷体_GB2312"/>
          <w:kern w:val="32"/>
          <w:sz w:val="32"/>
          <w:szCs w:val="32"/>
        </w:rPr>
        <w:t>二、优化办事流程，提升审批服务效能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kern w:val="32"/>
          <w:sz w:val="32"/>
          <w:szCs w:val="32"/>
        </w:rPr>
      </w:pPr>
      <w:r>
        <w:rPr>
          <w:rFonts w:hint="eastAsia" w:ascii="楷体_GB2312" w:hAnsi="仿宋_GB2312" w:eastAsia="楷体_GB2312" w:cs="仿宋_GB2312"/>
          <w:bCs/>
          <w:kern w:val="32"/>
          <w:sz w:val="32"/>
          <w:szCs w:val="32"/>
        </w:rPr>
        <w:t>（一）全面推行“一事全办”“一业一证”改革</w:t>
      </w:r>
      <w:r>
        <w:rPr>
          <w:rFonts w:hint="eastAsia" w:ascii="仿宋_GB2312" w:hAnsi="仿宋_GB2312" w:eastAsia="仿宋_GB2312" w:cs="仿宋_GB2312"/>
          <w:kern w:val="32"/>
          <w:sz w:val="32"/>
          <w:szCs w:val="32"/>
        </w:rPr>
        <w:t>。不断调整完善主题服务办事指南，制定“一事全办”主题服务申请表单，共推出“一事全办”主题式服务207项。开展“一业一证”行业目录新增工作，将全区行业综合许可项目由20个扩展到50个,实现一证准营、一码亮证。</w:t>
      </w:r>
    </w:p>
    <w:p>
      <w:pPr>
        <w:spacing w:line="540" w:lineRule="exact"/>
        <w:ind w:firstLine="640" w:firstLineChars="200"/>
        <w:rPr>
          <w:rFonts w:ascii="仿宋_GB2312" w:hAnsi="微软雅黑" w:eastAsia="仿宋_GB2312"/>
          <w:spacing w:val="-11"/>
          <w:kern w:val="21"/>
          <w:sz w:val="32"/>
          <w:szCs w:val="32"/>
        </w:rPr>
      </w:pPr>
      <w:r>
        <w:rPr>
          <w:rFonts w:hint="eastAsia" w:ascii="楷体_GB2312" w:hAnsi="仿宋_GB2312" w:eastAsia="楷体_GB2312" w:cs="仿宋_GB2312"/>
          <w:bCs/>
          <w:kern w:val="32"/>
          <w:sz w:val="32"/>
          <w:szCs w:val="32"/>
        </w:rPr>
        <w:t>（二）优化建设项目报批流程。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将工程质量监督登记、安全监督登记、人防质量监督登记、施工许可4个事项合并为“建筑工程施工许可证核发”一个事项。施工许可阶段的现场勘验环节、</w:t>
      </w:r>
      <w:r>
        <w:rPr>
          <w:rFonts w:hint="eastAsia" w:ascii="仿宋_GB2312" w:hAnsi="微软雅黑" w:eastAsia="仿宋_GB2312" w:cs="Times New Roman"/>
          <w:spacing w:val="-11"/>
          <w:kern w:val="21"/>
          <w:sz w:val="32"/>
          <w:szCs w:val="32"/>
        </w:rPr>
        <w:t>社</w:t>
      </w:r>
      <w:r>
        <w:rPr>
          <w:rFonts w:hint="eastAsia" w:ascii="仿宋_GB2312" w:hAnsi="微软雅黑" w:eastAsia="仿宋_GB2312"/>
          <w:spacing w:val="-11"/>
          <w:kern w:val="21"/>
          <w:sz w:val="32"/>
          <w:szCs w:val="32"/>
        </w:rPr>
        <w:t>会投资承发包交易备案、施工图审查环节都实行了告知承诺制。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kern w:val="32"/>
          <w:sz w:val="32"/>
          <w:szCs w:val="32"/>
        </w:rPr>
      </w:pPr>
      <w:r>
        <w:rPr>
          <w:rFonts w:hint="eastAsia" w:ascii="楷体_GB2312" w:hAnsi="仿宋_GB2312" w:eastAsia="楷体_GB2312" w:cs="仿宋_GB2312"/>
          <w:bCs/>
          <w:kern w:val="32"/>
          <w:sz w:val="32"/>
          <w:szCs w:val="32"/>
        </w:rPr>
        <w:t>（三）全面实施“跨省通办”“全省通办”工作</w:t>
      </w:r>
      <w:r>
        <w:rPr>
          <w:rFonts w:hint="eastAsia" w:ascii="楷体_GB2312" w:hAnsi="仿宋_GB2312" w:eastAsia="楷体_GB2312" w:cs="仿宋_GB2312"/>
          <w:kern w:val="32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kern w:val="32"/>
          <w:sz w:val="32"/>
          <w:szCs w:val="32"/>
        </w:rPr>
        <w:t>推出132项“跨省通办”事项清单，321项“全省通办”事项清单。在政务服务大厅设置7个“异地通办”专窗，目前已与贵州、四川、吉林等15个省份66个地区签订了点对点《“跨省通办”“全省通办”框架协议》，加入“云上办”政务服务“跨省通办”联盟，与联盟中其余21个省市328个地区取得伙伴关系。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kern w:val="32"/>
          <w:sz w:val="32"/>
          <w:szCs w:val="32"/>
        </w:rPr>
      </w:pPr>
      <w:r>
        <w:rPr>
          <w:rFonts w:hint="eastAsia" w:ascii="楷体_GB2312" w:hAnsi="仿宋_GB2312" w:eastAsia="楷体_GB2312" w:cs="仿宋_GB2312"/>
          <w:bCs/>
          <w:kern w:val="32"/>
          <w:sz w:val="32"/>
          <w:szCs w:val="32"/>
        </w:rPr>
        <w:t>（四）推出白话版办事指南，方便企业和群众查询</w:t>
      </w:r>
      <w:r>
        <w:rPr>
          <w:rFonts w:ascii="楷体_GB2312" w:hAnsi="仿宋_GB2312" w:eastAsia="楷体_GB2312" w:cs="仿宋_GB2312"/>
          <w:bCs/>
          <w:kern w:val="32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kern w:val="32"/>
          <w:sz w:val="32"/>
          <w:szCs w:val="32"/>
        </w:rPr>
        <w:t>对办事指南相关条款进行解读、注解，使之通俗易懂，让老百姓容易看明白，知道怎么办、找谁办、到哪办。已上线白话版办事指南210项,涵盖商事经贸、建设项目、社会事务、涉农事务、文化教育、卫生健康、交通运输七个领域。</w:t>
      </w:r>
    </w:p>
    <w:p>
      <w:pPr>
        <w:spacing w:line="54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三、深化商事制度改革，打造公平竞争的市场环境</w:t>
      </w:r>
    </w:p>
    <w:p>
      <w:pPr>
        <w:spacing w:line="540" w:lineRule="exact"/>
        <w:ind w:firstLine="640" w:firstLineChars="200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（一）全面落实国家市场准入负面清单制度，保障各类市场主体平等准入。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坚决维护市场准入负面清单制度的统一性、严肃性和权威性，确保“一单尽列、单外无单”。持续优化管理方式，严格规范审批行为，优化审批流程，提高审批效率，正确高效的履行职责。对清单之外的行业、领域、业务等各类市场主体皆可依法平等进入，不断提升市场准入透明度和便捷性。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（二）持续做好企业开办登记。</w:t>
      </w:r>
      <w:r>
        <w:rPr>
          <w:rFonts w:hint="eastAsia" w:ascii="仿宋_GB2312" w:hAnsi="仿宋_GB2312" w:eastAsia="仿宋_GB2312" w:cs="仿宋_GB2312"/>
          <w:sz w:val="32"/>
          <w:szCs w:val="32"/>
        </w:rPr>
        <w:t>优化企业开办流程，大力提高企业开办“一网通办”平台使用效率，持续提升企业开办标准化规范化水平，企业开办时间压减至0.5个工作日。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kern w:val="32"/>
          <w:sz w:val="32"/>
          <w:szCs w:val="32"/>
        </w:rPr>
      </w:pPr>
      <w:r>
        <w:rPr>
          <w:rFonts w:hint="eastAsia" w:ascii="楷体_GB2312" w:hAnsi="仿宋_GB2312" w:eastAsia="楷体_GB2312" w:cs="仿宋_GB2312"/>
          <w:kern w:val="32"/>
          <w:sz w:val="32"/>
          <w:szCs w:val="32"/>
        </w:rPr>
        <w:t>（三）建立商事主体住所信息核验机制。</w:t>
      </w:r>
      <w:r>
        <w:rPr>
          <w:rFonts w:hint="eastAsia" w:ascii="仿宋_GB2312" w:hAnsi="仿宋_GB2312" w:eastAsia="仿宋_GB2312" w:cs="仿宋_GB2312"/>
          <w:kern w:val="32"/>
          <w:sz w:val="32"/>
          <w:szCs w:val="32"/>
        </w:rPr>
        <w:t>通过部门合作、系统升级、数据共享，依托不动产登记信息，最大限度杜绝住所虚假登记，保护产权人合法权益，提高企业开办便利化和安全性。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kern w:val="32"/>
          <w:sz w:val="32"/>
          <w:szCs w:val="32"/>
        </w:rPr>
      </w:pPr>
      <w:r>
        <w:rPr>
          <w:rFonts w:hint="eastAsia" w:ascii="楷体_GB2312" w:hAnsi="仿宋_GB2312" w:eastAsia="楷体_GB2312" w:cs="仿宋_GB2312"/>
          <w:kern w:val="32"/>
          <w:sz w:val="32"/>
          <w:szCs w:val="32"/>
        </w:rPr>
        <w:t>（四）配合省市场监管局做好反垄断相关工作</w:t>
      </w:r>
      <w:r>
        <w:rPr>
          <w:rFonts w:hint="eastAsia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kern w:val="32"/>
          <w:sz w:val="32"/>
          <w:szCs w:val="32"/>
        </w:rPr>
        <w:t>去年区市场监管局配合省局对美团垄断经营行为进行了调查工作，积极研究探索与垄断相关查处办法。目前我区企业行业行为规模和地位对市场构不成垄断，我区也未发现和接到关于企业垄断行为的投诉举报线索。</w:t>
      </w:r>
    </w:p>
    <w:p>
      <w:pPr>
        <w:spacing w:line="540" w:lineRule="exact"/>
        <w:ind w:firstLine="640" w:firstLineChars="200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楷体_GB2312" w:hAnsi="仿宋_GB2312" w:eastAsia="楷体_GB2312" w:cs="仿宋_GB2312"/>
          <w:kern w:val="32"/>
          <w:sz w:val="32"/>
          <w:szCs w:val="32"/>
        </w:rPr>
        <w:t>（五）加强柔性执法</w:t>
      </w:r>
      <w:r>
        <w:rPr>
          <w:rFonts w:hint="eastAsia" w:ascii="仿宋" w:hAnsi="仿宋" w:eastAsia="仿宋" w:cs="仿宋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kern w:val="32"/>
          <w:sz w:val="32"/>
          <w:szCs w:val="32"/>
        </w:rPr>
        <w:t>制定并落实《关于开展柔性监管的实施方案》和《轻微违法行为柔性监管清单》，以柔性、有温度的执法方式营造容新、容缺、容错的市场环境，明确列举了89项轻微违法行为的种类、免罚条件、适用法律法规依据和程序要求，保障依法推进。2021年以来，对各类违法行为下达责令改正通知7020余份，办理轻微免罚案件122起，同比上升40%，累计为企业减免罚没款 386.7 万元。“柔性监管”工作案例被市局评为“最优工作案例”。</w:t>
      </w:r>
    </w:p>
    <w:p>
      <w:pPr>
        <w:spacing w:line="540" w:lineRule="exact"/>
        <w:ind w:firstLine="640" w:firstLineChars="200"/>
        <w:rPr>
          <w:rFonts w:ascii="仿宋_GB2312" w:hAnsi="仿宋_GB2312" w:eastAsia="仿宋_GB2312" w:cs="仿宋_GB2312"/>
          <w:spacing w:val="-6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四、提升服务企业意识，助力企业纾困解难</w:t>
      </w:r>
    </w:p>
    <w:p>
      <w:pPr>
        <w:spacing w:line="540" w:lineRule="exact"/>
        <w:ind w:firstLine="616" w:firstLineChars="200"/>
        <w:textAlignment w:val="baseline"/>
        <w:rPr>
          <w:rFonts w:ascii="仿宋_GB2312" w:hAnsi="仿宋_GB2312" w:eastAsia="仿宋_GB2312" w:cs="仿宋_GB2312"/>
          <w:spacing w:val="-6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结合区委“千名干部联企业 万名党员联群众”主题实践活动</w:t>
      </w:r>
      <w:r>
        <w:rPr>
          <w:rFonts w:hint="eastAsia" w:hAnsi="仿宋_GB2312" w:cs="仿宋_GB2312"/>
          <w:spacing w:val="-6"/>
          <w:sz w:val="32"/>
          <w:szCs w:val="32"/>
        </w:rPr>
        <w:t>，</w:t>
      </w:r>
      <w:r>
        <w:rPr>
          <w:rFonts w:hint="eastAsia" w:ascii="仿宋_GB2312" w:hAnsi="Times New Roman" w:eastAsia="仿宋_GB2312" w:cs="仿宋_GB2312"/>
          <w:spacing w:val="-6"/>
          <w:kern w:val="0"/>
          <w:sz w:val="32"/>
          <w:szCs w:val="32"/>
        </w:rPr>
        <w:t>进一步推动“作风能力提升年”走深走实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，坚持以企业实际需求为导向，以全心全意服务企业为宗旨，通过做好企业意识提升指导员、问题解决服务员、惠企政策咨询员、关爱人才联络员，切实帮助企业解决实际问题，促进企业加快发展。</w:t>
      </w:r>
    </w:p>
    <w:p>
      <w:pPr>
        <w:spacing w:line="540" w:lineRule="exact"/>
        <w:ind w:firstLine="616" w:firstLineChars="200"/>
        <w:rPr>
          <w:rFonts w:ascii="仿宋_GB2312" w:hAnsi="仿宋_GB2312" w:eastAsia="仿宋_GB2312" w:cs="仿宋_GB2312"/>
          <w:kern w:val="32"/>
          <w:sz w:val="32"/>
          <w:szCs w:val="32"/>
        </w:rPr>
      </w:pPr>
      <w:r>
        <w:rPr>
          <w:rFonts w:hint="eastAsia" w:ascii="楷体_GB2312" w:hAnsi="仿宋_GB2312" w:eastAsia="楷体_GB2312" w:cs="仿宋_GB2312"/>
          <w:spacing w:val="-6"/>
          <w:sz w:val="32"/>
          <w:szCs w:val="32"/>
        </w:rPr>
        <w:t>（一）</w:t>
      </w:r>
      <w:r>
        <w:rPr>
          <w:rFonts w:hint="eastAsia" w:ascii="楷体_GB2312" w:hAnsi="仿宋_GB2312" w:eastAsia="楷体_GB2312" w:cs="仿宋_GB2312"/>
          <w:kern w:val="32"/>
          <w:sz w:val="32"/>
          <w:szCs w:val="32"/>
        </w:rPr>
        <w:t>变依申请审批为“倒插门”上门主动服务</w:t>
      </w:r>
      <w:r>
        <w:rPr>
          <w:rFonts w:hint="eastAsia" w:ascii="仿宋_GB2312" w:hAnsi="仿宋_GB2312" w:eastAsia="仿宋_GB2312" w:cs="仿宋_GB2312"/>
          <w:kern w:val="32"/>
          <w:sz w:val="32"/>
          <w:szCs w:val="32"/>
        </w:rPr>
        <w:t>。转变服务方式，既当“店小二”，又当“马前卒”，如果镇街、功能区和项目有需求，我们随叫随到。同时，为建设项目提供一张服务联系卡、一个微信服务号、一张倒排工期表、一张督促协调单、一张审批事项单的“五个一”审批服务大礼包，项目审批省时、省心。</w:t>
      </w:r>
    </w:p>
    <w:p>
      <w:pPr>
        <w:spacing w:line="540" w:lineRule="exact"/>
        <w:ind w:firstLine="616" w:firstLineChars="200"/>
        <w:textAlignment w:val="baseline"/>
        <w:rPr>
          <w:rFonts w:ascii="仿宋_GB2312" w:hAnsi="仿宋_GB2312" w:eastAsia="仿宋_GB2312" w:cs="仿宋_GB2312"/>
          <w:spacing w:val="-6"/>
          <w:sz w:val="32"/>
          <w:szCs w:val="32"/>
        </w:rPr>
      </w:pPr>
      <w:r>
        <w:rPr>
          <w:rFonts w:hint="eastAsia" w:ascii="楷体_GB2312" w:hAnsi="仿宋_GB2312" w:eastAsia="楷体_GB2312" w:cs="仿宋_GB2312"/>
          <w:spacing w:val="-6"/>
          <w:sz w:val="32"/>
          <w:szCs w:val="32"/>
        </w:rPr>
        <w:t>（二）开展“重点龙头企业扶持计划”走访活动。</w:t>
      </w: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深入走访三菱重工海尔空调机有限公司、青岛森麒麟轮胎股份有限公司、青岛豪江智能科技股份有限公司、青岛英派斯健康科技股份有限公司、日辰食品等代表性企业，详细了解家电电子、橡胶化工、智能家居、大健康等产业发展现状、存在问题、政策需求等。</w:t>
      </w:r>
    </w:p>
    <w:p>
      <w:pPr>
        <w:spacing w:line="540" w:lineRule="exact"/>
        <w:ind w:left="-11" w:firstLine="643" w:firstLineChars="200"/>
        <w:rPr>
          <w:rFonts w:ascii="仿宋_GB2312" w:hAnsi="仿宋_GB2312" w:eastAsia="仿宋_GB2312" w:cs="仿宋_GB2312"/>
          <w:kern w:val="32"/>
          <w:sz w:val="32"/>
          <w:szCs w:val="32"/>
        </w:rPr>
      </w:pPr>
      <w:r>
        <w:rPr>
          <w:rFonts w:hint="eastAsia" w:ascii="楷体_GB2312" w:hAnsi="仿宋_GB2312" w:eastAsia="楷体_GB2312" w:cs="仿宋_GB2312"/>
          <w:b/>
          <w:kern w:val="32"/>
          <w:sz w:val="32"/>
          <w:szCs w:val="32"/>
        </w:rPr>
        <w:t>（三）</w:t>
      </w:r>
      <w:r>
        <w:rPr>
          <w:rFonts w:hint="eastAsia" w:ascii="楷体_GB2312" w:hAnsi="仿宋_GB2312" w:eastAsia="楷体_GB2312" w:cs="仿宋_GB2312"/>
          <w:kern w:val="32"/>
          <w:sz w:val="32"/>
          <w:szCs w:val="32"/>
        </w:rPr>
        <w:t>提供双向快递服务。</w:t>
      </w:r>
      <w:r>
        <w:rPr>
          <w:rFonts w:hint="eastAsia" w:ascii="仿宋_GB2312" w:hAnsi="仿宋_GB2312" w:eastAsia="仿宋_GB2312" w:cs="仿宋_GB2312"/>
          <w:kern w:val="32"/>
          <w:sz w:val="32"/>
          <w:szCs w:val="32"/>
        </w:rPr>
        <w:t>按照自愿申请的原则，办事群众可将需提交的申请材料通过EMS快递寄送到政务服务大厅办事窗口，办事窗口办结后通过快递将证照、批文等办理结果邮寄到办事人手中，减少跑腿次数。</w:t>
      </w:r>
    </w:p>
    <w:p>
      <w:pPr>
        <w:spacing w:line="540" w:lineRule="exact"/>
        <w:ind w:left="-11"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楷体_GB2312" w:hAnsi="仿宋_GB2312" w:eastAsia="楷体_GB2312" w:cs="仿宋_GB2312"/>
          <w:kern w:val="32"/>
          <w:sz w:val="32"/>
          <w:szCs w:val="32"/>
        </w:rPr>
        <w:t>（四）开启证照到期预先提醒服务。</w:t>
      </w:r>
      <w:r>
        <w:rPr>
          <w:rFonts w:hint="eastAsia" w:ascii="仿宋_GB2312" w:hAnsi="仿宋_GB2312" w:eastAsia="仿宋_GB2312" w:cs="仿宋_GB2312"/>
          <w:kern w:val="32"/>
          <w:sz w:val="32"/>
          <w:szCs w:val="32"/>
        </w:rPr>
        <w:t>对29项证照开启证照到期预先提醒服务，在企业和单位所持证照到期前，通过电话或者短信及时告知企业办理换证、延续手续，最大限度避免因证照过期影响正常经营。</w:t>
      </w:r>
    </w:p>
    <w:p>
      <w:pPr>
        <w:spacing w:line="540" w:lineRule="exact"/>
        <w:ind w:left="-11"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楷体_GB2312" w:hAnsi="仿宋_GB2312" w:eastAsia="楷体_GB2312" w:cs="仿宋_GB2312"/>
          <w:kern w:val="32"/>
          <w:sz w:val="32"/>
          <w:szCs w:val="32"/>
        </w:rPr>
        <w:t>（五）建立区镇村三级帮办代办机制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。为企业和群众提供“保姆式”“一对一”贴心服务。政务服务大厅</w:t>
      </w:r>
      <w:r>
        <w:rPr>
          <w:rFonts w:hint="eastAsia" w:ascii="仿宋_GB2312" w:hAnsi="仿宋_GB2312" w:eastAsia="仿宋_GB2312" w:cs="仿宋_GB2312"/>
          <w:kern w:val="32"/>
          <w:sz w:val="32"/>
          <w:szCs w:val="32"/>
        </w:rPr>
        <w:t>为群众提供双休日服务、午间服务和延时服务，尽最大可能满足企业群众办事需求。</w:t>
      </w:r>
    </w:p>
    <w:p>
      <w:pPr>
        <w:spacing w:line="540" w:lineRule="exact"/>
        <w:ind w:firstLine="640" w:firstLineChars="200"/>
        <w:rPr>
          <w:rFonts w:ascii="黑体" w:hAnsi="黑体" w:eastAsia="黑体" w:cs="仿宋_GB2312"/>
          <w:spacing w:val="-10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五、</w:t>
      </w:r>
      <w:r>
        <w:rPr>
          <w:rFonts w:hint="eastAsia" w:ascii="黑体" w:hAnsi="黑体" w:eastAsia="黑体" w:cs="仿宋_GB2312"/>
          <w:spacing w:val="-10"/>
          <w:sz w:val="32"/>
          <w:szCs w:val="32"/>
        </w:rPr>
        <w:t>加强行政执法监督，推进严格规范公正文明执法</w:t>
      </w:r>
    </w:p>
    <w:p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公布《2022年度行政执法监督工作计划》，从8个方面统筹推进全区行政执法各项工作规范提升。强化行政执法人员培训，组织四年年审行政执法人员参加法律知识更新培训考试，系统学习《新行政处罚法》等专业知识，着力提升行政执法人员能力。依托青岛市行政处罚与行政强制权力事项网上运行平台，实现行政执法活动网上录入、流转、监督管理规范化，提高行政执法效能。加强行政规范性文件管理，围绕优化营商环境，及时清理，确保文件制定始终与经济社会发展需要相适应。</w:t>
      </w:r>
    </w:p>
    <w:p>
      <w:pPr>
        <w:spacing w:line="54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六、组织开展活动，提升企业家素质和活力</w:t>
      </w:r>
    </w:p>
    <w:p>
      <w:pPr>
        <w:spacing w:line="5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开展“企业家素质提升”、“企业家大讲堂”“企业家日”、“企业观摩交流”等活动，通过搭建学习交流的平台，帮助企业提升自身素质和竞争能力，促进企业间的交流与协作，助推我区营商环境不断优化，民营企业健康成长。</w:t>
      </w:r>
    </w:p>
    <w:p>
      <w:pPr>
        <w:spacing w:line="54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七、加强政策宣传力度，激发企业发展活动。</w:t>
      </w:r>
    </w:p>
    <w:p>
      <w:pPr>
        <w:spacing w:line="54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楷体_GB2312" w:hAnsi="仿宋" w:eastAsia="楷体_GB2312"/>
          <w:sz w:val="32"/>
          <w:szCs w:val="32"/>
        </w:rPr>
        <w:t>（一）开展网格化服务行动。</w:t>
      </w:r>
      <w:r>
        <w:rPr>
          <w:rFonts w:hint="eastAsia" w:ascii="仿宋_GB2312" w:hAnsi="仿宋" w:eastAsia="仿宋_GB2312"/>
          <w:sz w:val="32"/>
          <w:szCs w:val="32"/>
        </w:rPr>
        <w:t>为保障我区企业用工，全力支持企业复工复产，从年初开始，积极对接全区重点工业企业，开展网格化服务行动，由分管领导带队，成立5组服务小分队，深入企业听意见、解难题，加强专精特新、技术改造、互联网等政策现场宣传解读，已到即发、海联金汇等100余家企业现场指导，为企业复工复产保驾护航。</w:t>
      </w:r>
    </w:p>
    <w:p>
      <w:pPr>
        <w:spacing w:line="54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楷体_GB2312" w:hAnsi="仿宋" w:eastAsia="楷体_GB2312"/>
          <w:sz w:val="32"/>
          <w:szCs w:val="32"/>
        </w:rPr>
        <w:t>（二）加强自媒体宣传。</w:t>
      </w:r>
      <w:r>
        <w:rPr>
          <w:rFonts w:hint="eastAsia" w:ascii="仿宋_GB2312" w:hAnsi="仿宋" w:eastAsia="仿宋_GB2312"/>
          <w:sz w:val="32"/>
          <w:szCs w:val="32"/>
        </w:rPr>
        <w:t>通过“即墨工信企业之家”公众号、“即墨区工业企业交流群”等途径，及时将政策信息传达至即墨企业，让企业第一时间能够详细了解各级支持政策。</w:t>
      </w:r>
    </w:p>
    <w:p>
      <w:pPr>
        <w:spacing w:line="54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楷体_GB2312" w:hAnsi="仿宋" w:eastAsia="楷体_GB2312"/>
          <w:sz w:val="32"/>
          <w:szCs w:val="32"/>
        </w:rPr>
        <w:t>（三）开展线上政策讲解活动。</w:t>
      </w:r>
      <w:r>
        <w:rPr>
          <w:rFonts w:hint="eastAsia" w:ascii="仿宋_GB2312" w:hAnsi="仿宋" w:eastAsia="仿宋_GB2312"/>
          <w:sz w:val="32"/>
          <w:szCs w:val="32"/>
        </w:rPr>
        <w:t>组织企业视频观看各级惠企政策现场解读，培训企业300余家，帮助企业了解政府各项扶持政策，用好用足用活政策，支持企业发展。</w:t>
      </w:r>
    </w:p>
    <w:p>
      <w:pPr>
        <w:spacing w:line="54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下步工作中，我们将充分参考您的建议，制定和完善有关政策，推动我区企业高质量发展。最后，</w:t>
      </w:r>
      <w:r>
        <w:rPr>
          <w:rFonts w:ascii="仿宋_GB2312" w:hAnsi="仿宋" w:eastAsia="仿宋_GB2312"/>
          <w:sz w:val="32"/>
          <w:szCs w:val="32"/>
        </w:rPr>
        <w:t>再次感谢您对我</w:t>
      </w:r>
      <w:r>
        <w:rPr>
          <w:rFonts w:hint="eastAsia" w:ascii="仿宋_GB2312" w:hAnsi="仿宋" w:eastAsia="仿宋_GB2312"/>
          <w:sz w:val="32"/>
          <w:szCs w:val="32"/>
        </w:rPr>
        <w:t>区优化营商环境工作</w:t>
      </w:r>
      <w:r>
        <w:rPr>
          <w:rFonts w:ascii="仿宋_GB2312" w:hAnsi="仿宋" w:eastAsia="仿宋_GB2312"/>
          <w:sz w:val="32"/>
          <w:szCs w:val="32"/>
        </w:rPr>
        <w:t>的关心、重视和支持。</w:t>
      </w:r>
    </w:p>
    <w:p>
      <w:pPr>
        <w:widowControl/>
        <w:shd w:val="clear" w:color="auto" w:fill="FFFFFF"/>
        <w:spacing w:beforeLines="50" w:line="540" w:lineRule="exact"/>
        <w:ind w:firstLine="640" w:firstLineChars="200"/>
        <w:jc w:val="right"/>
        <w:rPr>
          <w:rFonts w:ascii="仿宋_GB2312" w:hAnsi="仿宋_GB2312" w:eastAsia="仿宋_GB2312" w:cs="仿宋_GB2312"/>
          <w:kern w:val="3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32"/>
          <w:sz w:val="32"/>
          <w:szCs w:val="32"/>
        </w:rPr>
        <w:t>青岛市即墨区行政审批服务局</w:t>
      </w:r>
    </w:p>
    <w:p>
      <w:pPr>
        <w:widowControl/>
        <w:shd w:val="clear" w:color="auto" w:fill="FFFFFF"/>
        <w:spacing w:line="540" w:lineRule="exact"/>
        <w:ind w:right="640" w:firstLine="640" w:firstLineChars="200"/>
        <w:jc w:val="center"/>
        <w:rPr>
          <w:rFonts w:ascii="仿宋_GB2312" w:hAnsi="仿宋_GB2312" w:eastAsia="仿宋_GB2312" w:cs="仿宋_GB2312"/>
          <w:kern w:val="3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32"/>
          <w:sz w:val="32"/>
          <w:szCs w:val="32"/>
        </w:rPr>
        <w:t xml:space="preserve">                           2022年5月20日</w:t>
      </w:r>
    </w:p>
    <w:p>
      <w:pPr>
        <w:widowControl/>
        <w:shd w:val="clear" w:color="auto" w:fill="FFFFFF"/>
        <w:spacing w:line="560" w:lineRule="exact"/>
        <w:ind w:right="1080" w:firstLine="440" w:firstLineChars="200"/>
        <w:jc w:val="right"/>
        <w:rPr>
          <w:rFonts w:ascii="仿宋_GB2312" w:hAnsi="仿宋_GB2312" w:eastAsia="仿宋_GB2312" w:cs="仿宋_GB2312"/>
          <w:kern w:val="32"/>
          <w:sz w:val="22"/>
          <w:szCs w:val="32"/>
        </w:rPr>
      </w:pPr>
      <w:bookmarkStart w:id="0" w:name="_GoBack"/>
      <w:bookmarkEnd w:id="0"/>
    </w:p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TE2NWY3M2ViZDQ2ZTI1ZDBkMzQyMDIzNDJlMWFkOGYifQ=="/>
  </w:docVars>
  <w:rsids>
    <w:rsidRoot w:val="00F83AF4"/>
    <w:rsid w:val="00010031"/>
    <w:rsid w:val="0010471F"/>
    <w:rsid w:val="00123C15"/>
    <w:rsid w:val="001668D0"/>
    <w:rsid w:val="00197129"/>
    <w:rsid w:val="001E26DE"/>
    <w:rsid w:val="00232350"/>
    <w:rsid w:val="00247767"/>
    <w:rsid w:val="00271341"/>
    <w:rsid w:val="002A0547"/>
    <w:rsid w:val="00305D96"/>
    <w:rsid w:val="00314B64"/>
    <w:rsid w:val="00372661"/>
    <w:rsid w:val="003E0CF9"/>
    <w:rsid w:val="00424C07"/>
    <w:rsid w:val="00454E82"/>
    <w:rsid w:val="004D32F3"/>
    <w:rsid w:val="00507BBA"/>
    <w:rsid w:val="00517236"/>
    <w:rsid w:val="00552DB0"/>
    <w:rsid w:val="005F5DFF"/>
    <w:rsid w:val="00614B80"/>
    <w:rsid w:val="0070275C"/>
    <w:rsid w:val="00796428"/>
    <w:rsid w:val="007B5F7B"/>
    <w:rsid w:val="00805DF5"/>
    <w:rsid w:val="00844E05"/>
    <w:rsid w:val="008C33DE"/>
    <w:rsid w:val="008F5810"/>
    <w:rsid w:val="00912228"/>
    <w:rsid w:val="00935DA9"/>
    <w:rsid w:val="0096437E"/>
    <w:rsid w:val="00997D84"/>
    <w:rsid w:val="009C57EC"/>
    <w:rsid w:val="009C6028"/>
    <w:rsid w:val="00AB125C"/>
    <w:rsid w:val="00AC4171"/>
    <w:rsid w:val="00B811D8"/>
    <w:rsid w:val="00C57C8C"/>
    <w:rsid w:val="00C85AD8"/>
    <w:rsid w:val="00CC3A26"/>
    <w:rsid w:val="00CF567F"/>
    <w:rsid w:val="00D16653"/>
    <w:rsid w:val="00D94707"/>
    <w:rsid w:val="00DB69C2"/>
    <w:rsid w:val="00E0424B"/>
    <w:rsid w:val="00E45E17"/>
    <w:rsid w:val="00E51FAA"/>
    <w:rsid w:val="00E71649"/>
    <w:rsid w:val="00E84E1F"/>
    <w:rsid w:val="00EA2B2C"/>
    <w:rsid w:val="00F46229"/>
    <w:rsid w:val="00F83AF4"/>
    <w:rsid w:val="00F843E3"/>
    <w:rsid w:val="00FE5CCB"/>
    <w:rsid w:val="282F25A5"/>
    <w:rsid w:val="651806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3"/>
    <w:semiHidden/>
    <w:unhideWhenUsed/>
    <w:qFormat/>
    <w:uiPriority w:val="0"/>
    <w:pPr>
      <w:keepNext/>
      <w:keepLines/>
      <w:spacing w:before="260" w:after="260" w:line="412" w:lineRule="auto"/>
      <w:outlineLvl w:val="1"/>
    </w:pPr>
    <w:rPr>
      <w:rFonts w:ascii="Arial" w:hAnsi="Arial" w:eastAsia="黑体" w:cs="Arial"/>
      <w:b/>
      <w:sz w:val="32"/>
      <w:szCs w:val="24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ind w:firstLine="420" w:firstLineChars="200"/>
    </w:pPr>
    <w:rPr>
      <w:rFonts w:ascii="Calibri" w:hAnsi="Calibri" w:eastAsia="宋体" w:cs="Calibri"/>
      <w:szCs w:val="24"/>
    </w:rPr>
  </w:style>
  <w:style w:type="paragraph" w:styleId="4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NormalCharacter"/>
    <w:link w:val="12"/>
    <w:qFormat/>
    <w:uiPriority w:val="0"/>
    <w:rPr>
      <w:rFonts w:ascii="Calibri" w:hAnsi="Calibri" w:eastAsia="仿宋_GB2312" w:cs="Times New Roman"/>
      <w:sz w:val="32"/>
      <w:szCs w:val="20"/>
    </w:rPr>
  </w:style>
  <w:style w:type="paragraph" w:customStyle="1" w:styleId="12">
    <w:name w:val="UserStyle_0"/>
    <w:basedOn w:val="1"/>
    <w:link w:val="11"/>
    <w:qFormat/>
    <w:uiPriority w:val="0"/>
    <w:pPr>
      <w:tabs>
        <w:tab w:val="left" w:pos="360"/>
      </w:tabs>
      <w:textAlignment w:val="baseline"/>
    </w:pPr>
    <w:rPr>
      <w:rFonts w:ascii="Calibri" w:hAnsi="Calibri" w:eastAsia="仿宋_GB2312" w:cs="Times New Roman"/>
      <w:sz w:val="32"/>
      <w:szCs w:val="20"/>
    </w:rPr>
  </w:style>
  <w:style w:type="character" w:customStyle="1" w:styleId="13">
    <w:name w:val="标题 2 Char"/>
    <w:basedOn w:val="7"/>
    <w:link w:val="2"/>
    <w:semiHidden/>
    <w:uiPriority w:val="0"/>
    <w:rPr>
      <w:rFonts w:ascii="Arial" w:hAnsi="Arial" w:eastAsia="黑体" w:cs="Arial"/>
      <w:b/>
      <w:sz w:val="32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3272</Words>
  <Characters>3330</Characters>
  <Lines>24</Lines>
  <Paragraphs>6</Paragraphs>
  <TotalTime>181</TotalTime>
  <ScaleCrop>false</ScaleCrop>
  <LinksUpToDate>false</LinksUpToDate>
  <CharactersWithSpaces>3382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2022-05-12T02:13:00Z</dcterms:created>
  <dc:creator>Administrator</dc:creator>
  <cp:lastModifiedBy>jacce</cp:lastModifiedBy>
  <cp:lastPrinted>2022-05-20T01:05:00Z</cp:lastPrinted>
  <dcterms:modified xsi:type="dcterms:W3CDTF">2022-11-11T09:25:59Z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22243C4230D04A5A999031170C7D6635</vt:lpwstr>
  </property>
</Properties>
</file>