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Bernard MT Condensed" w:hAnsi="宋体"/>
          <w:color w:val="FF0000"/>
          <w:spacing w:val="-80"/>
          <w:sz w:val="84"/>
          <w:szCs w:val="84"/>
        </w:rPr>
      </w:pPr>
      <w:r>
        <w:rPr>
          <w:rFonts w:ascii="宋体" w:hAnsi="宋体" w:eastAsia="宋体"/>
          <w:color w:val="FF0000"/>
          <w:spacing w:val="-80"/>
          <w:sz w:val="84"/>
          <w:szCs w:val="84"/>
        </w:rPr>
        <w:pict>
          <v:shape id="_x0000_i1025" o:spt="136" type="#_x0000_t136" style="height:66.75pt;width:449.25pt;" fillcolor="#FF0000" filled="t" stroked="t" coordsize="21600,21600">
            <v:path/>
            <v:fill on="t" focussize="0,0"/>
            <v:stroke color="#FF0000" miterlimit="2"/>
            <v:imagedata o:title=""/>
            <o:lock v:ext="edit" text="f"/>
            <v:textpath on="t" fitshape="t" fitpath="t" trim="t" xscale="f" string="即墨国际陆港管理委员会" style="font-family:宋体;font-size:36pt;font-weight:bold;v-text-align:center;"/>
            <w10:wrap type="none"/>
            <w10:anchorlock/>
          </v:shape>
        </w:pict>
      </w:r>
    </w:p>
    <w:p>
      <w:pPr>
        <w:jc w:val="center"/>
        <w:rPr>
          <w:rFonts w:ascii="仿宋_GB2312" w:hAnsi="宋体" w:eastAsia="仿宋_GB2312"/>
          <w:sz w:val="32"/>
          <w:szCs w:val="32"/>
        </w:rPr>
      </w:pPr>
    </w:p>
    <w:p>
      <w:pPr>
        <w:tabs>
          <w:tab w:val="left" w:pos="3038"/>
        </w:tabs>
        <w:spacing w:line="560" w:lineRule="exact"/>
        <w:ind w:left="0" w:leftChars="0" w:firstLine="0" w:firstLineChars="0"/>
        <w:jc w:val="center"/>
        <w:rPr>
          <w:rFonts w:ascii="仿宋_GB2312" w:hAnsi="宋体" w:eastAsia="仿宋_GB2312"/>
          <w:sz w:val="32"/>
          <w:szCs w:val="32"/>
          <w:u w:val="thick" w:color="FF0000"/>
        </w:rPr>
      </w:pPr>
      <w:r>
        <w:rPr>
          <w:rFonts w:hint="eastAsia" w:ascii="仿宋_GB2312" w:hAnsi="宋体" w:eastAsia="仿宋_GB2312"/>
          <w:sz w:val="32"/>
          <w:szCs w:val="32"/>
          <w:u w:val="thick" w:color="FF0000"/>
        </w:rPr>
        <w:t>国际陆港管</w:t>
      </w:r>
      <w:r>
        <w:rPr>
          <w:rFonts w:hint="eastAsia" w:ascii="仿宋_GB2312" w:hAnsi="宋体" w:eastAsia="仿宋_GB2312"/>
          <w:sz w:val="32"/>
          <w:szCs w:val="32"/>
          <w:u w:val="thick" w:color="FF0000"/>
          <w:lang w:val="en-US" w:eastAsia="zh-CN"/>
        </w:rPr>
        <w:t>呈</w:t>
      </w:r>
      <w:r>
        <w:rPr>
          <w:rFonts w:ascii="仿宋_GB2312" w:hAnsi="宋体" w:eastAsia="仿宋_GB2312"/>
          <w:sz w:val="32"/>
          <w:szCs w:val="32"/>
          <w:u w:val="thick" w:color="FF0000"/>
        </w:rPr>
        <w:t>[20</w:t>
      </w:r>
      <w:r>
        <w:rPr>
          <w:rFonts w:hint="eastAsia" w:ascii="仿宋_GB2312" w:hAnsi="宋体" w:eastAsia="仿宋_GB2312"/>
          <w:sz w:val="32"/>
          <w:szCs w:val="32"/>
          <w:u w:val="thick" w:color="FF0000"/>
        </w:rPr>
        <w:t>2</w:t>
      </w:r>
      <w:r>
        <w:rPr>
          <w:rFonts w:hint="eastAsia" w:ascii="仿宋_GB2312" w:hAnsi="仿宋_GB2312" w:eastAsia="仿宋_GB2312" w:cs="仿宋_GB2312"/>
          <w:sz w:val="32"/>
          <w:szCs w:val="32"/>
          <w:u w:val="thick" w:color="FF0000"/>
          <w:lang w:val="en-US" w:eastAsia="zh-CN"/>
        </w:rPr>
        <w:t>2</w:t>
      </w:r>
      <w:r>
        <w:rPr>
          <w:rFonts w:ascii="仿宋_GB2312" w:hAnsi="宋体" w:eastAsia="仿宋_GB2312"/>
          <w:sz w:val="32"/>
          <w:szCs w:val="32"/>
          <w:u w:val="thick" w:color="FF0000"/>
        </w:rPr>
        <w:t>]</w:t>
      </w:r>
      <w:r>
        <w:rPr>
          <w:rFonts w:hint="eastAsia" w:ascii="仿宋_GB2312" w:hAnsi="宋体" w:eastAsia="仿宋_GB2312"/>
          <w:sz w:val="32"/>
          <w:szCs w:val="32"/>
          <w:u w:val="thick" w:color="FF0000"/>
          <w:lang w:val="en-US" w:eastAsia="zh-CN"/>
        </w:rPr>
        <w:t>6</w:t>
      </w:r>
      <w:r>
        <w:rPr>
          <w:rFonts w:hint="eastAsia" w:ascii="仿宋_GB2312" w:hAnsi="宋体" w:eastAsia="仿宋_GB2312"/>
          <w:sz w:val="32"/>
          <w:szCs w:val="32"/>
          <w:u w:val="thick" w:color="FF0000"/>
        </w:rPr>
        <w:t>号　　　　 　</w:t>
      </w:r>
      <w:r>
        <w:rPr>
          <w:rFonts w:ascii="仿宋_GB2312" w:hAnsi="宋体" w:eastAsia="仿宋_GB2312"/>
          <w:sz w:val="32"/>
          <w:szCs w:val="32"/>
          <w:u w:val="thick" w:color="FF0000"/>
        </w:rPr>
        <w:t xml:space="preserve">   </w:t>
      </w:r>
      <w:r>
        <w:rPr>
          <w:rFonts w:hint="eastAsia" w:ascii="仿宋_GB2312" w:hAnsi="宋体" w:eastAsia="仿宋_GB2312"/>
          <w:sz w:val="32"/>
          <w:szCs w:val="32"/>
          <w:u w:val="thick" w:color="FF0000"/>
        </w:rPr>
        <w:t>签发人：王江志</w:t>
      </w:r>
    </w:p>
    <w:p>
      <w:pPr>
        <w:keepNext w:val="0"/>
        <w:keepLines w:val="0"/>
        <w:pageBreakBefore w:val="0"/>
        <w:kinsoku/>
        <w:wordWrap/>
        <w:overflowPunct/>
        <w:topLinePunct w:val="0"/>
        <w:autoSpaceDE/>
        <w:autoSpaceDN/>
        <w:bidi w:val="0"/>
        <w:spacing w:after="0" w:line="570" w:lineRule="exact"/>
        <w:textAlignment w:val="auto"/>
        <w:rPr>
          <w:rFonts w:hint="eastAsia" w:ascii="黑体" w:hAnsi="黑体" w:eastAsia="黑体"/>
          <w:sz w:val="28"/>
          <w:szCs w:val="28"/>
          <w:lang w:eastAsia="zh-CN"/>
        </w:rPr>
      </w:pPr>
      <w:r>
        <w:rPr>
          <w:rFonts w:hint="eastAsia" w:ascii="黑体" w:hAnsi="Times New Roman" w:eastAsia="黑体" w:cs="Times New Roman"/>
          <w:kern w:val="2"/>
          <w:sz w:val="28"/>
          <w:szCs w:val="24"/>
          <w:lang w:val="en-US" w:eastAsia="zh-CN"/>
        </w:rPr>
        <w:t xml:space="preserve">    </w:t>
      </w:r>
      <w:r>
        <w:rPr>
          <w:rFonts w:hint="eastAsia" w:ascii="黑体" w:hAnsi="Times New Roman" w:eastAsia="黑体" w:cs="Times New Roman"/>
          <w:kern w:val="2"/>
          <w:sz w:val="28"/>
          <w:szCs w:val="24"/>
        </w:rPr>
        <w:t xml:space="preserve">    </w:t>
      </w:r>
      <w:r>
        <w:rPr>
          <w:rFonts w:hint="eastAsia" w:ascii="黑体" w:hAnsi="Times New Roman" w:eastAsia="黑体" w:cs="Times New Roman"/>
          <w:kern w:val="2"/>
          <w:sz w:val="28"/>
          <w:szCs w:val="24"/>
          <w:lang w:val="en-US" w:eastAsia="zh-CN"/>
        </w:rPr>
        <w:t xml:space="preserve">             </w:t>
      </w:r>
      <w:r>
        <w:rPr>
          <w:rFonts w:hint="eastAsia"/>
        </w:rPr>
        <w:t xml:space="preserve">                                                </w:t>
      </w:r>
      <w:r>
        <w:rPr>
          <w:rFonts w:hint="eastAsia" w:ascii="黑体" w:hAnsi="黑体" w:eastAsia="黑体"/>
          <w:sz w:val="28"/>
          <w:szCs w:val="28"/>
        </w:rPr>
        <w:t xml:space="preserve">         标记：</w:t>
      </w:r>
      <w:r>
        <w:rPr>
          <w:rFonts w:hint="eastAsia" w:ascii="黑体" w:hAnsi="黑体" w:eastAsia="黑体"/>
          <w:sz w:val="28"/>
          <w:szCs w:val="28"/>
          <w:lang w:val="en-US" w:eastAsia="zh-CN"/>
        </w:rPr>
        <w:t>A</w:t>
      </w:r>
    </w:p>
    <w:p>
      <w:pPr>
        <w:keepNext w:val="0"/>
        <w:keepLines w:val="0"/>
        <w:pageBreakBefore w:val="0"/>
        <w:widowControl w:val="0"/>
        <w:kinsoku/>
        <w:wordWrap/>
        <w:overflowPunct/>
        <w:topLinePunct w:val="0"/>
        <w:autoSpaceDE/>
        <w:autoSpaceDN/>
        <w:bidi w:val="0"/>
        <w:adjustRightInd/>
        <w:snapToGrid/>
        <w:spacing w:after="0" w:line="570" w:lineRule="exact"/>
        <w:jc w:val="center"/>
        <w:textAlignment w:val="auto"/>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即墨区国际陆港管理委员会</w:t>
      </w:r>
    </w:p>
    <w:p>
      <w:pPr>
        <w:keepNext w:val="0"/>
        <w:keepLines w:val="0"/>
        <w:pageBreakBefore w:val="0"/>
        <w:widowControl w:val="0"/>
        <w:kinsoku/>
        <w:wordWrap/>
        <w:overflowPunct/>
        <w:topLinePunct w:val="0"/>
        <w:autoSpaceDE/>
        <w:autoSpaceDN/>
        <w:bidi w:val="0"/>
        <w:adjustRightInd/>
        <w:snapToGrid/>
        <w:spacing w:after="0" w:line="570" w:lineRule="exact"/>
        <w:jc w:val="center"/>
        <w:textAlignment w:val="auto"/>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关于对区政协十五届一次会议第27号</w:t>
      </w:r>
    </w:p>
    <w:p>
      <w:pPr>
        <w:keepNext w:val="0"/>
        <w:keepLines w:val="0"/>
        <w:pageBreakBefore w:val="0"/>
        <w:widowControl w:val="0"/>
        <w:kinsoku/>
        <w:wordWrap/>
        <w:overflowPunct/>
        <w:topLinePunct w:val="0"/>
        <w:autoSpaceDE/>
        <w:autoSpaceDN/>
        <w:bidi w:val="0"/>
        <w:adjustRightInd/>
        <w:snapToGrid/>
        <w:spacing w:after="0" w:line="570" w:lineRule="exact"/>
        <w:jc w:val="center"/>
        <w:textAlignment w:val="auto"/>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提案的答复</w:t>
      </w:r>
    </w:p>
    <w:p>
      <w:pPr>
        <w:keepNext w:val="0"/>
        <w:keepLines w:val="0"/>
        <w:pageBreakBefore w:val="0"/>
        <w:widowControl w:val="0"/>
        <w:kinsoku/>
        <w:wordWrap/>
        <w:overflowPunct/>
        <w:topLinePunct w:val="0"/>
        <w:autoSpaceDE/>
        <w:autoSpaceDN/>
        <w:bidi w:val="0"/>
        <w:adjustRightInd/>
        <w:snapToGrid/>
        <w:spacing w:after="0" w:line="570" w:lineRule="exact"/>
        <w:jc w:val="both"/>
        <w:textAlignment w:val="auto"/>
        <w:rPr>
          <w:rFonts w:hint="eastAsia" w:ascii="仿宋_GB2312" w:hAnsi="仿宋_GB2312" w:eastAsia="仿宋_GB2312" w:cs="仿宋_GB2312"/>
          <w:kern w:val="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70" w:lineRule="exact"/>
        <w:jc w:val="both"/>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于宗志代表：</w:t>
      </w:r>
    </w:p>
    <w:p>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您提出的“关于支持推动蓝村陆港枢纽经济转型升级的提案”收悉。现答复如下：</w:t>
      </w:r>
    </w:p>
    <w:p>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近年来，即墨国际陆港</w:t>
      </w:r>
      <w:r>
        <w:rPr>
          <w:rFonts w:hint="eastAsia" w:ascii="仿宋_GB2312" w:hAnsi="仿宋_GB2312" w:eastAsia="仿宋_GB2312" w:cs="仿宋_GB2312"/>
          <w:kern w:val="2"/>
          <w:sz w:val="32"/>
          <w:szCs w:val="32"/>
          <w:lang w:val="en-US" w:eastAsia="zh-CN"/>
        </w:rPr>
        <w:t>紧紧</w:t>
      </w:r>
      <w:r>
        <w:rPr>
          <w:rFonts w:hint="eastAsia" w:ascii="仿宋_GB2312" w:hAnsi="仿宋_GB2312" w:eastAsia="仿宋_GB2312" w:cs="仿宋_GB2312"/>
          <w:kern w:val="2"/>
          <w:sz w:val="32"/>
          <w:szCs w:val="32"/>
        </w:rPr>
        <w:t>围绕落实区委区政府关于深化“放管服”改革部署要求，深入推进优化营商环境改革，充分运用市场化、平台化思维，以青岛港即墨港区、济铁物流园、华骏物流园为代表，推动企业产业结构改革，充分挖掘资本嫁接渠道，引入高附加值物流上下游产业资源，加速推动陆港枢纽经济的转型升级。</w:t>
      </w:r>
    </w:p>
    <w:p>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left"/>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一、</w:t>
      </w:r>
      <w:r>
        <w:rPr>
          <w:rFonts w:hint="eastAsia" w:ascii="黑体" w:hAnsi="黑体" w:eastAsia="黑体" w:cs="黑体"/>
          <w:kern w:val="2"/>
          <w:sz w:val="32"/>
          <w:szCs w:val="32"/>
        </w:rPr>
        <w:t>加快物流重点项目建设</w:t>
      </w:r>
      <w:r>
        <w:rPr>
          <w:rFonts w:hint="eastAsia" w:ascii="黑体" w:hAnsi="黑体" w:eastAsia="黑体" w:cs="黑体"/>
          <w:kern w:val="2"/>
          <w:sz w:val="32"/>
          <w:szCs w:val="32"/>
          <w:lang w:eastAsia="zh-CN"/>
        </w:rPr>
        <w:t>，做大做强物流产业</w:t>
      </w:r>
    </w:p>
    <w:p>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国际陆港积极推动物流重点项目落地，</w:t>
      </w:r>
      <w:r>
        <w:rPr>
          <w:rFonts w:hint="eastAsia" w:ascii="仿宋_GB2312" w:hAnsi="仿宋_GB2312" w:eastAsia="仿宋_GB2312" w:cs="仿宋_GB2312"/>
          <w:kern w:val="2"/>
          <w:sz w:val="32"/>
          <w:szCs w:val="32"/>
        </w:rPr>
        <w:t>签约省港口集团中国北方生活消费品（青岛）分拨中心项目，开展仓储、配送、分拨、贸易于一体产业链业务，打造辐射黄河流域及北方地区的大型生活消费品分拨中心</w:t>
      </w:r>
      <w:r>
        <w:rPr>
          <w:rFonts w:hint="eastAsia" w:ascii="仿宋_GB2312" w:hAnsi="仿宋_GB2312" w:eastAsia="仿宋_GB2312" w:cs="仿宋_GB2312"/>
          <w:kern w:val="2"/>
          <w:sz w:val="32"/>
          <w:szCs w:val="32"/>
          <w:lang w:eastAsia="zh-CN"/>
        </w:rPr>
        <w:t>；</w:t>
      </w:r>
      <w:r>
        <w:rPr>
          <w:rFonts w:hint="eastAsia" w:ascii="仿宋_GB2312" w:hAnsi="仿宋_GB2312" w:eastAsia="仿宋_GB2312" w:cs="仿宋_GB2312"/>
          <w:kern w:val="2"/>
          <w:sz w:val="32"/>
          <w:szCs w:val="32"/>
        </w:rPr>
        <w:t>签约陆港电商孵化基地项目，引入进口、加工、分拨、销售“四链合一”全新物流产业发展模式</w:t>
      </w:r>
      <w:r>
        <w:rPr>
          <w:rFonts w:hint="eastAsia" w:ascii="仿宋_GB2312" w:hAnsi="仿宋_GB2312" w:eastAsia="仿宋_GB2312" w:cs="仿宋_GB2312"/>
          <w:kern w:val="2"/>
          <w:sz w:val="32"/>
          <w:szCs w:val="32"/>
          <w:lang w:eastAsia="zh-CN"/>
        </w:rPr>
        <w:t>；新建设2.3万平方米的钢结构仓库及相关配套设施，用于钢材仓储、加工以及配送、装卸等，搭建钢材市场交易平台，建设区域钢材加工贸易中心。</w:t>
      </w:r>
      <w:r>
        <w:rPr>
          <w:rFonts w:hint="eastAsia" w:ascii="仿宋_GB2312" w:hAnsi="仿宋_GB2312" w:eastAsia="仿宋_GB2312" w:cs="仿宋_GB2312"/>
          <w:kern w:val="2"/>
          <w:sz w:val="32"/>
          <w:szCs w:val="32"/>
          <w:lang w:val="en-US" w:eastAsia="zh-CN"/>
        </w:rPr>
        <w:t>2022年</w:t>
      </w:r>
      <w:r>
        <w:rPr>
          <w:rFonts w:hint="eastAsia" w:ascii="仿宋_GB2312" w:hAnsi="仿宋_GB2312" w:eastAsia="仿宋_GB2312" w:cs="仿宋_GB2312"/>
          <w:kern w:val="2"/>
          <w:sz w:val="32"/>
          <w:szCs w:val="32"/>
          <w:lang w:eastAsia="zh-CN"/>
        </w:rPr>
        <w:t>将积极</w:t>
      </w:r>
      <w:r>
        <w:rPr>
          <w:rFonts w:hint="eastAsia" w:ascii="仿宋_GB2312" w:hAnsi="仿宋_GB2312" w:eastAsia="仿宋_GB2312" w:cs="仿宋_GB2312"/>
          <w:kern w:val="2"/>
          <w:sz w:val="32"/>
          <w:szCs w:val="32"/>
        </w:rPr>
        <w:t>推动生活消费品分拨中心、生鲜电商孵化基地、济铁钢材供应链项目加快建设进度，争取早日竣工投产</w:t>
      </w:r>
      <w:r>
        <w:rPr>
          <w:rFonts w:hint="eastAsia" w:ascii="仿宋_GB2312" w:hAnsi="仿宋_GB2312" w:eastAsia="仿宋_GB2312" w:cs="仿宋_GB2312"/>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left"/>
        <w:rPr>
          <w:rFonts w:hint="eastAsia" w:ascii="黑体" w:hAnsi="黑体" w:eastAsia="黑体" w:cs="黑体"/>
          <w:kern w:val="2"/>
          <w:sz w:val="32"/>
          <w:szCs w:val="32"/>
          <w:lang w:eastAsia="zh-CN"/>
        </w:rPr>
      </w:pPr>
      <w:r>
        <w:rPr>
          <w:rFonts w:hint="eastAsia" w:ascii="黑体" w:hAnsi="黑体" w:eastAsia="黑体" w:cs="黑体"/>
          <w:kern w:val="2"/>
          <w:sz w:val="32"/>
          <w:szCs w:val="32"/>
          <w:lang w:val="en-US" w:eastAsia="zh-CN"/>
        </w:rPr>
        <w:t>二、</w:t>
      </w:r>
      <w:r>
        <w:rPr>
          <w:rFonts w:hint="eastAsia" w:ascii="黑体" w:hAnsi="黑体" w:eastAsia="黑体" w:cs="黑体"/>
          <w:kern w:val="2"/>
          <w:sz w:val="32"/>
          <w:szCs w:val="32"/>
          <w:lang w:eastAsia="zh-CN"/>
        </w:rPr>
        <w:t>拓展枢纽网络通道，扩大物流辐射能力</w:t>
      </w:r>
    </w:p>
    <w:p>
      <w:pPr>
        <w:keepNext w:val="0"/>
        <w:keepLines w:val="0"/>
        <w:pageBreakBefore w:val="0"/>
        <w:widowControl w:val="0"/>
        <w:numPr>
          <w:ilvl w:val="0"/>
          <w:numId w:val="0"/>
        </w:numPr>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Calibri" w:eastAsia="仿宋_GB2312" w:cs="Times New Roman"/>
          <w:bCs/>
          <w:color w:val="000000"/>
          <w:kern w:val="2"/>
          <w:sz w:val="32"/>
          <w:szCs w:val="32"/>
          <w:lang w:eastAsia="zh-CN"/>
        </w:rPr>
      </w:pPr>
      <w:r>
        <w:rPr>
          <w:rFonts w:hint="eastAsia" w:ascii="仿宋_GB2312" w:hAnsi="Calibri" w:eastAsia="仿宋_GB2312" w:cs="Times New Roman"/>
          <w:bCs/>
          <w:color w:val="000000"/>
          <w:kern w:val="2"/>
          <w:sz w:val="32"/>
          <w:szCs w:val="32"/>
          <w:lang w:eastAsia="zh-CN"/>
        </w:rPr>
        <w:t>国际陆港将</w:t>
      </w:r>
      <w:r>
        <w:rPr>
          <w:rFonts w:hint="eastAsia" w:ascii="仿宋_GB2312" w:hAnsi="Calibri" w:eastAsia="仿宋_GB2312" w:cs="Times New Roman"/>
          <w:bCs/>
          <w:color w:val="000000"/>
          <w:kern w:val="2"/>
          <w:sz w:val="32"/>
          <w:szCs w:val="32"/>
        </w:rPr>
        <w:t>进一步提升即黄班列运输时效，引导上列企业在陆港注册，提高即黄班列上列货物在陆港完成通关的比例</w:t>
      </w:r>
      <w:r>
        <w:rPr>
          <w:rFonts w:hint="eastAsia" w:ascii="仿宋_GB2312" w:hAnsi="Calibri" w:eastAsia="仿宋_GB2312" w:cs="Times New Roman"/>
          <w:bCs/>
          <w:color w:val="000000"/>
          <w:kern w:val="2"/>
          <w:sz w:val="32"/>
          <w:szCs w:val="32"/>
          <w:lang w:eastAsia="zh-CN"/>
        </w:rPr>
        <w:t>，</w:t>
      </w:r>
      <w:r>
        <w:rPr>
          <w:rFonts w:hint="eastAsia" w:ascii="仿宋_GB2312" w:hAnsi="Calibri" w:eastAsia="仿宋_GB2312" w:cs="Times New Roman"/>
          <w:bCs/>
          <w:color w:val="000000"/>
          <w:kern w:val="2"/>
          <w:sz w:val="32"/>
          <w:szCs w:val="32"/>
        </w:rPr>
        <w:t>提升自我造血能力；探索推行即黄班列半市场化运行模式，调整即黄班列补贴机制，并争取区财政支持；用好用足青岛市促进航运产业高质量发展的15条政策，争取海铁联运奖励支持即黄班列运行。</w:t>
      </w:r>
      <w:r>
        <w:rPr>
          <w:rFonts w:hint="default" w:ascii="仿宋_GB2312" w:hAnsi="文星标宋" w:eastAsia="仿宋_GB2312" w:cs="Times New Roman"/>
          <w:color w:val="auto"/>
          <w:spacing w:val="-6"/>
          <w:kern w:val="2"/>
          <w:sz w:val="32"/>
          <w:szCs w:val="32"/>
          <w:lang w:eastAsia="zh-Hans"/>
        </w:rPr>
        <w:t>同时，依托胶东国际机场转场机遇，引入空港关联物流贸易企业，补足空港建设短板，构建国际物流大通道，真正成为全域货运集散中心</w:t>
      </w:r>
      <w:r>
        <w:rPr>
          <w:rFonts w:hint="eastAsia" w:ascii="仿宋_GB2312" w:hAnsi="文星标宋" w:eastAsia="仿宋_GB2312" w:cs="Times New Roman"/>
          <w:color w:val="auto"/>
          <w:spacing w:val="-6"/>
          <w:kern w:val="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70" w:lineRule="exact"/>
        <w:ind w:leftChars="0" w:firstLine="640" w:firstLineChars="200"/>
        <w:jc w:val="both"/>
        <w:textAlignment w:val="auto"/>
        <w:rPr>
          <w:rFonts w:hint="eastAsia" w:ascii="黑体" w:hAnsi="黑体" w:eastAsia="黑体" w:cs="黑体"/>
          <w:bCs/>
          <w:color w:val="000000"/>
          <w:kern w:val="2"/>
          <w:sz w:val="32"/>
          <w:szCs w:val="32"/>
        </w:rPr>
      </w:pPr>
      <w:r>
        <w:rPr>
          <w:rFonts w:hint="eastAsia" w:ascii="黑体" w:hAnsi="黑体" w:eastAsia="黑体" w:cs="黑体"/>
          <w:bCs/>
          <w:color w:val="000000"/>
          <w:kern w:val="2"/>
          <w:sz w:val="32"/>
          <w:szCs w:val="32"/>
          <w:lang w:val="en-US" w:eastAsia="zh-CN"/>
        </w:rPr>
        <w:t>三、</w:t>
      </w:r>
      <w:r>
        <w:rPr>
          <w:rFonts w:hint="eastAsia" w:ascii="黑体" w:hAnsi="黑体" w:eastAsia="黑体" w:cs="黑体"/>
          <w:bCs/>
          <w:color w:val="000000"/>
          <w:kern w:val="2"/>
          <w:sz w:val="32"/>
          <w:szCs w:val="32"/>
        </w:rPr>
        <w:t>采取“基金+招商”方式，为物流产业发展提供新动能</w:t>
      </w:r>
    </w:p>
    <w:p>
      <w:pPr>
        <w:keepNext w:val="0"/>
        <w:keepLines w:val="0"/>
        <w:pageBreakBefore w:val="0"/>
        <w:widowControl w:val="0"/>
        <w:numPr>
          <w:ilvl w:val="0"/>
          <w:numId w:val="0"/>
        </w:numPr>
        <w:kinsoku/>
        <w:wordWrap/>
        <w:overflowPunct/>
        <w:topLinePunct w:val="0"/>
        <w:autoSpaceDE/>
        <w:autoSpaceDN/>
        <w:bidi w:val="0"/>
        <w:adjustRightInd/>
        <w:snapToGrid/>
        <w:spacing w:after="0" w:line="570" w:lineRule="exact"/>
        <w:ind w:leftChars="0" w:firstLine="640" w:firstLineChars="200"/>
        <w:jc w:val="both"/>
        <w:textAlignment w:val="auto"/>
        <w:rPr>
          <w:rFonts w:hint="eastAsia" w:ascii="仿宋_GB2312" w:hAnsi="Calibri" w:eastAsia="仿宋_GB2312" w:cs="Times New Roman"/>
          <w:bCs/>
          <w:color w:val="000000"/>
          <w:kern w:val="2"/>
          <w:sz w:val="32"/>
          <w:szCs w:val="32"/>
        </w:rPr>
      </w:pPr>
      <w:r>
        <w:rPr>
          <w:rFonts w:hint="eastAsia" w:ascii="仿宋_GB2312" w:hAnsi="Calibri" w:eastAsia="仿宋_GB2312" w:cs="Times New Roman"/>
          <w:bCs/>
          <w:color w:val="000000"/>
          <w:kern w:val="2"/>
          <w:sz w:val="32"/>
          <w:szCs w:val="32"/>
          <w:lang w:eastAsia="zh-CN"/>
        </w:rPr>
        <w:t>国际陆港</w:t>
      </w:r>
      <w:r>
        <w:rPr>
          <w:rFonts w:hint="eastAsia" w:ascii="仿宋_GB2312" w:hAnsi="Calibri" w:eastAsia="仿宋_GB2312" w:cs="Times New Roman"/>
          <w:bCs/>
          <w:color w:val="000000"/>
          <w:kern w:val="2"/>
          <w:sz w:val="32"/>
          <w:szCs w:val="32"/>
        </w:rPr>
        <w:t>充分挖掘资本嫁接渠道，</w:t>
      </w:r>
      <w:r>
        <w:rPr>
          <w:rFonts w:hint="eastAsia" w:ascii="仿宋_GB2312" w:hAnsi="Calibri" w:eastAsia="仿宋_GB2312" w:cs="Times New Roman"/>
          <w:bCs/>
          <w:color w:val="000000"/>
          <w:kern w:val="2"/>
          <w:sz w:val="32"/>
          <w:szCs w:val="32"/>
          <w:lang w:eastAsia="zh-CN"/>
        </w:rPr>
        <w:t>推动成立青岛隐山创业投资基金，赋能区域物流产业发展。国际陆港</w:t>
      </w:r>
      <w:r>
        <w:rPr>
          <w:rFonts w:hint="eastAsia" w:ascii="仿宋_GB2312" w:hAnsi="Calibri" w:eastAsia="仿宋_GB2312" w:cs="Times New Roman"/>
          <w:bCs/>
          <w:color w:val="000000"/>
          <w:kern w:val="2"/>
          <w:sz w:val="32"/>
          <w:szCs w:val="32"/>
        </w:rPr>
        <w:t>将积极争取</w:t>
      </w:r>
      <w:r>
        <w:rPr>
          <w:rFonts w:hint="eastAsia" w:ascii="仿宋_GB2312" w:hAnsi="Calibri" w:eastAsia="仿宋_GB2312" w:cs="Times New Roman"/>
          <w:bCs/>
          <w:color w:val="000000"/>
          <w:kern w:val="2"/>
          <w:sz w:val="32"/>
          <w:szCs w:val="32"/>
          <w:lang w:eastAsia="zh-CN"/>
        </w:rPr>
        <w:t>基金的</w:t>
      </w:r>
      <w:r>
        <w:rPr>
          <w:rFonts w:hint="eastAsia" w:ascii="仿宋_GB2312" w:hAnsi="Calibri" w:eastAsia="仿宋_GB2312" w:cs="Times New Roman"/>
          <w:bCs/>
          <w:color w:val="000000"/>
          <w:kern w:val="2"/>
          <w:sz w:val="32"/>
          <w:szCs w:val="32"/>
        </w:rPr>
        <w:t>市区返投资金重点投资国际陆港及相关区域，储备返投物流新业态项目</w:t>
      </w:r>
      <w:r>
        <w:rPr>
          <w:rFonts w:hint="eastAsia" w:ascii="仿宋_GB2312" w:hAnsi="Calibri" w:eastAsia="仿宋_GB2312" w:cs="Times New Roman"/>
          <w:bCs/>
          <w:color w:val="000000"/>
          <w:kern w:val="2"/>
          <w:sz w:val="32"/>
          <w:szCs w:val="32"/>
          <w:lang w:eastAsia="zh-CN"/>
        </w:rPr>
        <w:t>，</w:t>
      </w:r>
      <w:r>
        <w:rPr>
          <w:rFonts w:hint="eastAsia" w:ascii="仿宋_GB2312" w:hAnsi="Calibri" w:eastAsia="仿宋_GB2312" w:cs="Times New Roman"/>
          <w:bCs/>
          <w:color w:val="000000"/>
          <w:kern w:val="2"/>
          <w:sz w:val="32"/>
          <w:szCs w:val="32"/>
        </w:rPr>
        <w:t>并以返投资金为契机建立长期合作关系，重点支持陆港物流园区运营、智慧物流、科技物流、物流强链等领域建设。同时，争取隐山基金关联优质物流科技项目优先落户国际陆港；争取普洛斯及隐山基金优质生态链条合作伙伴，将高附加值物流上下游产业资源导入陆港，植入普洛斯高端智能园区经营模式，实现物流业与制造业“两业融合”，为物流产业发展提供可持续性动能</w:t>
      </w:r>
      <w:r>
        <w:rPr>
          <w:rFonts w:hint="eastAsia" w:ascii="仿宋_GB2312" w:hAnsi="Calibri" w:eastAsia="仿宋_GB2312" w:cs="Times New Roman"/>
          <w:bCs/>
          <w:color w:val="000000"/>
          <w:kern w:val="2"/>
          <w:sz w:val="32"/>
          <w:szCs w:val="32"/>
          <w:lang w:eastAsia="zh-CN"/>
        </w:rPr>
        <w:t>，</w:t>
      </w:r>
      <w:r>
        <w:rPr>
          <w:rFonts w:hint="eastAsia" w:ascii="仿宋_GB2312" w:hAnsi="Calibri" w:eastAsia="仿宋_GB2312" w:cs="Times New Roman"/>
          <w:bCs/>
          <w:color w:val="000000"/>
          <w:kern w:val="2"/>
          <w:sz w:val="32"/>
          <w:szCs w:val="32"/>
        </w:rPr>
        <w:t>补齐补强物流产业链条金融、贸易、交易等业态。</w:t>
      </w:r>
    </w:p>
    <w:p>
      <w:pPr>
        <w:pStyle w:val="2"/>
        <w:keepNext w:val="0"/>
        <w:keepLines w:val="0"/>
        <w:pageBreakBefore w:val="0"/>
        <w:widowControl w:val="0"/>
        <w:kinsoku/>
        <w:wordWrap/>
        <w:overflowPunct/>
        <w:topLinePunct w:val="0"/>
        <w:autoSpaceDE/>
        <w:autoSpaceDN/>
        <w:bidi w:val="0"/>
        <w:adjustRightInd/>
        <w:snapToGrid/>
        <w:spacing w:after="0" w:line="570" w:lineRule="exact"/>
        <w:ind w:firstLine="640" w:firstLineChars="20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四、加大税源经济建设，加强产业聚合力度</w:t>
      </w: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baseline"/>
        <w:rPr>
          <w:rFonts w:hint="eastAsia" w:ascii="仿宋_GB2312" w:eastAsia="仿宋_GB2312"/>
          <w:bCs/>
          <w:color w:val="000000"/>
          <w:sz w:val="32"/>
          <w:szCs w:val="32"/>
        </w:rPr>
      </w:pPr>
      <w:r>
        <w:rPr>
          <w:rFonts w:hint="eastAsia" w:ascii="仿宋_GB2312" w:hAnsi="仿宋_GB2312" w:eastAsia="仿宋_GB2312" w:cs="仿宋_GB2312"/>
          <w:color w:val="auto"/>
          <w:kern w:val="2"/>
          <w:sz w:val="32"/>
          <w:szCs w:val="32"/>
          <w:lang w:val="en-US" w:eastAsia="zh-CN" w:bidi="ar-SA"/>
        </w:rPr>
        <w:t>国际陆港推动壮大总部经济，与中交一公局集团共同打造基建产业孵化基地——中交陆港建筑产业园。在发展壮大中交一公局（青岛）工程有限公司基础上，向下游合作商延伸，引进专业承包企业、劳务施工企业、材料供应企业及其它相关配套企业，力争三年内中交陆港建筑产业园聚集约200家企业。</w:t>
      </w:r>
      <w:r>
        <w:rPr>
          <w:rFonts w:hint="eastAsia" w:ascii="仿宋_GB2312" w:eastAsia="仿宋_GB2312"/>
          <w:bCs/>
          <w:color w:val="000000"/>
          <w:sz w:val="32"/>
          <w:szCs w:val="32"/>
        </w:rPr>
        <w:t>充分释放中交一公局在基础设施建设、城市综合开发、新兴业务开拓，以及产业辐射带动、资源人才聚集、科技创新研发等方面的作用，推动即墨区经济发展、民生水平及城市面貌持续提升。</w:t>
      </w: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baseline"/>
        <w:rPr>
          <w:rFonts w:hint="eastAsia" w:ascii="楷体_GB2312" w:hAnsi="楷体_GB2312" w:eastAsia="楷体_GB2312" w:cs="楷体_GB2312"/>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五、加快科技创新运用，推动智慧物流发展</w:t>
      </w:r>
    </w:p>
    <w:p>
      <w:pPr>
        <w:keepNext w:val="0"/>
        <w:keepLines w:val="0"/>
        <w:pageBreakBefore w:val="0"/>
        <w:widowControl w:val="0"/>
        <w:kinsoku/>
        <w:wordWrap/>
        <w:overflowPunct/>
        <w:topLinePunct w:val="0"/>
        <w:autoSpaceDE/>
        <w:autoSpaceDN/>
        <w:bidi w:val="0"/>
        <w:adjustRightInd w:val="0"/>
        <w:snapToGrid w:val="0"/>
        <w:spacing w:after="0" w:line="57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Times New Roman"/>
          <w:kern w:val="2"/>
          <w:sz w:val="32"/>
          <w:szCs w:val="24"/>
        </w:rPr>
        <w:t>2</w:t>
      </w:r>
      <w:r>
        <w:rPr>
          <w:rFonts w:ascii="仿宋_GB2312" w:hAnsi="仿宋_GB2312" w:eastAsia="仿宋_GB2312" w:cs="Times New Roman"/>
          <w:kern w:val="2"/>
          <w:sz w:val="32"/>
          <w:szCs w:val="24"/>
        </w:rPr>
        <w:t>021</w:t>
      </w:r>
      <w:r>
        <w:rPr>
          <w:rFonts w:hint="eastAsia" w:ascii="仿宋_GB2312" w:hAnsi="仿宋_GB2312" w:eastAsia="仿宋_GB2312" w:cs="Times New Roman"/>
          <w:kern w:val="2"/>
          <w:sz w:val="32"/>
          <w:szCs w:val="24"/>
        </w:rPr>
        <w:t>年，国际陆港成功获批海关监管作业场站，创建了“海铁直运 车船直取”进出口通关模式，陆港真正具备了就地一站式通关功能。同步推进配套检疫处理区及信息化系统建设工程，高标准建设视频监控指挥中心，配备符合海关要求的数据交换系统以及与海关联网的仓储管理系统和场站管理系统，实现进出口货物入区“一次申报、一次查验、一次放行”作业。未来，国际陆港将用好用足海关监管作业场站通关优势，探索开展市场采购贸易试点平台集拼通关业务。</w:t>
      </w:r>
      <w:r>
        <w:rPr>
          <w:rFonts w:hint="eastAsia" w:ascii="仿宋_GB2312" w:hAnsi="仿宋_GB2312" w:eastAsia="仿宋_GB2312" w:cs="Times New Roman"/>
          <w:b/>
          <w:bCs/>
          <w:kern w:val="2"/>
          <w:sz w:val="32"/>
          <w:szCs w:val="24"/>
        </w:rPr>
        <w:t>一是优化业务操作系统，提高流程效率。</w:t>
      </w:r>
      <w:r>
        <w:rPr>
          <w:rFonts w:hint="eastAsia" w:ascii="仿宋_GB2312" w:hAnsi="仿宋_GB2312" w:eastAsia="仿宋_GB2312" w:cs="仿宋_GB2312"/>
          <w:bCs/>
          <w:kern w:val="2"/>
          <w:sz w:val="32"/>
          <w:szCs w:val="32"/>
        </w:rPr>
        <w:t>完善操作系统，最大程度上的满足客户需求，做好企业的降本增效服务，规范、畅通口岸进出口货物的信息流、单证流、货物流和资金流，实现口岸数据信息共享，提高口岸监管的能力和效率。</w:t>
      </w:r>
      <w:r>
        <w:rPr>
          <w:rFonts w:hint="eastAsia" w:ascii="仿宋_GB2312" w:hAnsi="仿宋_GB2312" w:eastAsia="仿宋_GB2312" w:cs="仿宋_GB2312"/>
          <w:b/>
          <w:kern w:val="2"/>
          <w:sz w:val="32"/>
          <w:szCs w:val="32"/>
        </w:rPr>
        <w:t>二是搭建对外贸易平台，引导通关企业在陆港注册。</w:t>
      </w:r>
      <w:r>
        <w:rPr>
          <w:rFonts w:hint="eastAsia" w:ascii="仿宋_GB2312" w:hAnsi="仿宋_GB2312" w:eastAsia="仿宋_GB2312" w:cs="仿宋_GB2312"/>
          <w:bCs/>
          <w:kern w:val="2"/>
          <w:sz w:val="32"/>
          <w:szCs w:val="32"/>
        </w:rPr>
        <w:t>推动我区现代化外贸物流业的快速发展，促进枢纽经济提质增效打造区域性进出口货物集散平台。</w:t>
      </w:r>
    </w:p>
    <w:p>
      <w:pPr>
        <w:keepNext w:val="0"/>
        <w:keepLines w:val="0"/>
        <w:pageBreakBefore w:val="0"/>
        <w:widowControl w:val="0"/>
        <w:kinsoku/>
        <w:wordWrap/>
        <w:overflowPunct/>
        <w:topLinePunct w:val="0"/>
        <w:autoSpaceDE/>
        <w:autoSpaceDN/>
        <w:bidi w:val="0"/>
        <w:adjustRightInd/>
        <w:snapToGrid/>
        <w:spacing w:after="0" w:line="540" w:lineRule="exact"/>
        <w:ind w:firstLine="630"/>
        <w:jc w:val="both"/>
        <w:textAlignment w:val="auto"/>
        <w:rPr>
          <w:rFonts w:hint="eastAsia" w:ascii="仿宋_GB2312" w:hAnsi="仿宋_GB2312" w:eastAsia="仿宋_GB2312" w:cs="仿宋_GB2312"/>
          <w:kern w:val="2"/>
          <w:sz w:val="32"/>
          <w:szCs w:val="32"/>
        </w:rPr>
      </w:pPr>
    </w:p>
    <w:p>
      <w:pPr>
        <w:pStyle w:val="2"/>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after="0" w:line="540" w:lineRule="exact"/>
        <w:ind w:firstLine="63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rPr>
        <w:t>即墨国际陆港管理委员会</w:t>
      </w:r>
      <w:r>
        <w:rPr>
          <w:rFonts w:hint="eastAsia" w:ascii="仿宋_GB2312" w:hAnsi="仿宋_GB2312" w:eastAsia="仿宋_GB2312" w:cs="仿宋_GB2312"/>
          <w:kern w:val="2"/>
          <w:sz w:val="32"/>
          <w:szCs w:val="32"/>
          <w:lang w:val="en-US" w:eastAsia="zh-CN" w:bidi="ar-SA"/>
        </w:rPr>
        <w:t xml:space="preserve">                                    2022年5月18日 </w:t>
      </w:r>
    </w:p>
    <w:p>
      <w:pPr>
        <w:keepNext w:val="0"/>
        <w:keepLines w:val="0"/>
        <w:pageBreakBefore w:val="0"/>
        <w:kinsoku/>
        <w:wordWrap/>
        <w:overflowPunct/>
        <w:topLinePunct w:val="0"/>
        <w:autoSpaceDE/>
        <w:autoSpaceDN/>
        <w:bidi w:val="0"/>
        <w:adjustRightInd/>
        <w:spacing w:line="540" w:lineRule="exact"/>
        <w:textAlignment w:val="auto"/>
        <w:rPr>
          <w:rFonts w:ascii="仿宋" w:hAnsi="仿宋" w:eastAsia="仿宋"/>
          <w:sz w:val="32"/>
          <w:szCs w:val="32"/>
        </w:rPr>
      </w:pPr>
      <w:bookmarkStart w:id="0" w:name="_GoBack"/>
      <w:bookmarkEnd w:id="0"/>
      <w:r>
        <w:rPr>
          <w:rFonts w:hint="default" w:ascii="仿宋_GB2312" w:hAnsi="宋体"/>
          <w:bCs/>
          <w:highlight w:val="none"/>
          <w:lang w:val="en-US"/>
        </w:rPr>
        <mc:AlternateContent>
          <mc:Choice Requires="wps">
            <w:drawing>
              <wp:anchor distT="0" distB="0" distL="114300" distR="114300" simplePos="0" relativeHeight="251660288" behindDoc="0" locked="0" layoutInCell="1" allowOverlap="1">
                <wp:simplePos x="0" y="0"/>
                <wp:positionH relativeFrom="column">
                  <wp:posOffset>-194310</wp:posOffset>
                </wp:positionH>
                <wp:positionV relativeFrom="paragraph">
                  <wp:posOffset>4445</wp:posOffset>
                </wp:positionV>
                <wp:extent cx="6038850" cy="28575"/>
                <wp:effectExtent l="0" t="4445" r="0" b="5080"/>
                <wp:wrapNone/>
                <wp:docPr id="4" name="自选图形 6"/>
                <wp:cNvGraphicFramePr/>
                <a:graphic xmlns:a="http://schemas.openxmlformats.org/drawingml/2006/main">
                  <a:graphicData uri="http://schemas.microsoft.com/office/word/2010/wordprocessingShape">
                    <wps:wsp>
                      <wps:cNvCnPr/>
                      <wps:spPr>
                        <a:xfrm>
                          <a:off x="0" y="0"/>
                          <a:ext cx="6038850" cy="285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5.3pt;margin-top:0.35pt;height:2.25pt;width:475.5pt;z-index:251660288;mso-width-relative:page;mso-height-relative:page;" filled="f" stroked="t" coordsize="21600,21600" o:gfxdata="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k4HnWAAAABgEAAA8AAAAAAAAAAQAgAAAAIgAAAGRycy9kb3ducmV2LnhtbFBL&#10;AQIUABQAAAAIAIdO4kDrVHez+AEAAOcDAAAOAAAAAAAAAAEAIAAAACUBAABkcnMvZTJvRG9jLnht&#10;bFBLBQYAAAAABgAGAFkBAACPBQAAAAA=&#10;">
                <v:fill on="f" focussize="0,0"/>
                <v:stroke color="#000000" joinstyle="round"/>
                <v:imagedata o:title=""/>
                <o:lock v:ext="edit" aspectratio="f"/>
              </v:shape>
            </w:pict>
          </mc:Fallback>
        </mc:AlternateContent>
      </w:r>
    </w:p>
    <w:sectPr>
      <w:footerReference r:id="rId5" w:type="default"/>
      <w:pgSz w:w="11906" w:h="16838"/>
      <w:pgMar w:top="2154" w:right="1417" w:bottom="2041" w:left="1531" w:header="708" w:footer="708" w:gutter="0"/>
      <w:pgNumType w:fmt="numberInDash"/>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Bernard MT Condensed">
    <w:panose1 w:val="02050806060905020404"/>
    <w:charset w:val="00"/>
    <w:family w:val="roman"/>
    <w:pitch w:val="default"/>
    <w:sig w:usb0="00000003" w:usb1="00000000" w:usb2="00000000" w:usb3="00000000" w:csb0="20000001" w:csb1="00000000"/>
  </w:font>
  <w:font w:name="方正小标宋_GBK">
    <w:panose1 w:val="03000509000000000000"/>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2NWY3M2ViZDQ2ZTI1ZDBkMzQyMDIzNDJlMWFkOGYifQ=="/>
  </w:docVars>
  <w:rsids>
    <w:rsidRoot w:val="00D31D50"/>
    <w:rsid w:val="00001276"/>
    <w:rsid w:val="000057A9"/>
    <w:rsid w:val="00054B83"/>
    <w:rsid w:val="000576BB"/>
    <w:rsid w:val="00084206"/>
    <w:rsid w:val="000D6D4F"/>
    <w:rsid w:val="000F7D2B"/>
    <w:rsid w:val="001D2609"/>
    <w:rsid w:val="002609B1"/>
    <w:rsid w:val="00312225"/>
    <w:rsid w:val="00323B43"/>
    <w:rsid w:val="00336999"/>
    <w:rsid w:val="0039617C"/>
    <w:rsid w:val="003C3094"/>
    <w:rsid w:val="003D37D8"/>
    <w:rsid w:val="003E5410"/>
    <w:rsid w:val="00426133"/>
    <w:rsid w:val="004358AB"/>
    <w:rsid w:val="00436424"/>
    <w:rsid w:val="00442300"/>
    <w:rsid w:val="0045066F"/>
    <w:rsid w:val="00454B51"/>
    <w:rsid w:val="0047117D"/>
    <w:rsid w:val="00511B09"/>
    <w:rsid w:val="00516C6B"/>
    <w:rsid w:val="00594EC4"/>
    <w:rsid w:val="005B3899"/>
    <w:rsid w:val="005B5554"/>
    <w:rsid w:val="005C2CF6"/>
    <w:rsid w:val="005C7BFB"/>
    <w:rsid w:val="005E4B86"/>
    <w:rsid w:val="005E613E"/>
    <w:rsid w:val="0066064F"/>
    <w:rsid w:val="00665124"/>
    <w:rsid w:val="006668B6"/>
    <w:rsid w:val="006B7B59"/>
    <w:rsid w:val="00705E87"/>
    <w:rsid w:val="00724921"/>
    <w:rsid w:val="007C4163"/>
    <w:rsid w:val="007D002C"/>
    <w:rsid w:val="0082584B"/>
    <w:rsid w:val="00833715"/>
    <w:rsid w:val="00852D20"/>
    <w:rsid w:val="0085378E"/>
    <w:rsid w:val="008554ED"/>
    <w:rsid w:val="008A5A0F"/>
    <w:rsid w:val="008A7BC2"/>
    <w:rsid w:val="008B7726"/>
    <w:rsid w:val="008F455A"/>
    <w:rsid w:val="00944556"/>
    <w:rsid w:val="009A00D8"/>
    <w:rsid w:val="00A76B32"/>
    <w:rsid w:val="00AA6366"/>
    <w:rsid w:val="00AB1B09"/>
    <w:rsid w:val="00AB7399"/>
    <w:rsid w:val="00B3432D"/>
    <w:rsid w:val="00B5151A"/>
    <w:rsid w:val="00B6404C"/>
    <w:rsid w:val="00BB73CC"/>
    <w:rsid w:val="00BD641C"/>
    <w:rsid w:val="00C379B0"/>
    <w:rsid w:val="00C61A02"/>
    <w:rsid w:val="00CA4982"/>
    <w:rsid w:val="00CB4464"/>
    <w:rsid w:val="00D21C37"/>
    <w:rsid w:val="00D31D50"/>
    <w:rsid w:val="00D4770E"/>
    <w:rsid w:val="00D54FE0"/>
    <w:rsid w:val="00D737E3"/>
    <w:rsid w:val="00D82612"/>
    <w:rsid w:val="00DD1E9F"/>
    <w:rsid w:val="00E037AC"/>
    <w:rsid w:val="00E20836"/>
    <w:rsid w:val="00E61A36"/>
    <w:rsid w:val="00E674D1"/>
    <w:rsid w:val="00E812BB"/>
    <w:rsid w:val="00E83877"/>
    <w:rsid w:val="00F12AF6"/>
    <w:rsid w:val="00F17A11"/>
    <w:rsid w:val="00F17EB3"/>
    <w:rsid w:val="00F350E3"/>
    <w:rsid w:val="00F57855"/>
    <w:rsid w:val="00F63AC2"/>
    <w:rsid w:val="00F711E6"/>
    <w:rsid w:val="00FF15F3"/>
    <w:rsid w:val="03B5196C"/>
    <w:rsid w:val="168533B2"/>
    <w:rsid w:val="24911121"/>
    <w:rsid w:val="268903E6"/>
    <w:rsid w:val="30672E6B"/>
    <w:rsid w:val="40983276"/>
    <w:rsid w:val="41CD44AA"/>
    <w:rsid w:val="42AC6666"/>
    <w:rsid w:val="49E86147"/>
    <w:rsid w:val="4BCB0AEA"/>
    <w:rsid w:val="4D624B2A"/>
    <w:rsid w:val="554414E6"/>
    <w:rsid w:val="57352F71"/>
    <w:rsid w:val="59584A53"/>
    <w:rsid w:val="63B6781D"/>
    <w:rsid w:val="6E496F01"/>
    <w:rsid w:val="71E02DC1"/>
    <w:rsid w:val="78200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qFormat/>
    <w:uiPriority w:val="0"/>
    <w:pPr>
      <w:widowControl w:val="0"/>
      <w:jc w:val="both"/>
    </w:pPr>
    <w:rPr>
      <w:rFonts w:ascii="宋体" w:hAnsi="Calibri" w:eastAsia="宋体" w:cs="Courier New"/>
      <w:kern w:val="2"/>
      <w:sz w:val="21"/>
      <w:szCs w:val="21"/>
      <w:lang w:val="en-US" w:eastAsia="zh-CN" w:bidi="ar-SA"/>
    </w:rPr>
  </w:style>
  <w:style w:type="paragraph" w:styleId="3">
    <w:name w:val="Body Text"/>
    <w:basedOn w:val="1"/>
    <w:qFormat/>
    <w:uiPriority w:val="99"/>
    <w:pPr>
      <w:ind w:left="289"/>
    </w:pPr>
    <w:rPr>
      <w:rFonts w:hAnsi="仿宋_GB2312" w:cs="仿宋_GB2312"/>
      <w:lang w:val="zh-CN"/>
    </w:rPr>
  </w:style>
  <w:style w:type="paragraph" w:styleId="4">
    <w:name w:val="Date"/>
    <w:basedOn w:val="1"/>
    <w:next w:val="1"/>
    <w:semiHidden/>
    <w:qFormat/>
    <w:uiPriority w:val="0"/>
    <w:rPr>
      <w:sz w:val="32"/>
      <w:szCs w:val="20"/>
    </w:rPr>
  </w:style>
  <w:style w:type="paragraph" w:styleId="5">
    <w:name w:val="footer"/>
    <w:basedOn w:val="1"/>
    <w:link w:val="12"/>
    <w:semiHidden/>
    <w:unhideWhenUsed/>
    <w:qFormat/>
    <w:uiPriority w:val="99"/>
    <w:pPr>
      <w:tabs>
        <w:tab w:val="center" w:pos="4153"/>
        <w:tab w:val="right" w:pos="8306"/>
      </w:tabs>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paragraph" w:customStyle="1" w:styleId="9">
    <w:name w:val="PlainText"/>
    <w:basedOn w:val="1"/>
    <w:qFormat/>
    <w:uiPriority w:val="0"/>
    <w:pPr>
      <w:textAlignment w:val="baseline"/>
    </w:pPr>
    <w:rPr>
      <w:rFonts w:ascii="宋体" w:hAnsi="Courier New"/>
      <w:szCs w:val="21"/>
    </w:rPr>
  </w:style>
  <w:style w:type="paragraph" w:styleId="10">
    <w:name w:val="List Paragraph"/>
    <w:basedOn w:val="1"/>
    <w:qFormat/>
    <w:uiPriority w:val="34"/>
    <w:pPr>
      <w:ind w:firstLine="420" w:firstLineChars="200"/>
    </w:pPr>
  </w:style>
  <w:style w:type="character" w:customStyle="1" w:styleId="11">
    <w:name w:val="页眉 Char"/>
    <w:basedOn w:val="8"/>
    <w:link w:val="6"/>
    <w:semiHidden/>
    <w:qFormat/>
    <w:uiPriority w:val="99"/>
    <w:rPr>
      <w:rFonts w:ascii="Tahoma" w:hAnsi="Tahoma"/>
      <w:sz w:val="18"/>
      <w:szCs w:val="18"/>
    </w:rPr>
  </w:style>
  <w:style w:type="character" w:customStyle="1" w:styleId="12">
    <w:name w:val="页脚 Char"/>
    <w:basedOn w:val="8"/>
    <w:link w:val="5"/>
    <w:semiHidden/>
    <w:qFormat/>
    <w:uiPriority w:val="99"/>
    <w:rPr>
      <w:rFonts w:ascii="Tahoma" w:hAnsi="Tahoma"/>
      <w:sz w:val="18"/>
      <w:szCs w:val="18"/>
    </w:rPr>
  </w:style>
  <w:style w:type="paragraph" w:customStyle="1" w:styleId="13">
    <w:name w:val="正文1"/>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1772</Words>
  <Characters>1808</Characters>
  <Lines>8</Lines>
  <Paragraphs>2</Paragraphs>
  <TotalTime>7</TotalTime>
  <ScaleCrop>false</ScaleCrop>
  <LinksUpToDate>false</LinksUpToDate>
  <CharactersWithSpaces>1980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办公</dc:creator>
  <cp:lastModifiedBy>jacce</cp:lastModifiedBy>
  <cp:lastPrinted>2022-05-20T02:52:00Z</cp:lastPrinted>
  <dcterms:modified xsi:type="dcterms:W3CDTF">2022-11-11T09:27:20Z</dcterms:modified>
  <cp:revision>595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DDE24DEBD158434FA87F8D5CF6026FBB</vt:lpwstr>
  </property>
</Properties>
</file>