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right"/>
        <w:textAlignment w:val="auto"/>
        <w:outlineLvl w:val="9"/>
        <w:rPr>
          <w:rFonts w:hint="eastAsia" w:ascii="黑体" w:eastAsia="黑体"/>
          <w:spacing w:val="-4"/>
          <w:sz w:val="28"/>
        </w:rPr>
      </w:pPr>
      <w:r>
        <w:rPr>
          <w:rFonts w:hint="eastAsia" w:ascii="黑体" w:eastAsia="黑体"/>
          <w:sz w:val="28"/>
        </w:rPr>
        <w:t>标记：</w:t>
      </w:r>
      <w:r>
        <w:rPr>
          <w:rFonts w:hint="eastAsia" w:ascii="黑体" w:eastAsia="黑体"/>
          <w:spacing w:val="-4"/>
          <w:sz w:val="28"/>
        </w:rPr>
        <w:t>A</w:t>
      </w:r>
    </w:p>
    <w:p>
      <w:pPr>
        <w:pStyle w:val="2"/>
      </w:pPr>
    </w:p>
    <w:p>
      <w:pPr>
        <w:spacing w:line="570" w:lineRule="exact"/>
        <w:jc w:val="center"/>
        <w:rPr>
          <w:rFonts w:hint="eastAsia" w:ascii="方正小标宋简体" w:hAnsi="宋体" w:eastAsia="方正小标宋简体"/>
          <w:spacing w:val="-10"/>
          <w:sz w:val="44"/>
        </w:rPr>
      </w:pPr>
      <w:r>
        <w:rPr>
          <w:rFonts w:hint="eastAsia" w:ascii="方正小标宋简体" w:hAnsi="宋体" w:eastAsia="方正小标宋简体"/>
          <w:spacing w:val="-10"/>
          <w:sz w:val="44"/>
        </w:rPr>
        <w:t>即墨区住房和城乡建设局</w:t>
      </w:r>
    </w:p>
    <w:p>
      <w:pPr>
        <w:spacing w:line="570" w:lineRule="exact"/>
        <w:jc w:val="center"/>
        <w:rPr>
          <w:rFonts w:hint="eastAsia" w:ascii="方正小标宋简体" w:hAnsi="宋体" w:eastAsia="方正小标宋简体"/>
          <w:spacing w:val="-10"/>
          <w:sz w:val="44"/>
        </w:rPr>
      </w:pPr>
      <w:r>
        <w:rPr>
          <w:rFonts w:hint="eastAsia" w:ascii="方正小标宋简体" w:hAnsi="宋体" w:eastAsia="方正小标宋简体"/>
          <w:spacing w:val="-10"/>
          <w:sz w:val="44"/>
        </w:rPr>
        <w:t>关于对区政协十五届一次会议第15号</w:t>
      </w:r>
    </w:p>
    <w:p>
      <w:pPr>
        <w:spacing w:line="570" w:lineRule="exact"/>
        <w:jc w:val="center"/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方正小标宋简体" w:hAnsi="宋体" w:eastAsia="方正小标宋简体"/>
          <w:spacing w:val="-10"/>
          <w:sz w:val="44"/>
        </w:rPr>
        <w:t>建议的答复</w:t>
      </w:r>
    </w:p>
    <w:p>
      <w:pPr>
        <w:adjustRightInd w:val="0"/>
        <w:snapToGrid w:val="0"/>
        <w:spacing w:line="570" w:lineRule="exact"/>
        <w:rPr>
          <w:rFonts w:ascii="仿宋_GB2312" w:eastAsia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宋学贤委员：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</w:t>
      </w:r>
      <w:r>
        <w:rPr>
          <w:rFonts w:hint="eastAsia" w:ascii="仿宋_GB2312" w:eastAsia="仿宋_GB2312"/>
          <w:spacing w:val="-6"/>
          <w:sz w:val="32"/>
          <w:szCs w:val="32"/>
        </w:rPr>
        <w:t xml:space="preserve">  </w:t>
      </w:r>
    </w:p>
    <w:p>
      <w:pPr>
        <w:adjustRightInd w:val="0"/>
        <w:snapToGrid w:val="0"/>
        <w:spacing w:line="570" w:lineRule="exact"/>
        <w:ind w:firstLine="582" w:firstLineChars="200"/>
      </w:pPr>
      <w:r>
        <w:rPr>
          <w:rFonts w:hint="eastAsia" w:ascii="仿宋_GB2312" w:eastAsia="仿宋_GB2312"/>
          <w:spacing w:val="-6"/>
          <w:sz w:val="32"/>
          <w:szCs w:val="32"/>
        </w:rPr>
        <w:t xml:space="preserve"> 您提出的“</w:t>
      </w:r>
      <w:r>
        <w:rPr>
          <w:rFonts w:hint="eastAsia" w:ascii="仿宋_GB2312" w:hAnsi="Arial" w:eastAsia="仿宋_GB2312" w:cs="Arial"/>
          <w:color w:val="000000"/>
          <w:sz w:val="32"/>
          <w:szCs w:val="32"/>
        </w:rPr>
        <w:t>关于加强农村生活污水管道改造及落实燃气管网改造的建议</w:t>
      </w:r>
      <w:r>
        <w:rPr>
          <w:rFonts w:hint="eastAsia" w:ascii="仿宋_GB2312" w:eastAsia="仿宋_GB2312"/>
          <w:spacing w:val="-6"/>
          <w:sz w:val="32"/>
          <w:szCs w:val="32"/>
        </w:rPr>
        <w:t>”收悉，现将办理情况答复如下：</w:t>
      </w:r>
    </w:p>
    <w:p>
      <w:pPr>
        <w:adjustRightInd w:val="0"/>
        <w:snapToGrid w:val="0"/>
        <w:spacing w:line="570" w:lineRule="exact"/>
        <w:ind w:firstLine="606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补齐农村人居环境整治短板，改善农村水生态环境，扎实推进农村生活污水治理，我区于2021年研究制定了《即墨区农村生活污水治理三年实施方案》，计划利用三年时间，逐步对全区893个涉农村庄，通过“管道+市政管网、管道+设施收集处理、管道+收集池抽运”三种方式进行生活污水治理。其中，2021年一期治理247个村庄，2022年二期计划治理约350个村庄，2023年完成剩余村庄治理工作。治理过程中，同步将厕所粪污接入污水管网统一收集处理，实现厕污收集和处理方式规范升级，不断提高资源化处理能力。</w:t>
      </w:r>
    </w:p>
    <w:p>
      <w:pPr>
        <w:adjustRightInd w:val="0"/>
        <w:snapToGrid w:val="0"/>
        <w:spacing w:line="570" w:lineRule="exact"/>
        <w:ind w:firstLine="606" w:firstLineChars="200"/>
        <w:rPr>
          <w:rFonts w:ascii="仿宋_GB2312" w:hAnsi="Arial" w:eastAsia="仿宋_GB2312" w:cs="Arial"/>
          <w:color w:val="00000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sz w:val="32"/>
          <w:szCs w:val="32"/>
        </w:rPr>
        <w:t>在推进农村生活污水治理过程中，全面加强配套管网建设。一</w:t>
      </w:r>
      <w:r>
        <w:rPr>
          <w:rFonts w:hint="eastAsia" w:ascii="楷体_GB2312" w:hAnsi="Arial" w:eastAsia="楷体_GB2312" w:cs="Arial"/>
          <w:b/>
          <w:color w:val="000000"/>
          <w:sz w:val="32"/>
          <w:szCs w:val="32"/>
        </w:rPr>
        <w:t>是</w:t>
      </w:r>
      <w:r>
        <w:rPr>
          <w:rFonts w:hint="eastAsia" w:ascii="仿宋_GB2312" w:hAnsi="Arial" w:eastAsia="仿宋_GB2312" w:cs="Arial"/>
          <w:color w:val="000000"/>
          <w:sz w:val="32"/>
          <w:szCs w:val="32"/>
        </w:rPr>
        <w:t>进行阳沟口改造，铺设HDPE管道，只收集厨房用水、洗浴用水、厕所用水等，解决雨污混流情况。</w:t>
      </w:r>
      <w:r>
        <w:rPr>
          <w:rFonts w:hint="eastAsia" w:ascii="楷体_GB2312" w:hAnsi="Arial" w:eastAsia="楷体_GB2312" w:cs="Arial"/>
          <w:b/>
          <w:color w:val="000000"/>
          <w:sz w:val="32"/>
          <w:szCs w:val="32"/>
        </w:rPr>
        <w:t>二是</w:t>
      </w:r>
      <w:r>
        <w:rPr>
          <w:rFonts w:hint="eastAsia" w:ascii="仿宋_GB2312" w:hAnsi="Arial" w:eastAsia="仿宋_GB2312" w:cs="Arial"/>
          <w:color w:val="000000"/>
          <w:sz w:val="32"/>
          <w:szCs w:val="32"/>
        </w:rPr>
        <w:t>统筹污水改造和燃气管网改造工作，避免重复施工、重复开挖，造成资源浪费以及给群众出行和交通带来不便。经对接度假区政府和燃气公司，今年暂无燃气改造计划。后期将结合农村污水改造，根据镇街需求同步实施燃气管道敷设，尽量减少破坏路面和重复施工。</w:t>
      </w:r>
      <w:r>
        <w:rPr>
          <w:rFonts w:hint="eastAsia" w:ascii="楷体_GB2312" w:hAnsi="Arial" w:eastAsia="楷体_GB2312" w:cs="Arial"/>
          <w:b/>
          <w:color w:val="000000"/>
          <w:sz w:val="32"/>
          <w:szCs w:val="32"/>
        </w:rPr>
        <w:t>三是</w:t>
      </w:r>
      <w:r>
        <w:rPr>
          <w:rFonts w:hint="eastAsia" w:ascii="仿宋_GB2312" w:hAnsi="Arial" w:eastAsia="仿宋_GB2312" w:cs="Arial"/>
          <w:color w:val="000000"/>
          <w:sz w:val="32"/>
          <w:szCs w:val="32"/>
        </w:rPr>
        <w:t>同步为田横岛度假区新建一座处理能力200t/天的污水处理设施，进一步覆盖周边村庄。后期将根据村庄治理情况，实施新增一批污水处理设施。</w:t>
      </w:r>
    </w:p>
    <w:p>
      <w:pPr>
        <w:spacing w:line="570" w:lineRule="exact"/>
        <w:ind w:firstLine="5529" w:firstLineChars="1900"/>
        <w:rPr>
          <w:rFonts w:ascii="仿宋_GB2312" w:eastAsia="仿宋_GB2312"/>
          <w:spacing w:val="-6"/>
          <w:sz w:val="32"/>
          <w:szCs w:val="32"/>
        </w:rPr>
      </w:pPr>
    </w:p>
    <w:p>
      <w:pPr>
        <w:spacing w:line="570" w:lineRule="exact"/>
        <w:ind w:firstLine="5529" w:firstLineChars="1900"/>
        <w:rPr>
          <w:rFonts w:ascii="仿宋_GB2312" w:eastAsia="仿宋_GB2312"/>
          <w:spacing w:val="-6"/>
          <w:sz w:val="32"/>
          <w:szCs w:val="32"/>
        </w:rPr>
      </w:pPr>
    </w:p>
    <w:p>
      <w:pPr>
        <w:spacing w:line="570" w:lineRule="exact"/>
        <w:ind w:firstLine="5384" w:firstLineChars="1850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/>
          <w:spacing w:val="-6"/>
          <w:sz w:val="32"/>
          <w:szCs w:val="32"/>
        </w:rPr>
        <w:t>2022</w:t>
      </w:r>
      <w:r>
        <w:rPr>
          <w:rFonts w:hint="eastAsia" w:ascii="仿宋_GB2312" w:eastAsia="仿宋_GB2312"/>
          <w:spacing w:val="-6"/>
          <w:sz w:val="32"/>
          <w:szCs w:val="32"/>
        </w:rPr>
        <w:t>年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pacing w:val="-6"/>
          <w:sz w:val="32"/>
          <w:szCs w:val="32"/>
        </w:rPr>
        <w:t>日</w:t>
      </w:r>
    </w:p>
    <w:p>
      <w:pPr>
        <w:spacing w:line="570" w:lineRule="exact"/>
        <w:rPr>
          <w:rFonts w:hint="eastAsia" w:ascii="仿宋_GB2312" w:eastAsia="仿宋_GB2312"/>
          <w:spacing w:val="-6"/>
          <w:sz w:val="32"/>
          <w:szCs w:val="32"/>
          <w:lang w:eastAsia="zh-CN"/>
        </w:rPr>
      </w:pPr>
    </w:p>
    <w:p>
      <w:pPr>
        <w:spacing w:line="570" w:lineRule="exact"/>
        <w:rPr>
          <w:rFonts w:hint="eastAsia" w:ascii="仿宋_GB2312" w:eastAsia="仿宋_GB2312"/>
          <w:spacing w:val="-6"/>
          <w:sz w:val="32"/>
          <w:szCs w:val="32"/>
          <w:lang w:eastAsia="zh-CN"/>
        </w:rPr>
      </w:pPr>
    </w:p>
    <w:p>
      <w:pPr>
        <w:spacing w:line="570" w:lineRule="exact"/>
        <w:rPr>
          <w:rFonts w:hint="eastAsia" w:ascii="仿宋_GB2312" w:eastAsia="仿宋_GB2312"/>
          <w:spacing w:val="-6"/>
          <w:sz w:val="32"/>
          <w:szCs w:val="32"/>
          <w:lang w:eastAsia="zh-CN"/>
        </w:rPr>
      </w:pPr>
    </w:p>
    <w:p>
      <w:pPr>
        <w:spacing w:line="570" w:lineRule="exact"/>
        <w:rPr>
          <w:rFonts w:hint="eastAsia" w:ascii="仿宋_GB2312" w:eastAsia="仿宋_GB2312"/>
          <w:spacing w:val="-6"/>
          <w:sz w:val="32"/>
          <w:szCs w:val="32"/>
          <w:lang w:eastAsia="zh-CN"/>
        </w:rPr>
      </w:pPr>
    </w:p>
    <w:p>
      <w:pPr>
        <w:spacing w:line="570" w:lineRule="exact"/>
        <w:rPr>
          <w:rFonts w:hint="eastAsia" w:ascii="仿宋_GB2312" w:eastAsia="仿宋_GB2312"/>
          <w:spacing w:val="-6"/>
          <w:sz w:val="32"/>
          <w:szCs w:val="32"/>
          <w:lang w:eastAsia="zh-CN"/>
        </w:rPr>
      </w:pPr>
    </w:p>
    <w:p>
      <w:pPr>
        <w:spacing w:line="570" w:lineRule="exact"/>
        <w:rPr>
          <w:rFonts w:hint="eastAsia" w:ascii="仿宋_GB2312" w:eastAsia="仿宋_GB2312"/>
          <w:spacing w:val="-6"/>
          <w:sz w:val="32"/>
          <w:szCs w:val="32"/>
          <w:lang w:eastAsia="zh-CN"/>
        </w:rPr>
      </w:pPr>
    </w:p>
    <w:p>
      <w:pPr>
        <w:spacing w:line="570" w:lineRule="exact"/>
        <w:rPr>
          <w:rFonts w:hint="eastAsia" w:ascii="仿宋_GB2312" w:eastAsia="仿宋_GB2312"/>
          <w:spacing w:val="-6"/>
          <w:sz w:val="32"/>
          <w:szCs w:val="32"/>
          <w:lang w:eastAsia="zh-CN"/>
        </w:rPr>
      </w:pPr>
    </w:p>
    <w:p>
      <w:pPr>
        <w:spacing w:line="570" w:lineRule="exact"/>
        <w:rPr>
          <w:rFonts w:hint="eastAsia" w:ascii="仿宋_GB2312" w:eastAsia="仿宋_GB2312"/>
          <w:spacing w:val="-6"/>
          <w:sz w:val="32"/>
          <w:szCs w:val="32"/>
          <w:lang w:eastAsia="zh-CN"/>
        </w:rPr>
      </w:pPr>
    </w:p>
    <w:p>
      <w:pPr>
        <w:pStyle w:val="3"/>
        <w:spacing w:line="570" w:lineRule="exact"/>
      </w:pPr>
      <w:bookmarkStart w:id="0" w:name="_GoBack"/>
      <w:bookmarkEnd w:id="0"/>
    </w:p>
    <w:sectPr>
      <w:pgSz w:w="11906" w:h="16838"/>
      <w:pgMar w:top="2098" w:right="1474" w:bottom="1985" w:left="1588" w:header="851" w:footer="1588" w:gutter="0"/>
      <w:cols w:space="425" w:num="1"/>
      <w:docGrid w:type="linesAndChars" w:linePitch="311" w:charSpace="-363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420"/>
  <w:drawingGridHorizontalSpacing w:val="96"/>
  <w:drawingGridVerticalSpacing w:val="311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TE2NWY3M2ViZDQ2ZTI1ZDBkMzQyMDIzNDJlMWFkOGYifQ=="/>
  </w:docVars>
  <w:rsids>
    <w:rsidRoot w:val="005D717D"/>
    <w:rsid w:val="00167E40"/>
    <w:rsid w:val="001714C4"/>
    <w:rsid w:val="00185B2E"/>
    <w:rsid w:val="00231761"/>
    <w:rsid w:val="003B20AD"/>
    <w:rsid w:val="00433A76"/>
    <w:rsid w:val="00576A06"/>
    <w:rsid w:val="005D3D91"/>
    <w:rsid w:val="005D717D"/>
    <w:rsid w:val="00706A57"/>
    <w:rsid w:val="00A0518A"/>
    <w:rsid w:val="00A64951"/>
    <w:rsid w:val="00A86AAD"/>
    <w:rsid w:val="00A902D4"/>
    <w:rsid w:val="00C36249"/>
    <w:rsid w:val="00DB09DA"/>
    <w:rsid w:val="00DF77A1"/>
    <w:rsid w:val="00E90A4C"/>
    <w:rsid w:val="045D72C7"/>
    <w:rsid w:val="07153E89"/>
    <w:rsid w:val="09295C86"/>
    <w:rsid w:val="0B156DBB"/>
    <w:rsid w:val="0B9E269F"/>
    <w:rsid w:val="0D154302"/>
    <w:rsid w:val="0F057031"/>
    <w:rsid w:val="15663828"/>
    <w:rsid w:val="1D6D3BD2"/>
    <w:rsid w:val="26CE113B"/>
    <w:rsid w:val="29F23E8A"/>
    <w:rsid w:val="35F965A0"/>
    <w:rsid w:val="37123024"/>
    <w:rsid w:val="3767166B"/>
    <w:rsid w:val="3AD35612"/>
    <w:rsid w:val="3E145966"/>
    <w:rsid w:val="45932716"/>
    <w:rsid w:val="4783216D"/>
    <w:rsid w:val="4CF935B6"/>
    <w:rsid w:val="51A43389"/>
    <w:rsid w:val="60592DE8"/>
    <w:rsid w:val="62101B9E"/>
    <w:rsid w:val="68C94977"/>
    <w:rsid w:val="7E5A2ECF"/>
    <w:rsid w:val="7F9A2A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uiPriority w:val="39"/>
  </w:style>
  <w:style w:type="paragraph" w:styleId="3">
    <w:name w:val="Date"/>
    <w:basedOn w:val="1"/>
    <w:next w:val="1"/>
    <w:link w:val="9"/>
    <w:qFormat/>
    <w:uiPriority w:val="0"/>
    <w:rPr>
      <w:sz w:val="32"/>
      <w:szCs w:val="20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9">
    <w:name w:val="日期 Char"/>
    <w:basedOn w:val="8"/>
    <w:link w:val="3"/>
    <w:qFormat/>
    <w:uiPriority w:val="0"/>
    <w:rPr>
      <w:rFonts w:ascii="Times New Roman" w:hAnsi="Times New Roman" w:eastAsia="宋体" w:cs="Times New Roman"/>
      <w:sz w:val="32"/>
      <w:szCs w:val="20"/>
    </w:rPr>
  </w:style>
  <w:style w:type="character" w:customStyle="1" w:styleId="10">
    <w:name w:val="页眉 Char"/>
    <w:basedOn w:val="8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604</Words>
  <Characters>641</Characters>
  <Lines>4</Lines>
  <Paragraphs>1</Paragraphs>
  <TotalTime>0</TotalTime>
  <ScaleCrop>false</ScaleCrop>
  <LinksUpToDate>false</LinksUpToDate>
  <CharactersWithSpaces>647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2022-04-02T06:53:00Z</dcterms:created>
  <dc:creator>Administrator</dc:creator>
  <cp:lastModifiedBy>jacce</cp:lastModifiedBy>
  <dcterms:modified xsi:type="dcterms:W3CDTF">2022-11-11T08:40:17Z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35CB43DEC29243B49CCCD97A1936B70A</vt:lpwstr>
  </property>
</Properties>
</file>