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15AFD4">
      <w:pPr>
        <w:spacing w:line="360" w:lineRule="auto"/>
        <w:rPr>
          <w:rFonts w:eastAsia="宋体"/>
          <w:b/>
          <w:sz w:val="44"/>
          <w:szCs w:val="44"/>
        </w:rPr>
      </w:pPr>
      <w:r>
        <w:rPr>
          <w:rFonts w:ascii="Times New Roman" w:hAnsi="Times New Roman" w:eastAsia="宋体" w:cs="Times New Roman"/>
          <w:b/>
          <w:kern w:val="2"/>
          <w:sz w:val="44"/>
          <w:szCs w:val="44"/>
          <w:lang w:bidi="ar-SA"/>
        </w:rPr>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-426720</wp:posOffset>
                </wp:positionV>
                <wp:extent cx="5829300" cy="1752600"/>
                <wp:effectExtent l="0" t="0" r="7620" b="0"/>
                <wp:wrapNone/>
                <wp:docPr id="1" name="Rectangle 2"/>
                <wp:cNvGraphicFramePr/>
                <a:graphic xmlns:a="http://schemas.openxmlformats.org/drawingml/2006/main">
                  <a:graphicData uri="http://schemas.microsoft.com/office/word/2010/wordprocessingShape">
                    <wps:wsp>
                      <wps:cNvSpPr/>
                      <wps:spPr>
                        <a:xfrm>
                          <a:off x="0" y="0"/>
                          <a:ext cx="5829300" cy="1752600"/>
                        </a:xfrm>
                        <a:prstGeom prst="rect">
                          <a:avLst/>
                        </a:prstGeom>
                        <a:solidFill>
                          <a:srgbClr val="FFFFFF"/>
                        </a:solidFill>
                        <a:ln>
                          <a:noFill/>
                        </a:ln>
                      </wps:spPr>
                      <wps:txbx>
                        <w:txbxContent>
                          <w:p w14:paraId="450E0A09">
                            <w:pPr>
                              <w:spacing w:line="240" w:lineRule="exact"/>
                              <w:ind w:left="630" w:leftChars="197" w:right="784" w:rightChars="245"/>
                              <w:jc w:val="distribute"/>
                              <w:rPr>
                                <w:rFonts w:hint="eastAsia" w:eastAsia="文星简美黑"/>
                                <w:color w:val="FF0000"/>
                                <w:spacing w:val="-200"/>
                                <w:sz w:val="120"/>
                                <w:szCs w:val="120"/>
                              </w:rPr>
                            </w:pPr>
                          </w:p>
                          <w:p w14:paraId="31FBC41E">
                            <w:pPr>
                              <w:spacing w:line="240" w:lineRule="exact"/>
                              <w:ind w:right="784" w:rightChars="245"/>
                              <w:rPr>
                                <w:rFonts w:hint="eastAsia" w:eastAsia="文星简美黑"/>
                                <w:color w:val="FF0000"/>
                                <w:spacing w:val="-200"/>
                                <w:sz w:val="120"/>
                                <w:szCs w:val="120"/>
                              </w:rPr>
                            </w:pPr>
                          </w:p>
                          <w:p w14:paraId="3609133B">
                            <w:pPr>
                              <w:ind w:left="538" w:leftChars="168" w:right="614" w:rightChars="192"/>
                              <w:jc w:val="distribute"/>
                              <w:rPr>
                                <w:rFonts w:hint="eastAsia" w:ascii="方正小标宋_GBK" w:hAnsi="文星标宋" w:eastAsia="方正小标宋_GBK"/>
                                <w:color w:val="FF0000"/>
                                <w:spacing w:val="-30"/>
                                <w:w w:val="70"/>
                                <w:sz w:val="120"/>
                                <w:szCs w:val="120"/>
                              </w:rPr>
                            </w:pPr>
                            <w:r>
                              <w:rPr>
                                <w:rFonts w:hint="eastAsia" w:ascii="方正小标宋_GBK" w:hAnsi="文星标宋" w:eastAsia="方正小标宋_GBK"/>
                                <w:color w:val="FF0000"/>
                                <w:spacing w:val="-30"/>
                                <w:w w:val="70"/>
                                <w:sz w:val="120"/>
                                <w:szCs w:val="120"/>
                                <w:lang w:val="en-US" w:eastAsia="zh-CN"/>
                              </w:rPr>
                              <w:t>青岛市即墨区</w:t>
                            </w:r>
                            <w:r>
                              <w:rPr>
                                <w:rFonts w:hint="eastAsia" w:ascii="方正小标宋_GBK" w:hAnsi="文星标宋" w:eastAsia="方正小标宋_GBK"/>
                                <w:color w:val="FF0000"/>
                                <w:spacing w:val="-30"/>
                                <w:w w:val="70"/>
                                <w:sz w:val="120"/>
                                <w:szCs w:val="120"/>
                              </w:rPr>
                              <w:t>商务局</w:t>
                            </w:r>
                          </w:p>
                          <w:p w14:paraId="225A1A3E">
                            <w:pPr>
                              <w:rPr>
                                <w:rFonts w:hint="eastAsia"/>
                              </w:rPr>
                            </w:pPr>
                          </w:p>
                          <w:p w14:paraId="6588BA12"/>
                        </w:txbxContent>
                      </wps:txbx>
                      <wps:bodyPr vert="horz" anchor="t" anchorCtr="0" upright="1"/>
                    </wps:wsp>
                  </a:graphicData>
                </a:graphic>
              </wp:anchor>
            </w:drawing>
          </mc:Choice>
          <mc:Fallback>
            <w:pict>
              <v:rect id="Rectangle 2" o:spid="_x0000_s1026" o:spt="1" style="position:absolute;left:0pt;margin-left:-18pt;margin-top:-33.6pt;height:138pt;width:459pt;z-index:251659264;mso-width-relative:page;mso-height-relative:page;" fillcolor="#FFFFFF" filled="t" stroked="f" coordsize="21600,21600" o:gfxdata="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6Zy9n2QAAAAsBAAAPAAAAAAAAAAEAIAAAACIAAABkcnMvZG93bnJldi54&#10;bWxQSwECFAAUAAAACACHTuJA+qpPIcABAACTAwAADgAAAAAAAAABACAAAAAoAQAAZHJzL2Uyb0Rv&#10;Yy54bWxQSwUGAAAAAAYABgBZAQAAWgUAAAAA&#10;">
                <v:fill on="t" focussize="0,0"/>
                <v:stroke on="f"/>
                <v:imagedata o:title=""/>
                <o:lock v:ext="edit" aspectratio="f"/>
                <v:textbox>
                  <w:txbxContent>
                    <w:p w14:paraId="450E0A09">
                      <w:pPr>
                        <w:spacing w:line="240" w:lineRule="exact"/>
                        <w:ind w:left="630" w:leftChars="197" w:right="784" w:rightChars="245"/>
                        <w:jc w:val="distribute"/>
                        <w:rPr>
                          <w:rFonts w:hint="eastAsia" w:eastAsia="文星简美黑"/>
                          <w:color w:val="FF0000"/>
                          <w:spacing w:val="-200"/>
                          <w:sz w:val="120"/>
                          <w:szCs w:val="120"/>
                        </w:rPr>
                      </w:pPr>
                    </w:p>
                    <w:p w14:paraId="31FBC41E">
                      <w:pPr>
                        <w:spacing w:line="240" w:lineRule="exact"/>
                        <w:ind w:right="784" w:rightChars="245"/>
                        <w:rPr>
                          <w:rFonts w:hint="eastAsia" w:eastAsia="文星简美黑"/>
                          <w:color w:val="FF0000"/>
                          <w:spacing w:val="-200"/>
                          <w:sz w:val="120"/>
                          <w:szCs w:val="120"/>
                        </w:rPr>
                      </w:pPr>
                    </w:p>
                    <w:p w14:paraId="3609133B">
                      <w:pPr>
                        <w:ind w:left="538" w:leftChars="168" w:right="614" w:rightChars="192"/>
                        <w:jc w:val="distribute"/>
                        <w:rPr>
                          <w:rFonts w:hint="eastAsia" w:ascii="方正小标宋_GBK" w:hAnsi="文星标宋" w:eastAsia="方正小标宋_GBK"/>
                          <w:color w:val="FF0000"/>
                          <w:spacing w:val="-30"/>
                          <w:w w:val="70"/>
                          <w:sz w:val="120"/>
                          <w:szCs w:val="120"/>
                        </w:rPr>
                      </w:pPr>
                      <w:r>
                        <w:rPr>
                          <w:rFonts w:hint="eastAsia" w:ascii="方正小标宋_GBK" w:hAnsi="文星标宋" w:eastAsia="方正小标宋_GBK"/>
                          <w:color w:val="FF0000"/>
                          <w:spacing w:val="-30"/>
                          <w:w w:val="70"/>
                          <w:sz w:val="120"/>
                          <w:szCs w:val="120"/>
                          <w:lang w:val="en-US" w:eastAsia="zh-CN"/>
                        </w:rPr>
                        <w:t>青岛市即墨区</w:t>
                      </w:r>
                      <w:r>
                        <w:rPr>
                          <w:rFonts w:hint="eastAsia" w:ascii="方正小标宋_GBK" w:hAnsi="文星标宋" w:eastAsia="方正小标宋_GBK"/>
                          <w:color w:val="FF0000"/>
                          <w:spacing w:val="-30"/>
                          <w:w w:val="70"/>
                          <w:sz w:val="120"/>
                          <w:szCs w:val="120"/>
                        </w:rPr>
                        <w:t>商务局</w:t>
                      </w:r>
                    </w:p>
                    <w:p w14:paraId="225A1A3E">
                      <w:pPr>
                        <w:rPr>
                          <w:rFonts w:hint="eastAsia"/>
                        </w:rPr>
                      </w:pPr>
                    </w:p>
                    <w:p w14:paraId="6588BA12"/>
                  </w:txbxContent>
                </v:textbox>
              </v:rect>
            </w:pict>
          </mc:Fallback>
        </mc:AlternateContent>
      </w:r>
    </w:p>
    <w:p w14:paraId="47CE47E1">
      <w:pPr>
        <w:spacing w:line="360" w:lineRule="auto"/>
        <w:jc w:val="center"/>
        <w:rPr>
          <w:rFonts w:eastAsia="宋体"/>
          <w:b/>
          <w:sz w:val="44"/>
          <w:szCs w:val="44"/>
        </w:rPr>
      </w:pPr>
    </w:p>
    <w:p w14:paraId="712D492A">
      <w:pPr>
        <w:wordWrap/>
        <w:adjustRightInd w:val="0"/>
        <w:snapToGrid w:val="0"/>
        <w:spacing w:line="560" w:lineRule="exact"/>
        <w:ind w:left="0" w:leftChars="0" w:right="0"/>
        <w:textAlignment w:val="auto"/>
        <w:outlineLvl w:val="9"/>
        <w:rPr>
          <w:rFonts w:hint="default" w:ascii="Times New Roman" w:hAnsi="Times New Roman" w:eastAsia="宋体" w:cs="Times New Roman"/>
          <w:b/>
          <w:sz w:val="44"/>
          <w:szCs w:val="44"/>
        </w:rPr>
      </w:pPr>
    </w:p>
    <w:p w14:paraId="02808370">
      <w:pPr>
        <w:spacing w:line="560" w:lineRule="exact"/>
        <w:jc w:val="center"/>
        <w:rPr>
          <w:rFonts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关于做好2023年对外投资合作专项资金</w:t>
      </w:r>
    </w:p>
    <w:p w14:paraId="7FD2CFC4">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项目申报工作的通知</w:t>
      </w:r>
    </w:p>
    <w:bookmarkEnd w:id="0"/>
    <w:p w14:paraId="1BA4B8DA">
      <w:pPr>
        <w:spacing w:line="560" w:lineRule="exact"/>
        <w:jc w:val="both"/>
        <w:rPr>
          <w:rFonts w:ascii="仿宋_GB2312" w:hAnsi="仿宋_GB2312" w:eastAsia="仿宋_GB2312" w:cs="仿宋_GB2312"/>
          <w:szCs w:val="32"/>
        </w:rPr>
      </w:pPr>
    </w:p>
    <w:p w14:paraId="2DCB3C0C">
      <w:pPr>
        <w:widowControl w:val="0"/>
        <w:wordWrap/>
        <w:adjustRightInd/>
        <w:snapToGrid/>
        <w:spacing w:line="560" w:lineRule="exact"/>
        <w:ind w:left="0" w:leftChars="0" w:right="0"/>
        <w:contextualSpacing/>
        <w:textAlignment w:val="auto"/>
        <w:outlineLvl w:val="9"/>
        <w:rPr>
          <w:rFonts w:hint="default" w:ascii="Times New Roman" w:hAnsi="Times New Roman" w:cs="Times New Roman"/>
          <w:bCs/>
          <w:szCs w:val="32"/>
        </w:rPr>
      </w:pPr>
      <w:r>
        <w:rPr>
          <w:rFonts w:hint="default" w:ascii="Times New Roman" w:hAnsi="Times New Roman" w:cs="Times New Roman"/>
          <w:bCs/>
          <w:szCs w:val="32"/>
        </w:rPr>
        <w:t>各</w:t>
      </w:r>
      <w:r>
        <w:rPr>
          <w:rFonts w:hint="eastAsia" w:cs="Times New Roman"/>
          <w:bCs/>
          <w:szCs w:val="32"/>
          <w:lang w:eastAsia="zh-CN"/>
        </w:rPr>
        <w:t>镇、街道、功能区，各有关企业</w:t>
      </w:r>
      <w:r>
        <w:rPr>
          <w:rFonts w:hint="default" w:ascii="Times New Roman" w:hAnsi="Times New Roman" w:cs="Times New Roman"/>
          <w:bCs/>
          <w:szCs w:val="32"/>
        </w:rPr>
        <w:t>：</w:t>
      </w:r>
    </w:p>
    <w:p w14:paraId="328721EC">
      <w:pPr>
        <w:spacing w:line="560" w:lineRule="exact"/>
        <w:ind w:firstLine="640" w:firstLineChars="200"/>
        <w:rPr>
          <w:rFonts w:eastAsia="仿宋_GB2312"/>
          <w:szCs w:val="32"/>
        </w:rPr>
      </w:pPr>
      <w:r>
        <w:rPr>
          <w:rFonts w:eastAsia="仿宋_GB2312"/>
          <w:kern w:val="0"/>
          <w:szCs w:val="32"/>
        </w:rPr>
        <w:t>根据</w:t>
      </w:r>
      <w:r>
        <w:rPr>
          <w:rFonts w:hint="eastAsia" w:eastAsia="仿宋_GB2312"/>
          <w:kern w:val="0"/>
          <w:szCs w:val="32"/>
          <w:lang w:eastAsia="zh-CN"/>
        </w:rPr>
        <w:t>《</w:t>
      </w:r>
      <w:r>
        <w:rPr>
          <w:rFonts w:eastAsia="仿宋_GB2312"/>
          <w:kern w:val="0"/>
          <w:szCs w:val="32"/>
        </w:rPr>
        <w:t>财</w:t>
      </w:r>
      <w:r>
        <w:rPr>
          <w:rFonts w:eastAsia="仿宋_GB2312"/>
          <w:szCs w:val="32"/>
        </w:rPr>
        <w:t>政部</w:t>
      </w:r>
      <w:r>
        <w:rPr>
          <w:rFonts w:hint="eastAsia" w:eastAsia="仿宋_GB2312"/>
          <w:szCs w:val="32"/>
          <w:lang w:val="en-US" w:eastAsia="zh-CN"/>
        </w:rPr>
        <w:t xml:space="preserve"> </w:t>
      </w:r>
      <w:r>
        <w:rPr>
          <w:rFonts w:eastAsia="仿宋_GB2312"/>
          <w:szCs w:val="32"/>
        </w:rPr>
        <w:t>商务部关于印发&lt;外经贸发展专项资金管理办法&gt;的通知》（财建〔2022〕3号）</w:t>
      </w:r>
      <w:r>
        <w:rPr>
          <w:rFonts w:hint="eastAsia" w:eastAsia="仿宋_GB2312"/>
          <w:szCs w:val="32"/>
        </w:rPr>
        <w:t>，以及</w:t>
      </w:r>
      <w:r>
        <w:rPr>
          <w:rFonts w:hint="eastAsia" w:eastAsia="仿宋_GB2312"/>
          <w:szCs w:val="32"/>
          <w:lang w:eastAsia="zh-CN"/>
        </w:rPr>
        <w:t>《</w:t>
      </w:r>
      <w:r>
        <w:rPr>
          <w:rFonts w:eastAsia="仿宋_GB2312"/>
          <w:kern w:val="0"/>
          <w:szCs w:val="32"/>
        </w:rPr>
        <w:t>财</w:t>
      </w:r>
      <w:r>
        <w:rPr>
          <w:rFonts w:eastAsia="仿宋_GB2312"/>
          <w:szCs w:val="32"/>
        </w:rPr>
        <w:t>政部办公厅</w:t>
      </w:r>
      <w:r>
        <w:rPr>
          <w:rFonts w:hint="eastAsia" w:eastAsia="仿宋_GB2312"/>
          <w:szCs w:val="32"/>
          <w:lang w:val="en-US" w:eastAsia="zh-CN"/>
        </w:rPr>
        <w:t xml:space="preserve"> </w:t>
      </w:r>
      <w:r>
        <w:rPr>
          <w:rFonts w:eastAsia="仿宋_GB2312"/>
          <w:szCs w:val="32"/>
        </w:rPr>
        <w:t>商务部办公厅关于202</w:t>
      </w:r>
      <w:r>
        <w:rPr>
          <w:rFonts w:hint="eastAsia" w:eastAsia="仿宋_GB2312"/>
          <w:szCs w:val="32"/>
        </w:rPr>
        <w:t>3</w:t>
      </w:r>
      <w:r>
        <w:rPr>
          <w:rFonts w:eastAsia="仿宋_GB2312"/>
          <w:szCs w:val="32"/>
        </w:rPr>
        <w:t>年度外经贸发展专项资金</w:t>
      </w:r>
      <w:r>
        <w:rPr>
          <w:rFonts w:hint="eastAsia" w:eastAsia="仿宋_GB2312"/>
          <w:szCs w:val="32"/>
        </w:rPr>
        <w:t>有关</w:t>
      </w:r>
      <w:r>
        <w:rPr>
          <w:rFonts w:eastAsia="仿宋_GB2312"/>
          <w:szCs w:val="32"/>
        </w:rPr>
        <w:t>工作的通知》（财办建〔202</w:t>
      </w:r>
      <w:r>
        <w:rPr>
          <w:rFonts w:hint="eastAsia" w:eastAsia="仿宋_GB2312"/>
          <w:szCs w:val="32"/>
        </w:rPr>
        <w:t>3</w:t>
      </w:r>
      <w:r>
        <w:rPr>
          <w:rFonts w:eastAsia="仿宋_GB2312"/>
          <w:szCs w:val="32"/>
        </w:rPr>
        <w:t>〕</w:t>
      </w:r>
      <w:r>
        <w:rPr>
          <w:rFonts w:hint="eastAsia" w:eastAsia="仿宋_GB2312"/>
          <w:szCs w:val="32"/>
        </w:rPr>
        <w:t>29</w:t>
      </w:r>
      <w:r>
        <w:rPr>
          <w:rFonts w:eastAsia="仿宋_GB2312"/>
          <w:szCs w:val="32"/>
        </w:rPr>
        <w:t>号）</w:t>
      </w:r>
      <w:r>
        <w:rPr>
          <w:rFonts w:hint="eastAsia" w:eastAsia="仿宋_GB2312"/>
          <w:szCs w:val="32"/>
          <w:lang w:val="en-US" w:eastAsia="zh-CN"/>
        </w:rPr>
        <w:t>等文件</w:t>
      </w:r>
      <w:r>
        <w:rPr>
          <w:rFonts w:hint="eastAsia" w:eastAsia="仿宋_GB2312"/>
          <w:szCs w:val="32"/>
        </w:rPr>
        <w:t>精神</w:t>
      </w:r>
      <w:r>
        <w:rPr>
          <w:rFonts w:eastAsia="仿宋_GB2312"/>
          <w:szCs w:val="32"/>
        </w:rPr>
        <w:t>，现将202</w:t>
      </w:r>
      <w:r>
        <w:rPr>
          <w:rFonts w:hint="eastAsia" w:eastAsia="仿宋_GB2312"/>
          <w:szCs w:val="32"/>
        </w:rPr>
        <w:t>3</w:t>
      </w:r>
      <w:r>
        <w:rPr>
          <w:rFonts w:eastAsia="仿宋_GB2312"/>
          <w:szCs w:val="32"/>
        </w:rPr>
        <w:t>年对外投资合作专项资金项目申报工作有关事项通知如下：</w:t>
      </w:r>
    </w:p>
    <w:p w14:paraId="121F9031">
      <w:pPr>
        <w:widowControl/>
        <w:spacing w:line="560" w:lineRule="exact"/>
        <w:ind w:firstLine="640" w:firstLineChars="200"/>
        <w:rPr>
          <w:rFonts w:eastAsia="黑体"/>
          <w:bCs/>
          <w:kern w:val="0"/>
          <w:szCs w:val="32"/>
        </w:rPr>
      </w:pPr>
      <w:r>
        <w:rPr>
          <w:rFonts w:eastAsia="黑体"/>
          <w:bCs/>
          <w:kern w:val="0"/>
          <w:szCs w:val="32"/>
        </w:rPr>
        <w:t>一、支持重点及内容</w:t>
      </w:r>
    </w:p>
    <w:p w14:paraId="3B7EA6D2">
      <w:pPr>
        <w:spacing w:line="560" w:lineRule="exact"/>
        <w:ind w:firstLine="645"/>
        <w:jc w:val="left"/>
        <w:rPr>
          <w:rFonts w:eastAsia="仿宋_GB2312"/>
          <w:szCs w:val="32"/>
        </w:rPr>
      </w:pPr>
      <w:r>
        <w:rPr>
          <w:rFonts w:hint="eastAsia" w:eastAsia="仿宋_GB2312"/>
          <w:szCs w:val="32"/>
        </w:rPr>
        <w:t>鼓励企业积极参与全球产业分工，拓展新能矿、绿色发展、数字经济、蓝色经济等领域对外投资合作，开展境外优质农产品、能源资源、原材料、先进装备、关键零部件和核心技术等领域投资并购，加强贸易投资融合，更好服务国内大循环。支持境外合作区加快提质升级。</w:t>
      </w:r>
    </w:p>
    <w:p w14:paraId="51611B5B">
      <w:pPr>
        <w:spacing w:line="560" w:lineRule="exact"/>
        <w:jc w:val="left"/>
        <w:rPr>
          <w:rFonts w:eastAsia="仿宋_GB2312"/>
          <w:szCs w:val="32"/>
        </w:rPr>
      </w:pPr>
      <w:r>
        <w:rPr>
          <w:rFonts w:hint="eastAsia" w:eastAsia="仿宋_GB2312"/>
          <w:szCs w:val="32"/>
          <w:lang w:val="en-US" w:eastAsia="zh-CN"/>
        </w:rPr>
        <w:t xml:space="preserve">    </w:t>
      </w:r>
      <w:r>
        <w:rPr>
          <w:rFonts w:hint="eastAsia" w:eastAsia="仿宋_GB2312"/>
          <w:szCs w:val="32"/>
        </w:rPr>
        <w:t>支持企业通过投建营综合发展一体化、多元化融资、三方或多方市场合作等方式，开展对外绿色基建、新型基建合作、推进清洁能源、交通运输、通讯设施、设计咨询等领域的投资合作，推进高质量共建“一带一路”和青岛与上合组织有关国家的投资合作，带动国内装备、技术、服务和标准嵌入国际循环。支持企业加强境外投资合作项目风险评估和风控能力建设。</w:t>
      </w:r>
    </w:p>
    <w:p w14:paraId="5F278A85">
      <w:pPr>
        <w:widowControl/>
        <w:spacing w:line="560" w:lineRule="exact"/>
        <w:ind w:firstLine="640" w:firstLineChars="200"/>
        <w:rPr>
          <w:rFonts w:eastAsia="黑体"/>
          <w:bCs/>
          <w:kern w:val="0"/>
          <w:szCs w:val="32"/>
        </w:rPr>
      </w:pPr>
      <w:r>
        <w:rPr>
          <w:rFonts w:eastAsia="黑体"/>
          <w:bCs/>
          <w:kern w:val="0"/>
          <w:szCs w:val="32"/>
        </w:rPr>
        <w:t>二、支持方式及标准</w:t>
      </w:r>
    </w:p>
    <w:p w14:paraId="1015DCF5">
      <w:pPr>
        <w:widowControl/>
        <w:spacing w:line="560" w:lineRule="exact"/>
        <w:ind w:firstLine="640" w:firstLineChars="200"/>
        <w:rPr>
          <w:rFonts w:eastAsia="仿宋_GB2312"/>
          <w:szCs w:val="32"/>
        </w:rPr>
      </w:pPr>
      <w:r>
        <w:rPr>
          <w:rFonts w:eastAsia="仿宋_GB2312"/>
          <w:szCs w:val="32"/>
        </w:rPr>
        <w:t>对企业从事上述对外投资合作业务给予直接补助和贷款贴息支持。</w:t>
      </w:r>
    </w:p>
    <w:p w14:paraId="7D4753C3">
      <w:pPr>
        <w:widowControl/>
        <w:spacing w:line="560" w:lineRule="exact"/>
        <w:ind w:firstLine="643" w:firstLineChars="200"/>
        <w:rPr>
          <w:rFonts w:eastAsia="仿宋_GB2312"/>
          <w:b/>
          <w:kern w:val="0"/>
          <w:szCs w:val="32"/>
        </w:rPr>
      </w:pPr>
      <w:r>
        <w:rPr>
          <w:rFonts w:eastAsia="仿宋_GB2312"/>
          <w:b/>
          <w:kern w:val="0"/>
          <w:szCs w:val="32"/>
        </w:rPr>
        <w:t>（一）直接补助</w:t>
      </w:r>
    </w:p>
    <w:p w14:paraId="759B3064">
      <w:pPr>
        <w:widowControl/>
        <w:spacing w:line="560" w:lineRule="exact"/>
        <w:ind w:firstLine="640" w:firstLineChars="200"/>
        <w:rPr>
          <w:rFonts w:eastAsia="仿宋_GB2312"/>
          <w:bCs/>
          <w:kern w:val="0"/>
          <w:szCs w:val="32"/>
        </w:rPr>
      </w:pPr>
      <w:r>
        <w:rPr>
          <w:rFonts w:eastAsia="仿宋_GB2312"/>
          <w:kern w:val="0"/>
          <w:szCs w:val="32"/>
        </w:rPr>
        <w:t>1. 前期费用</w:t>
      </w:r>
    </w:p>
    <w:p w14:paraId="7EADC642">
      <w:pPr>
        <w:widowControl/>
        <w:spacing w:line="560" w:lineRule="exact"/>
        <w:ind w:firstLine="640" w:firstLineChars="200"/>
        <w:rPr>
          <w:rFonts w:eastAsia="仿宋_GB2312"/>
          <w:kern w:val="0"/>
          <w:szCs w:val="32"/>
        </w:rPr>
      </w:pPr>
      <w:r>
        <w:rPr>
          <w:rFonts w:eastAsia="仿宋_GB2312"/>
          <w:kern w:val="0"/>
          <w:szCs w:val="32"/>
        </w:rPr>
        <w:t>前期费用是指我市企业在项目所在国注册（登记）、购买或租赁资源权证之前（不包括设立贸易公司、投融资平台公司)，或</w:t>
      </w:r>
      <w:r>
        <w:rPr>
          <w:rFonts w:eastAsia="仿宋_GB2312"/>
          <w:szCs w:val="32"/>
        </w:rPr>
        <w:t>对外承包工程签订合同（协议）之前，为获得项目而发生的相关费用</w:t>
      </w:r>
      <w:r>
        <w:rPr>
          <w:rFonts w:eastAsia="仿宋_GB2312"/>
          <w:kern w:val="0"/>
          <w:szCs w:val="32"/>
        </w:rPr>
        <w:t>。具体包括以下内容：</w:t>
      </w:r>
    </w:p>
    <w:p w14:paraId="31A2DE7A">
      <w:pPr>
        <w:widowControl/>
        <w:spacing w:line="560" w:lineRule="exact"/>
        <w:ind w:firstLine="640" w:firstLineChars="200"/>
        <w:rPr>
          <w:rFonts w:eastAsia="仿宋_GB2312"/>
          <w:kern w:val="0"/>
          <w:szCs w:val="32"/>
        </w:rPr>
      </w:pPr>
      <w:r>
        <w:rPr>
          <w:rFonts w:eastAsia="仿宋_GB2312"/>
          <w:kern w:val="0"/>
          <w:szCs w:val="32"/>
        </w:rPr>
        <w:t>（1）企业实施的境外投融资启动阶段可行性研究所发生的费用，包括尽职调查费用和合规风险评估费用。</w:t>
      </w:r>
    </w:p>
    <w:p w14:paraId="2F9159C6">
      <w:pPr>
        <w:widowControl/>
        <w:spacing w:line="560" w:lineRule="exact"/>
        <w:ind w:firstLine="640" w:firstLineChars="200"/>
        <w:rPr>
          <w:rFonts w:eastAsia="仿宋_GB2312"/>
          <w:kern w:val="0"/>
          <w:szCs w:val="32"/>
        </w:rPr>
      </w:pPr>
      <w:r>
        <w:rPr>
          <w:rFonts w:eastAsia="仿宋_GB2312"/>
          <w:kern w:val="0"/>
          <w:szCs w:val="32"/>
        </w:rPr>
        <w:t>（2）购买规范性文件和标书等资料费。</w:t>
      </w:r>
    </w:p>
    <w:p w14:paraId="5ABC1DC4">
      <w:pPr>
        <w:widowControl/>
        <w:spacing w:line="560" w:lineRule="exact"/>
        <w:ind w:firstLine="640" w:firstLineChars="200"/>
        <w:rPr>
          <w:rFonts w:eastAsia="仿宋_GB2312"/>
          <w:kern w:val="0"/>
          <w:szCs w:val="32"/>
        </w:rPr>
      </w:pPr>
      <w:r>
        <w:rPr>
          <w:rFonts w:eastAsia="仿宋_GB2312"/>
          <w:kern w:val="0"/>
          <w:szCs w:val="32"/>
        </w:rPr>
        <w:t>（3）规范性文件和标书等资料翻译费。</w:t>
      </w:r>
    </w:p>
    <w:p w14:paraId="18473144">
      <w:pPr>
        <w:widowControl/>
        <w:spacing w:line="560" w:lineRule="exact"/>
        <w:ind w:firstLine="640" w:firstLineChars="200"/>
        <w:rPr>
          <w:rFonts w:eastAsia="仿宋_GB2312"/>
          <w:kern w:val="0"/>
          <w:szCs w:val="32"/>
        </w:rPr>
      </w:pPr>
      <w:r>
        <w:rPr>
          <w:rFonts w:eastAsia="仿宋_GB2312"/>
          <w:kern w:val="0"/>
          <w:szCs w:val="32"/>
        </w:rPr>
        <w:t>支持标准：对企业发生并直接支付的前期费用给予不超过50%的补助（前期费用总额不超过项目中方投资额或合同额的10%）。同一企业获得最高支持金额不超过30万元。通过第三方市场合作、投建营一体化、多元化融资等方式实施的对外投资合作项目，同一企业获得最高支持金额不超过50万元。一个项目享受一次支持，增资项目和国内企业之间相互转让股权不予支持。</w:t>
      </w:r>
    </w:p>
    <w:p w14:paraId="1A30AB6A">
      <w:pPr>
        <w:widowControl/>
        <w:spacing w:line="560" w:lineRule="exact"/>
        <w:ind w:firstLine="640" w:firstLineChars="200"/>
        <w:rPr>
          <w:rFonts w:eastAsia="仿宋_GB2312"/>
          <w:kern w:val="0"/>
          <w:szCs w:val="32"/>
        </w:rPr>
      </w:pPr>
      <w:r>
        <w:rPr>
          <w:rFonts w:eastAsia="仿宋_GB2312"/>
          <w:kern w:val="0"/>
          <w:szCs w:val="32"/>
        </w:rPr>
        <w:t>2. 运保费补助</w:t>
      </w:r>
    </w:p>
    <w:p w14:paraId="739D2CB3">
      <w:pPr>
        <w:widowControl/>
        <w:spacing w:line="560" w:lineRule="exact"/>
        <w:ind w:firstLine="640" w:firstLineChars="200"/>
        <w:rPr>
          <w:rFonts w:eastAsia="仿宋_GB2312"/>
          <w:kern w:val="0"/>
          <w:szCs w:val="32"/>
        </w:rPr>
      </w:pPr>
      <w:r>
        <w:rPr>
          <w:rFonts w:eastAsia="仿宋_GB2312"/>
          <w:kern w:val="0"/>
          <w:szCs w:val="32"/>
        </w:rPr>
        <w:t>资源回运运保费补助。企业开展境外农、林、牧、矿业</w:t>
      </w:r>
      <w:r>
        <w:rPr>
          <w:rFonts w:hint="eastAsia" w:eastAsia="仿宋_GB2312"/>
          <w:kern w:val="0"/>
          <w:szCs w:val="32"/>
          <w:lang w:eastAsia="zh-CN"/>
        </w:rPr>
        <w:t>等</w:t>
      </w:r>
      <w:r>
        <w:rPr>
          <w:rFonts w:eastAsia="仿宋_GB2312"/>
          <w:kern w:val="0"/>
          <w:szCs w:val="32"/>
        </w:rPr>
        <w:t>投资合作，将其所获权益产量以内产品运回国内，对从境外口岸至国内口岸间的运保费，按照不超过企业实际支付费用的25%给予补助。同一企业获得最高支持金额不超过70万元。</w:t>
      </w:r>
    </w:p>
    <w:p w14:paraId="1C85B6E6">
      <w:pPr>
        <w:widowControl/>
        <w:spacing w:line="560" w:lineRule="exact"/>
        <w:ind w:firstLine="640" w:firstLineChars="200"/>
        <w:rPr>
          <w:rFonts w:eastAsia="仿宋_GB2312"/>
          <w:kern w:val="0"/>
          <w:szCs w:val="32"/>
        </w:rPr>
      </w:pPr>
      <w:r>
        <w:rPr>
          <w:rFonts w:eastAsia="仿宋_GB2312"/>
          <w:kern w:val="0"/>
          <w:szCs w:val="32"/>
        </w:rPr>
        <w:t>物资运出运保费补助。对企业从事境外投资和对外承包工程，用于投资国或地区的境外项目建设所需物资材料、自用物品及防疫物资（海关监管方式代码：境外投资2210，对外承包工程出口物资3422、退运货物4561、劳务人员自用的生活物资9900），对从境内口岸至境外口岸间的运保费，按照不超过企业实际支付费用的30%给予补助。同一企业获得最高支持金额不超过70万元。</w:t>
      </w:r>
    </w:p>
    <w:p w14:paraId="5E575EC9">
      <w:pPr>
        <w:spacing w:line="560" w:lineRule="exact"/>
        <w:ind w:firstLine="640" w:firstLineChars="200"/>
        <w:rPr>
          <w:rFonts w:eastAsia="仿宋_GB2312"/>
          <w:kern w:val="0"/>
          <w:szCs w:val="32"/>
        </w:rPr>
      </w:pPr>
      <w:r>
        <w:rPr>
          <w:rFonts w:eastAsia="仿宋_GB2312"/>
          <w:kern w:val="0"/>
          <w:szCs w:val="32"/>
        </w:rPr>
        <w:t>3. 重点项目投资建设</w:t>
      </w:r>
    </w:p>
    <w:p w14:paraId="6BE7E280">
      <w:pPr>
        <w:spacing w:line="560" w:lineRule="exact"/>
        <w:ind w:firstLine="640" w:firstLineChars="200"/>
        <w:rPr>
          <w:rFonts w:eastAsia="仿宋_GB2312"/>
          <w:kern w:val="0"/>
          <w:szCs w:val="32"/>
        </w:rPr>
      </w:pPr>
      <w:r>
        <w:rPr>
          <w:rFonts w:eastAsia="仿宋_GB2312"/>
          <w:kern w:val="0"/>
          <w:szCs w:val="32"/>
        </w:rPr>
        <w:t>我市企业</w:t>
      </w:r>
      <w:r>
        <w:rPr>
          <w:rFonts w:hint="eastAsia" w:eastAsia="仿宋_GB2312"/>
          <w:kern w:val="0"/>
          <w:szCs w:val="32"/>
          <w:lang w:val="en-US" w:eastAsia="zh-CN"/>
        </w:rPr>
        <w:t>积极参与全球产业分工，</w:t>
      </w:r>
      <w:r>
        <w:rPr>
          <w:rFonts w:eastAsia="仿宋_GB2312"/>
          <w:kern w:val="0"/>
          <w:szCs w:val="32"/>
        </w:rPr>
        <w:t>投资并购</w:t>
      </w:r>
      <w:r>
        <w:rPr>
          <w:rFonts w:hint="eastAsia" w:eastAsia="仿宋_GB2312"/>
          <w:szCs w:val="32"/>
        </w:rPr>
        <w:t>境外优质农产品、能源资源、原材料、先进装备、关键零部件和核心技术</w:t>
      </w:r>
      <w:r>
        <w:rPr>
          <w:rFonts w:eastAsia="仿宋_GB2312"/>
          <w:kern w:val="0"/>
          <w:szCs w:val="32"/>
        </w:rPr>
        <w:t>（不包括设立贸易公司、投融资平台公司）,给予企业不超过其首期实际投资额5%的费用补助，同一企业最高不超过50万元。对“一带一路”沿线国家及上合组织</w:t>
      </w:r>
      <w:r>
        <w:rPr>
          <w:rFonts w:hint="eastAsia" w:eastAsia="仿宋_GB2312"/>
          <w:kern w:val="0"/>
          <w:szCs w:val="32"/>
          <w:lang w:val="en-US" w:eastAsia="zh-CN"/>
        </w:rPr>
        <w:t>成员国</w:t>
      </w:r>
      <w:r>
        <w:rPr>
          <w:rFonts w:eastAsia="仿宋_GB2312"/>
          <w:kern w:val="0"/>
          <w:szCs w:val="32"/>
        </w:rPr>
        <w:t>投资项目,给予企业不超过其首期实际投资额10%的费用补助，同一企业最高不超过70万元。</w:t>
      </w:r>
    </w:p>
    <w:p w14:paraId="58CBF189">
      <w:pPr>
        <w:spacing w:line="560" w:lineRule="exact"/>
        <w:ind w:firstLine="640" w:firstLineChars="200"/>
        <w:rPr>
          <w:rFonts w:hint="eastAsia" w:eastAsia="仿宋_GB2312"/>
          <w:kern w:val="0"/>
          <w:szCs w:val="32"/>
          <w:lang w:val="en-US" w:eastAsia="zh-CN"/>
        </w:rPr>
      </w:pPr>
      <w:r>
        <w:rPr>
          <w:rFonts w:hint="eastAsia" w:eastAsia="仿宋_GB2312"/>
          <w:kern w:val="0"/>
          <w:szCs w:val="32"/>
          <w:lang w:val="en-US" w:eastAsia="zh-CN"/>
        </w:rPr>
        <w:t>支持企业开展国际化经营，经我市商务主管部门推荐上报省商务厅，并获省认定的山东省本土跨国公司，每个企业给予</w:t>
      </w:r>
      <w:r>
        <w:rPr>
          <w:rFonts w:eastAsia="仿宋_GB2312"/>
          <w:kern w:val="0"/>
          <w:szCs w:val="32"/>
        </w:rPr>
        <w:t>不超过100万元的奖励</w:t>
      </w:r>
      <w:r>
        <w:rPr>
          <w:rFonts w:hint="eastAsia" w:eastAsia="仿宋_GB2312"/>
          <w:kern w:val="0"/>
          <w:szCs w:val="32"/>
          <w:lang w:eastAsia="zh-CN"/>
        </w:rPr>
        <w:t>。</w:t>
      </w:r>
    </w:p>
    <w:p w14:paraId="44980D35">
      <w:pPr>
        <w:widowControl/>
        <w:spacing w:line="560" w:lineRule="exact"/>
        <w:ind w:firstLine="640" w:firstLineChars="200"/>
        <w:rPr>
          <w:rFonts w:eastAsia="仿宋_GB2312"/>
          <w:kern w:val="0"/>
          <w:szCs w:val="32"/>
        </w:rPr>
      </w:pPr>
      <w:r>
        <w:rPr>
          <w:rFonts w:eastAsia="仿宋_GB2312"/>
          <w:kern w:val="0"/>
          <w:szCs w:val="32"/>
        </w:rPr>
        <w:t>4. 境外经贸合作区建设</w:t>
      </w:r>
    </w:p>
    <w:p w14:paraId="6337E7FF">
      <w:pPr>
        <w:pStyle w:val="17"/>
        <w:adjustRightInd w:val="0"/>
        <w:snapToGrid w:val="0"/>
        <w:spacing w:line="560" w:lineRule="exact"/>
        <w:ind w:firstLine="510" w:firstLineChars="0"/>
        <w:rPr>
          <w:rFonts w:eastAsia="仿宋_GB2312"/>
          <w:b/>
          <w:bCs/>
          <w:szCs w:val="32"/>
        </w:rPr>
      </w:pPr>
      <w:r>
        <w:rPr>
          <w:rFonts w:eastAsia="仿宋_GB2312"/>
          <w:kern w:val="0"/>
          <w:szCs w:val="32"/>
        </w:rPr>
        <w:t xml:space="preserve"> 我市企业在境外设立经贸合作园区，符合当年商务部或山东省商务厅有关境外经贸合作园区申报标准，经我市商务主管部门推荐上报商务部或省商务厅，并获部或省确认的，每个园区给予不超过100万元的奖励。</w:t>
      </w:r>
      <w:r>
        <w:rPr>
          <w:rFonts w:hint="eastAsia" w:eastAsia="仿宋_GB2312"/>
          <w:kern w:val="0"/>
          <w:szCs w:val="32"/>
          <w:lang w:val="en-US" w:eastAsia="zh-CN"/>
        </w:rPr>
        <w:t>支持企业开展</w:t>
      </w:r>
      <w:r>
        <w:rPr>
          <w:rFonts w:eastAsia="仿宋_GB2312"/>
          <w:szCs w:val="32"/>
        </w:rPr>
        <w:t>支持在境外合作区内合作建设发展跨境电商产业园区或公共海外仓，对合作建设并获省商务厅确认的跨境电商产业园区或公共海外仓，且境外合作区提供仓储面积1000平方米以上的，给予不超过20万元人民币补助。</w:t>
      </w:r>
    </w:p>
    <w:p w14:paraId="2378A6F7">
      <w:pPr>
        <w:spacing w:line="560" w:lineRule="exact"/>
        <w:ind w:firstLine="645"/>
        <w:rPr>
          <w:rFonts w:eastAsia="仿宋_GB2312"/>
          <w:szCs w:val="32"/>
        </w:rPr>
      </w:pPr>
      <w:r>
        <w:rPr>
          <w:rFonts w:eastAsia="仿宋_GB2312"/>
          <w:szCs w:val="32"/>
        </w:rPr>
        <w:t>5. 对外承包工程新建项目</w:t>
      </w:r>
    </w:p>
    <w:p w14:paraId="792CD883">
      <w:pPr>
        <w:spacing w:line="560" w:lineRule="exact"/>
        <w:ind w:firstLine="645"/>
        <w:rPr>
          <w:rFonts w:eastAsia="仿宋_GB2312"/>
          <w:szCs w:val="32"/>
        </w:rPr>
      </w:pPr>
      <w:r>
        <w:rPr>
          <w:rFonts w:eastAsia="仿宋_GB2312"/>
          <w:szCs w:val="32"/>
        </w:rPr>
        <w:t>（1）总承包项目。对新签订合同且已开工的对外承包工程总包项目给予补助：新签项目合同额5000万美元（含5000万美元）以上的，给予每个项目不超过20万元补助，同一企业补助总额不超过40万元；5000万美元以下的，给予每个项目不超过10万元补助，同一企业补助总额不超过40万元。</w:t>
      </w:r>
    </w:p>
    <w:p w14:paraId="0859C1BD">
      <w:pPr>
        <w:spacing w:line="560" w:lineRule="exact"/>
        <w:ind w:firstLine="645"/>
        <w:rPr>
          <w:rFonts w:eastAsia="仿宋_GB2312"/>
          <w:szCs w:val="32"/>
        </w:rPr>
      </w:pPr>
      <w:r>
        <w:rPr>
          <w:rFonts w:eastAsia="仿宋_GB2312"/>
          <w:szCs w:val="32"/>
        </w:rPr>
        <w:t>（2）分包项目。根据完成对外承包工程营业额给予补助：营业额当年累计完成5000万美元（含5000万美元）以上的企业，给予企业不超过40万元补助；当年累计完成1000万美元（含1000万美元）以上、5000万美元以下的，给予企业不超过20万元补助；当年累计完成1000万美元以下且项目在“一带一路”沿线国家及上合组织有关国家、设计咨询项目，给予企业10万元补助。同一工程项目不得同时申请总承包项目补贴与分包项目补贴。</w:t>
      </w:r>
    </w:p>
    <w:p w14:paraId="2A2372B7">
      <w:pPr>
        <w:spacing w:line="560" w:lineRule="exact"/>
        <w:ind w:firstLine="645"/>
        <w:rPr>
          <w:rFonts w:eastAsia="仿宋_GB2312"/>
          <w:szCs w:val="32"/>
        </w:rPr>
      </w:pPr>
      <w:r>
        <w:rPr>
          <w:rFonts w:eastAsia="仿宋_GB2312"/>
          <w:szCs w:val="32"/>
        </w:rPr>
        <w:t>6. 对外劳务合作助力乡村振兴项目</w:t>
      </w:r>
    </w:p>
    <w:p w14:paraId="3A1712F0">
      <w:pPr>
        <w:spacing w:line="560" w:lineRule="exact"/>
        <w:ind w:firstLine="640" w:firstLineChars="200"/>
        <w:rPr>
          <w:rFonts w:eastAsia="仿宋_GB2312"/>
          <w:szCs w:val="32"/>
        </w:rPr>
      </w:pPr>
      <w:r>
        <w:rPr>
          <w:rFonts w:eastAsia="仿宋_GB2312"/>
          <w:szCs w:val="32"/>
        </w:rPr>
        <w:t>对202</w:t>
      </w:r>
      <w:r>
        <w:rPr>
          <w:rFonts w:hint="eastAsia" w:eastAsia="仿宋_GB2312"/>
          <w:szCs w:val="32"/>
        </w:rPr>
        <w:t>2</w:t>
      </w:r>
      <w:r>
        <w:rPr>
          <w:rFonts w:eastAsia="仿宋_GB2312"/>
          <w:szCs w:val="32"/>
        </w:rPr>
        <w:t>年派出来自国家级脱贫县劳务人员，给予每人2000元培训补助。对来自我市东西部协作对口帮扶地区甘肃陇南市、定西市，给予每人4000元培训费补贴。对外劳务合作企业、对外承包工程企业已培训且申报期派出人员规模在10人以上，非国家级脱贫县给予每人1000元培训补助。</w:t>
      </w:r>
    </w:p>
    <w:p w14:paraId="22036AD0">
      <w:pPr>
        <w:spacing w:line="560" w:lineRule="exact"/>
        <w:ind w:firstLine="645"/>
        <w:rPr>
          <w:rFonts w:eastAsia="仿宋_GB2312"/>
          <w:szCs w:val="32"/>
        </w:rPr>
      </w:pPr>
      <w:r>
        <w:rPr>
          <w:rFonts w:eastAsia="仿宋_GB2312"/>
          <w:szCs w:val="32"/>
        </w:rPr>
        <w:t>7．走出去人员人身意外伤害保险</w:t>
      </w:r>
    </w:p>
    <w:p w14:paraId="44262FE9">
      <w:pPr>
        <w:spacing w:line="560" w:lineRule="exact"/>
        <w:ind w:firstLine="645"/>
        <w:rPr>
          <w:rFonts w:eastAsia="仿宋_GB2312"/>
          <w:szCs w:val="32"/>
        </w:rPr>
      </w:pPr>
      <w:r>
        <w:rPr>
          <w:rFonts w:eastAsia="仿宋_GB2312"/>
          <w:szCs w:val="32"/>
        </w:rPr>
        <w:t>对在境外开展对外投资合作业务的企业为其在外工作的中方常驻人员及外派劳务人员，向保险机构投保的人身意外伤害保险费用给予补助：申报期投保金额100万元/人（含100万元/人）以上人身意外伤害险的企业，按不超过实际保险费支出80%给予补助，每人补助不超过1500元；投保80万元/人（含80万元/人）以上，100万元/人以下人身意外伤害险的企业，按不超过70%给予补助，每人补助不超过1200元；投保50万元/人（含50万元/人）以上，80万元/人以下人身意外伤害保险的企业，按不超过60%给予补助，每人补助不超过1000元；投保50万元/人以下人身意外伤害险的企业，按不超过50%给予补助，每人补助不超过800元。</w:t>
      </w:r>
    </w:p>
    <w:p w14:paraId="450172E7">
      <w:pPr>
        <w:spacing w:line="560" w:lineRule="exact"/>
        <w:ind w:firstLine="645"/>
        <w:rPr>
          <w:rFonts w:eastAsia="仿宋_GB2312"/>
          <w:szCs w:val="32"/>
        </w:rPr>
      </w:pPr>
      <w:r>
        <w:rPr>
          <w:rFonts w:eastAsia="仿宋_GB2312"/>
          <w:szCs w:val="32"/>
        </w:rPr>
        <w:t>8. 海外项目保费及承包工程保函手续费</w:t>
      </w:r>
    </w:p>
    <w:p w14:paraId="19F3018E">
      <w:pPr>
        <w:spacing w:line="560" w:lineRule="exact"/>
        <w:ind w:firstLine="645"/>
        <w:rPr>
          <w:rFonts w:eastAsia="仿宋_GB2312"/>
          <w:szCs w:val="32"/>
        </w:rPr>
      </w:pPr>
      <w:r>
        <w:rPr>
          <w:rFonts w:eastAsia="仿宋_GB2312"/>
          <w:szCs w:val="32"/>
        </w:rPr>
        <w:t>对我市企业向境内保险机构或其在境外的分支机构投保的海外投资保险费、对外承包工程项目保险费、对外承包工程保函手续费（投标保函、履约保函和预付款保函），给予企业不超过实际保费支出、保函手续费支出的50%补助，同一企业补助总额不超过60万元。</w:t>
      </w:r>
    </w:p>
    <w:p w14:paraId="32C27324">
      <w:pPr>
        <w:pStyle w:val="16"/>
        <w:autoSpaceDN w:val="0"/>
        <w:spacing w:line="560" w:lineRule="exact"/>
        <w:ind w:firstLine="640" w:firstLineChars="200"/>
        <w:rPr>
          <w:rFonts w:hint="default"/>
          <w:szCs w:val="32"/>
        </w:rPr>
      </w:pPr>
      <w:r>
        <w:rPr>
          <w:rFonts w:hint="default"/>
          <w:szCs w:val="32"/>
        </w:rPr>
        <w:t>对青岛市“走出去”风险保障平台项下企业的投保保费予以重点扶持。其中，对202</w:t>
      </w:r>
      <w:r>
        <w:rPr>
          <w:szCs w:val="32"/>
        </w:rPr>
        <w:t>2</w:t>
      </w:r>
      <w:r>
        <w:rPr>
          <w:rFonts w:hint="default"/>
          <w:szCs w:val="32"/>
        </w:rPr>
        <w:t>年我市企业在中国信保山东分公司投保的海外投资保险费和对外承包工程保险费，给予企业不超过实际保费支出70%的补助，同一企业最高不超过80万元。同一企业在青岛市“走出去”风险保障平台项下申请保费补助的，不得在平台以外申请其它保费补助。</w:t>
      </w:r>
    </w:p>
    <w:p w14:paraId="7FB1BD92">
      <w:pPr>
        <w:spacing w:line="560" w:lineRule="exact"/>
        <w:ind w:firstLine="645"/>
        <w:rPr>
          <w:rFonts w:eastAsia="仿宋_GB2312"/>
          <w:szCs w:val="32"/>
        </w:rPr>
      </w:pPr>
      <w:r>
        <w:rPr>
          <w:rFonts w:eastAsia="仿宋_GB2312"/>
          <w:szCs w:val="32"/>
        </w:rPr>
        <w:t>9．境外突发事件处置费用</w:t>
      </w:r>
    </w:p>
    <w:p w14:paraId="21542989">
      <w:pPr>
        <w:spacing w:line="560" w:lineRule="exact"/>
        <w:ind w:firstLine="640" w:firstLineChars="200"/>
        <w:rPr>
          <w:rFonts w:eastAsia="仿宋_GB2312"/>
          <w:szCs w:val="32"/>
        </w:rPr>
      </w:pPr>
      <w:r>
        <w:rPr>
          <w:rFonts w:eastAsia="仿宋_GB2312"/>
          <w:szCs w:val="32"/>
        </w:rPr>
        <w:t>境外突发事件指从事对外投资合作业务的企业派出的人员因恐怖、战争、自然灾害等不可抗力因素造成的人身安全受到威胁，发生伤亡等紧急事件。相关处置费用包括本企业赴境外处理突发事件工作人员的国际旅费和国家标准内的在外住宿费，按不超过实际发生费用进行定额补贴：港澳台地区每人补助不超过4000元，东南亚地区每人补助不超过7000元，其它地区每人补助不超过1万元。同一企业补助总额不超过20万元。</w:t>
      </w:r>
    </w:p>
    <w:p w14:paraId="337DCF8C">
      <w:pPr>
        <w:spacing w:line="560" w:lineRule="exact"/>
        <w:ind w:firstLine="645"/>
        <w:rPr>
          <w:rFonts w:eastAsia="仿宋_GB2312"/>
          <w:szCs w:val="32"/>
        </w:rPr>
      </w:pPr>
      <w:r>
        <w:rPr>
          <w:rFonts w:eastAsia="仿宋_GB2312"/>
          <w:szCs w:val="32"/>
        </w:rPr>
        <w:t>对企业为保障境外项目和人员安全，雇佣或聘请具有资质的境外中资安保公司或机构提供安保服务所产生的费用，给予企业不超过实际支出的50%补助，同一企业补助总额不超过20万元。</w:t>
      </w:r>
    </w:p>
    <w:p w14:paraId="689AE050">
      <w:pPr>
        <w:spacing w:line="560" w:lineRule="exact"/>
        <w:ind w:firstLine="640" w:firstLineChars="200"/>
        <w:rPr>
          <w:rFonts w:eastAsia="仿宋_GB2312"/>
          <w:szCs w:val="32"/>
        </w:rPr>
      </w:pPr>
      <w:r>
        <w:rPr>
          <w:rFonts w:eastAsia="仿宋_GB2312"/>
          <w:szCs w:val="32"/>
        </w:rPr>
        <w:t>10. 境外联络服务平台建设</w:t>
      </w:r>
    </w:p>
    <w:p w14:paraId="061279FA">
      <w:pPr>
        <w:spacing w:line="560" w:lineRule="exact"/>
        <w:ind w:firstLine="640" w:firstLineChars="200"/>
        <w:rPr>
          <w:rFonts w:eastAsia="仿宋_GB2312"/>
          <w:szCs w:val="32"/>
        </w:rPr>
      </w:pPr>
      <w:r>
        <w:rPr>
          <w:rFonts w:eastAsia="仿宋_GB2312"/>
          <w:szCs w:val="32"/>
        </w:rPr>
        <w:t>对按照商务部规定的建设要求，在202</w:t>
      </w:r>
      <w:r>
        <w:rPr>
          <w:rFonts w:hint="eastAsia" w:eastAsia="仿宋_GB2312"/>
          <w:szCs w:val="32"/>
        </w:rPr>
        <w:t>3</w:t>
      </w:r>
      <w:r>
        <w:rPr>
          <w:rFonts w:eastAsia="仿宋_GB2312"/>
          <w:szCs w:val="32"/>
        </w:rPr>
        <w:t>年本专项资金申报前完成“境外企业和对外投资联络服务平台”分平台建设的企业，一次性给予建设费用60%的补助。同一企业获得支持金额不超过30万元。已给予平台建设补助的不得重复申报。</w:t>
      </w:r>
    </w:p>
    <w:p w14:paraId="52026250">
      <w:pPr>
        <w:spacing w:line="560" w:lineRule="exact"/>
        <w:ind w:firstLine="640" w:firstLineChars="200"/>
        <w:rPr>
          <w:rFonts w:eastAsia="仿宋_GB2312"/>
          <w:szCs w:val="32"/>
        </w:rPr>
      </w:pPr>
      <w:r>
        <w:rPr>
          <w:rFonts w:eastAsia="仿宋_GB2312"/>
          <w:szCs w:val="32"/>
        </w:rPr>
        <w:t>11. 对外投资合作企业市场开拓活动</w:t>
      </w:r>
    </w:p>
    <w:p w14:paraId="367AB314">
      <w:pPr>
        <w:spacing w:line="560" w:lineRule="exact"/>
        <w:ind w:firstLine="640" w:firstLineChars="200"/>
        <w:rPr>
          <w:rFonts w:eastAsia="仿宋_GB2312"/>
          <w:szCs w:val="32"/>
        </w:rPr>
      </w:pPr>
      <w:r>
        <w:rPr>
          <w:rFonts w:eastAsia="仿宋_GB2312"/>
          <w:szCs w:val="32"/>
        </w:rPr>
        <w:t>对企业参加商务部、省和市商务主管部门组织的开拓对外投资合作市场活动以及各区市组织企业到“一带一路”国家地区开展对外投资合作活动，经青岛市商务局同意确认的，给予补助。对赴境外考察人员往返机票费和国家标准内的在外住宿费等，按不超过实际发生费用进行定额补贴：港澳台每人补助不超过4000元，东南亚地区每人补助不超过7000元，其它地区每人补助不超过1万元。每个企业参加同一境外市场考察活动，补助不超过2人。</w:t>
      </w:r>
    </w:p>
    <w:p w14:paraId="2CB7C670">
      <w:pPr>
        <w:spacing w:line="560" w:lineRule="exact"/>
        <w:ind w:firstLine="643" w:firstLineChars="200"/>
        <w:rPr>
          <w:rFonts w:eastAsia="仿宋_GB2312"/>
          <w:b/>
          <w:kern w:val="0"/>
          <w:szCs w:val="32"/>
        </w:rPr>
      </w:pPr>
      <w:r>
        <w:rPr>
          <w:rFonts w:eastAsia="仿宋_GB2312"/>
          <w:b/>
          <w:kern w:val="0"/>
          <w:szCs w:val="32"/>
        </w:rPr>
        <w:t>（二）融资补助</w:t>
      </w:r>
    </w:p>
    <w:p w14:paraId="55BA7D43">
      <w:pPr>
        <w:spacing w:line="560" w:lineRule="exact"/>
        <w:ind w:firstLine="640" w:firstLineChars="200"/>
        <w:rPr>
          <w:rFonts w:eastAsia="仿宋_GB2312"/>
          <w:szCs w:val="32"/>
        </w:rPr>
      </w:pPr>
      <w:r>
        <w:rPr>
          <w:rFonts w:eastAsia="仿宋_GB2312"/>
          <w:kern w:val="0"/>
          <w:szCs w:val="32"/>
        </w:rPr>
        <w:t>对我市企业从事境外生产性项目投资，境外农、林、渔、矿业合作，</w:t>
      </w:r>
      <w:r>
        <w:rPr>
          <w:rFonts w:eastAsia="仿宋_GB2312"/>
          <w:szCs w:val="32"/>
        </w:rPr>
        <w:t>对外承包工程，</w:t>
      </w:r>
      <w:r>
        <w:rPr>
          <w:rFonts w:eastAsia="仿宋_GB2312"/>
          <w:kern w:val="0"/>
          <w:szCs w:val="32"/>
        </w:rPr>
        <w:t>用于项目经营一年以上（含一年）的贷款或融资租赁给予贴息补助。贷款可从境内银行取得，也可由我市企业在境外设立的控股企业从我国银行在境外的分支机构取得；</w:t>
      </w:r>
      <w:r>
        <w:rPr>
          <w:rFonts w:eastAsia="仿宋_GB2312"/>
          <w:szCs w:val="32"/>
        </w:rPr>
        <w:t>特许经营类对外承包工程项目的贷款可由境外项目公司从境内银行取得，也可从我国银行在境外的分支机构取得。贷款合同所列资金用途、实际资金流向应与企业申报项目一致。</w:t>
      </w:r>
      <w:r>
        <w:rPr>
          <w:rFonts w:eastAsia="仿宋_GB2312"/>
          <w:kern w:val="0"/>
          <w:szCs w:val="32"/>
        </w:rPr>
        <w:t>融资租赁贴息补助参照贷款贴息补助执行。</w:t>
      </w:r>
    </w:p>
    <w:p w14:paraId="700062F1">
      <w:pPr>
        <w:spacing w:line="560" w:lineRule="exact"/>
        <w:ind w:firstLine="640" w:firstLineChars="200"/>
        <w:rPr>
          <w:rFonts w:eastAsia="仿宋_GB2312"/>
          <w:color w:val="000000"/>
          <w:szCs w:val="32"/>
        </w:rPr>
      </w:pPr>
      <w:r>
        <w:rPr>
          <w:rFonts w:eastAsia="仿宋_GB2312"/>
          <w:kern w:val="0"/>
          <w:szCs w:val="32"/>
        </w:rPr>
        <w:t>人民币贷款贴息率不超过中国人民银行公布执行的申报期1年期贷款市场报价利率（LPR）年初与年末</w:t>
      </w:r>
      <w:r>
        <w:rPr>
          <w:rFonts w:eastAsia="仿宋_GB2312"/>
          <w:szCs w:val="32"/>
        </w:rPr>
        <w:t>平均值的50%（202</w:t>
      </w:r>
      <w:r>
        <w:rPr>
          <w:rFonts w:hint="eastAsia" w:eastAsia="仿宋_GB2312"/>
          <w:szCs w:val="32"/>
        </w:rPr>
        <w:t>2</w:t>
      </w:r>
      <w:r>
        <w:rPr>
          <w:rFonts w:eastAsia="仿宋_GB2312"/>
          <w:szCs w:val="32"/>
        </w:rPr>
        <w:t>年贷款贴息</w:t>
      </w:r>
      <w:r>
        <w:rPr>
          <w:rFonts w:eastAsia="仿宋_GB2312"/>
          <w:kern w:val="0"/>
          <w:szCs w:val="32"/>
        </w:rPr>
        <w:t>率为1.</w:t>
      </w:r>
      <w:r>
        <w:rPr>
          <w:rFonts w:hint="eastAsia" w:eastAsia="仿宋_GB2312"/>
          <w:kern w:val="0"/>
          <w:szCs w:val="32"/>
        </w:rPr>
        <w:t>8375</w:t>
      </w:r>
      <w:r>
        <w:rPr>
          <w:rFonts w:eastAsia="仿宋_GB2312"/>
          <w:kern w:val="0"/>
          <w:szCs w:val="32"/>
        </w:rPr>
        <w:t>%），</w:t>
      </w:r>
      <w:r>
        <w:rPr>
          <w:rFonts w:eastAsia="仿宋_GB2312"/>
          <w:szCs w:val="32"/>
        </w:rPr>
        <w:t>实际利率低于平均利率的，不超过实际</w:t>
      </w:r>
      <w:r>
        <w:rPr>
          <w:rFonts w:eastAsia="仿宋_GB2312"/>
          <w:kern w:val="0"/>
          <w:szCs w:val="32"/>
        </w:rPr>
        <w:t xml:space="preserve">利率的50%；外币贷款年贴息率不超过1.5%，实际利率低于1.5%的，不超过实际利率。 </w:t>
      </w:r>
    </w:p>
    <w:p w14:paraId="23EE46F3">
      <w:pPr>
        <w:spacing w:line="560" w:lineRule="exact"/>
        <w:ind w:firstLine="640" w:firstLineChars="200"/>
        <w:rPr>
          <w:rFonts w:eastAsia="仿宋_GB2312"/>
          <w:color w:val="FF0000"/>
          <w:kern w:val="0"/>
          <w:szCs w:val="32"/>
        </w:rPr>
      </w:pPr>
      <w:r>
        <w:rPr>
          <w:rFonts w:eastAsia="仿宋_GB2312"/>
          <w:kern w:val="0"/>
          <w:szCs w:val="32"/>
        </w:rPr>
        <w:t>贷款贴息与项目投资建设费补助不得重复申报，享受贷款贴息支持累计不超过3年（农、林、渔、矿业项目不超过5年）。其中第一个年度按应贴息额100%计算贴息补助，以后逐年递减20%。当年贴息补助，同一企业支持金额最高不超过400万元。</w:t>
      </w:r>
    </w:p>
    <w:p w14:paraId="074CC02C">
      <w:pPr>
        <w:spacing w:line="560" w:lineRule="exact"/>
        <w:ind w:firstLine="643" w:firstLineChars="200"/>
        <w:rPr>
          <w:rFonts w:eastAsia="仿宋_GB2312"/>
          <w:b/>
          <w:bCs/>
          <w:kern w:val="0"/>
          <w:szCs w:val="32"/>
        </w:rPr>
      </w:pPr>
      <w:r>
        <w:rPr>
          <w:rFonts w:eastAsia="仿宋_GB2312"/>
          <w:b/>
          <w:bCs/>
          <w:kern w:val="0"/>
          <w:szCs w:val="32"/>
        </w:rPr>
        <w:t>（三）支持限额</w:t>
      </w:r>
    </w:p>
    <w:p w14:paraId="684B93D1">
      <w:pPr>
        <w:spacing w:line="560" w:lineRule="exact"/>
        <w:ind w:firstLine="645"/>
        <w:rPr>
          <w:rFonts w:eastAsia="仿宋_GB2312"/>
          <w:color w:val="000000"/>
          <w:kern w:val="0"/>
          <w:szCs w:val="32"/>
        </w:rPr>
      </w:pPr>
      <w:r>
        <w:rPr>
          <w:rFonts w:eastAsia="仿宋_GB2312"/>
          <w:color w:val="000000"/>
          <w:kern w:val="0"/>
          <w:szCs w:val="32"/>
        </w:rPr>
        <w:t>为使专项资金更好地发挥作用，扶持更多的“走出去”企业，原则上同一企业当年获得的专项资金支持累计金额，不超过本年度</w:t>
      </w:r>
      <w:r>
        <w:rPr>
          <w:rFonts w:hint="eastAsia" w:eastAsia="仿宋_GB2312"/>
          <w:color w:val="000000"/>
          <w:kern w:val="0"/>
          <w:szCs w:val="32"/>
          <w:lang w:val="en-US" w:eastAsia="zh-CN"/>
        </w:rPr>
        <w:t>对外投资合作</w:t>
      </w:r>
      <w:r>
        <w:rPr>
          <w:rFonts w:eastAsia="仿宋_GB2312"/>
          <w:color w:val="000000"/>
          <w:kern w:val="0"/>
          <w:szCs w:val="32"/>
        </w:rPr>
        <w:t>专项资金总额的百分之二十。隶属于同一最终控制方的企业，均按同一企业核算。</w:t>
      </w:r>
    </w:p>
    <w:p w14:paraId="33B31303">
      <w:pPr>
        <w:spacing w:line="560" w:lineRule="exact"/>
        <w:ind w:firstLine="640" w:firstLineChars="200"/>
        <w:rPr>
          <w:rFonts w:eastAsia="黑体"/>
          <w:bCs/>
          <w:kern w:val="0"/>
          <w:szCs w:val="32"/>
        </w:rPr>
      </w:pPr>
      <w:r>
        <w:rPr>
          <w:rFonts w:eastAsia="黑体"/>
          <w:bCs/>
          <w:kern w:val="0"/>
          <w:szCs w:val="32"/>
        </w:rPr>
        <w:t>三、申报单位和项目应具备的条件</w:t>
      </w:r>
    </w:p>
    <w:p w14:paraId="1E4A07A6">
      <w:pPr>
        <w:spacing w:line="560" w:lineRule="exact"/>
        <w:ind w:firstLine="640" w:firstLineChars="200"/>
        <w:rPr>
          <w:rFonts w:eastAsia="仿宋_GB2312"/>
          <w:bCs/>
          <w:kern w:val="0"/>
          <w:szCs w:val="32"/>
        </w:rPr>
      </w:pPr>
      <w:r>
        <w:rPr>
          <w:rFonts w:eastAsia="仿宋_GB2312"/>
          <w:bCs/>
          <w:kern w:val="0"/>
          <w:szCs w:val="32"/>
        </w:rPr>
        <w:t>（一）申报企业必须具备以下条件：</w:t>
      </w:r>
    </w:p>
    <w:p w14:paraId="483007B7">
      <w:pPr>
        <w:spacing w:line="560" w:lineRule="exact"/>
        <w:ind w:firstLine="640" w:firstLineChars="200"/>
        <w:rPr>
          <w:rFonts w:eastAsia="仿宋_GB2312"/>
          <w:kern w:val="0"/>
          <w:szCs w:val="32"/>
        </w:rPr>
      </w:pPr>
      <w:r>
        <w:rPr>
          <w:rFonts w:eastAsia="仿宋_GB2312"/>
          <w:kern w:val="0"/>
          <w:szCs w:val="32"/>
        </w:rPr>
        <w:t>1．在我市依法登记注册并缴纳税收，具有独立企业法人资格；</w:t>
      </w:r>
    </w:p>
    <w:p w14:paraId="21B09D77">
      <w:pPr>
        <w:spacing w:line="560" w:lineRule="exact"/>
        <w:ind w:firstLine="640" w:firstLineChars="200"/>
        <w:rPr>
          <w:rFonts w:eastAsia="仿宋_GB2312"/>
          <w:kern w:val="0"/>
          <w:szCs w:val="32"/>
        </w:rPr>
      </w:pPr>
      <w:r>
        <w:rPr>
          <w:rFonts w:eastAsia="仿宋_GB2312"/>
          <w:kern w:val="0"/>
          <w:szCs w:val="32"/>
        </w:rPr>
        <w:t>2．已取得国家有关部门批准（备案或核准）开展对外投资合作业务资格的批准文件；</w:t>
      </w:r>
    </w:p>
    <w:p w14:paraId="1F840953">
      <w:pPr>
        <w:spacing w:line="560" w:lineRule="exact"/>
        <w:ind w:firstLine="640" w:firstLineChars="200"/>
        <w:rPr>
          <w:rFonts w:eastAsia="仿宋_GB2312"/>
          <w:kern w:val="0"/>
          <w:szCs w:val="32"/>
        </w:rPr>
      </w:pPr>
      <w:r>
        <w:rPr>
          <w:rFonts w:eastAsia="仿宋_GB2312"/>
          <w:kern w:val="0"/>
          <w:szCs w:val="32"/>
        </w:rPr>
        <w:t>3．企业当年度在青岛税务、海关、外汇管理等部门未被列入重大违法失信案件当事人名单；</w:t>
      </w:r>
    </w:p>
    <w:p w14:paraId="10A61941">
      <w:pPr>
        <w:spacing w:line="560" w:lineRule="exact"/>
        <w:ind w:firstLine="640" w:firstLineChars="200"/>
        <w:rPr>
          <w:rFonts w:eastAsia="仿宋_GB2312"/>
          <w:kern w:val="0"/>
          <w:szCs w:val="32"/>
        </w:rPr>
      </w:pPr>
      <w:r>
        <w:rPr>
          <w:rFonts w:hint="eastAsia" w:eastAsia="仿宋_GB2312"/>
          <w:kern w:val="0"/>
          <w:szCs w:val="32"/>
        </w:rPr>
        <w:t>4．企业</w:t>
      </w:r>
      <w:r>
        <w:rPr>
          <w:rFonts w:hint="eastAsia" w:eastAsia="仿宋_GB2312"/>
          <w:szCs w:val="32"/>
        </w:rPr>
        <w:t>节能排污指标符合国家和地方标准，符合绿色发展要求，截至项目申报日两年内不存在山东省财政厅等16部门印发的《关于深入推进财政涉企资金“绿色门槛”制度的实施意见》中(鲁财资环〔2022〕29号)</w:t>
      </w:r>
      <w:r>
        <w:rPr>
          <w:rFonts w:hint="eastAsia" w:eastAsia="仿宋_GB2312"/>
          <w:szCs w:val="32"/>
          <w:lang w:val="en-US" w:eastAsia="zh-CN"/>
        </w:rPr>
        <w:t>,</w:t>
      </w:r>
      <w:r>
        <w:rPr>
          <w:rFonts w:hint="eastAsia" w:eastAsia="仿宋_GB2312"/>
          <w:szCs w:val="32"/>
        </w:rPr>
        <w:t>财政资金不予支持的情形</w:t>
      </w:r>
      <w:r>
        <w:rPr>
          <w:rFonts w:hint="eastAsia" w:eastAsia="仿宋_GB2312"/>
          <w:szCs w:val="32"/>
          <w:lang w:val="en-US" w:eastAsia="zh-CN"/>
        </w:rPr>
        <w:t>;</w:t>
      </w:r>
    </w:p>
    <w:p w14:paraId="1C988A61">
      <w:pPr>
        <w:spacing w:line="560" w:lineRule="exact"/>
        <w:ind w:firstLine="640" w:firstLineChars="200"/>
        <w:rPr>
          <w:rFonts w:eastAsia="仿宋_GB2312"/>
          <w:kern w:val="0"/>
          <w:szCs w:val="32"/>
        </w:rPr>
      </w:pPr>
      <w:r>
        <w:rPr>
          <w:rFonts w:hint="eastAsia" w:eastAsia="仿宋_GB2312"/>
          <w:kern w:val="0"/>
          <w:szCs w:val="32"/>
        </w:rPr>
        <w:t>5</w:t>
      </w:r>
      <w:r>
        <w:rPr>
          <w:rFonts w:eastAsia="仿宋_GB2312"/>
          <w:kern w:val="0"/>
          <w:szCs w:val="32"/>
        </w:rPr>
        <w:t>．按规定报送统计月报、年报和项目进展情况</w:t>
      </w:r>
      <w:r>
        <w:rPr>
          <w:rFonts w:hint="eastAsia" w:eastAsia="仿宋_GB2312"/>
          <w:kern w:val="0"/>
          <w:szCs w:val="32"/>
          <w:lang w:val="en-US" w:eastAsia="zh-CN"/>
        </w:rPr>
        <w:t>;</w:t>
      </w:r>
    </w:p>
    <w:p w14:paraId="675D04A1">
      <w:pPr>
        <w:spacing w:line="560" w:lineRule="exact"/>
        <w:ind w:firstLine="640" w:firstLineChars="200"/>
        <w:rPr>
          <w:rFonts w:eastAsia="仿宋_GB2312"/>
          <w:kern w:val="0"/>
          <w:szCs w:val="32"/>
        </w:rPr>
      </w:pPr>
      <w:r>
        <w:rPr>
          <w:rFonts w:hint="eastAsia" w:eastAsia="仿宋_GB2312"/>
          <w:kern w:val="0"/>
          <w:szCs w:val="32"/>
        </w:rPr>
        <w:t>6</w:t>
      </w:r>
      <w:r>
        <w:rPr>
          <w:rFonts w:eastAsia="仿宋_GB2312"/>
          <w:kern w:val="0"/>
          <w:szCs w:val="32"/>
        </w:rPr>
        <w:t>．企业未妥善处置纠纷的，申报的项目不予资助。</w:t>
      </w:r>
    </w:p>
    <w:p w14:paraId="0DF7587C">
      <w:pPr>
        <w:spacing w:line="560" w:lineRule="exact"/>
        <w:ind w:firstLine="640" w:firstLineChars="200"/>
        <w:rPr>
          <w:rFonts w:eastAsia="仿宋_GB2312"/>
          <w:bCs/>
          <w:kern w:val="0"/>
          <w:szCs w:val="32"/>
        </w:rPr>
      </w:pPr>
      <w:r>
        <w:rPr>
          <w:rFonts w:eastAsia="仿宋_GB2312"/>
          <w:bCs/>
          <w:kern w:val="0"/>
          <w:szCs w:val="32"/>
        </w:rPr>
        <w:t>（二）申报的项目必须具备以下条件：</w:t>
      </w:r>
    </w:p>
    <w:p w14:paraId="15222CC7">
      <w:pPr>
        <w:spacing w:line="560" w:lineRule="exact"/>
        <w:ind w:firstLine="640" w:firstLineChars="200"/>
        <w:rPr>
          <w:rFonts w:eastAsia="仿宋_GB2312"/>
          <w:kern w:val="0"/>
          <w:szCs w:val="32"/>
        </w:rPr>
      </w:pPr>
      <w:r>
        <w:rPr>
          <w:rFonts w:eastAsia="仿宋_GB2312"/>
          <w:kern w:val="0"/>
          <w:szCs w:val="32"/>
        </w:rPr>
        <w:t>1．经政府有关部门批准、登记或备案；</w:t>
      </w:r>
    </w:p>
    <w:p w14:paraId="4420DCF1">
      <w:pPr>
        <w:spacing w:line="560" w:lineRule="exact"/>
        <w:ind w:firstLine="640" w:firstLineChars="200"/>
        <w:rPr>
          <w:rFonts w:eastAsia="仿宋_GB2312"/>
          <w:kern w:val="0"/>
          <w:szCs w:val="32"/>
        </w:rPr>
      </w:pPr>
      <w:r>
        <w:rPr>
          <w:rFonts w:eastAsia="仿宋_GB2312"/>
          <w:kern w:val="0"/>
          <w:szCs w:val="32"/>
        </w:rPr>
        <w:t>2．在项目所在国依法注册、登记或备案，项目依法生效，并已开展相关业务。</w:t>
      </w:r>
    </w:p>
    <w:p w14:paraId="36563003">
      <w:pPr>
        <w:spacing w:line="560" w:lineRule="exact"/>
        <w:ind w:firstLine="640" w:firstLineChars="200"/>
        <w:rPr>
          <w:rFonts w:eastAsia="仿宋_GB2312"/>
          <w:kern w:val="0"/>
          <w:szCs w:val="32"/>
        </w:rPr>
      </w:pPr>
      <w:r>
        <w:rPr>
          <w:rFonts w:eastAsia="仿宋_GB2312"/>
          <w:kern w:val="0"/>
          <w:szCs w:val="32"/>
        </w:rPr>
        <w:t>3．申报项目金额标准：</w:t>
      </w:r>
    </w:p>
    <w:p w14:paraId="0B1E7235">
      <w:pPr>
        <w:widowControl/>
        <w:spacing w:line="560" w:lineRule="exact"/>
        <w:ind w:firstLine="640" w:firstLineChars="200"/>
        <w:rPr>
          <w:rFonts w:eastAsia="仿宋_GB2312"/>
          <w:kern w:val="0"/>
          <w:szCs w:val="32"/>
        </w:rPr>
      </w:pPr>
      <w:r>
        <w:rPr>
          <w:rFonts w:eastAsia="仿宋_GB2312"/>
          <w:kern w:val="0"/>
          <w:szCs w:val="32"/>
        </w:rPr>
        <w:t>（1）境外农业合作，研发中心，</w:t>
      </w:r>
      <w:r>
        <w:rPr>
          <w:rFonts w:eastAsia="仿宋_GB2312"/>
          <w:szCs w:val="32"/>
        </w:rPr>
        <w:t>开展技术、品牌、专利、营销网络等境外并购，</w:t>
      </w:r>
      <w:r>
        <w:rPr>
          <w:rFonts w:eastAsia="仿宋_GB2312"/>
          <w:kern w:val="0"/>
          <w:szCs w:val="32"/>
        </w:rPr>
        <w:t>中方投资额不低于50万美元（或等值货币），且单笔贷款金额不低于100万元人民币（或等值货币）。</w:t>
      </w:r>
    </w:p>
    <w:p w14:paraId="217917BD">
      <w:pPr>
        <w:widowControl/>
        <w:spacing w:line="560" w:lineRule="exact"/>
        <w:ind w:firstLine="640" w:firstLineChars="200"/>
        <w:rPr>
          <w:rFonts w:eastAsia="仿宋_GB2312"/>
          <w:kern w:val="0"/>
          <w:szCs w:val="32"/>
        </w:rPr>
      </w:pPr>
      <w:r>
        <w:rPr>
          <w:rFonts w:eastAsia="仿宋_GB2312"/>
          <w:kern w:val="0"/>
          <w:szCs w:val="32"/>
        </w:rPr>
        <w:t>（2）境外投资生产性及境外林、渔、矿项目中方投资额不低于100万美元（或等值货币），且单笔贷款金额不低于300万元人民币（或等值货币）。</w:t>
      </w:r>
    </w:p>
    <w:p w14:paraId="19F072D4">
      <w:pPr>
        <w:widowControl/>
        <w:spacing w:line="560" w:lineRule="exact"/>
        <w:ind w:firstLine="640" w:firstLineChars="200"/>
        <w:rPr>
          <w:rFonts w:eastAsia="仿宋_GB2312"/>
          <w:kern w:val="0"/>
          <w:szCs w:val="32"/>
        </w:rPr>
      </w:pPr>
      <w:r>
        <w:rPr>
          <w:rFonts w:eastAsia="仿宋_GB2312"/>
          <w:kern w:val="0"/>
          <w:szCs w:val="32"/>
        </w:rPr>
        <w:t>4．项目适用时间：每年申报上一年度的项目（项目所在的年度简称为项目年度），所有项目各项数据、指标的适用期间原则为项目年度的1月1日至12月31日。</w:t>
      </w:r>
    </w:p>
    <w:p w14:paraId="50292708">
      <w:pPr>
        <w:spacing w:line="560" w:lineRule="exact"/>
        <w:rPr>
          <w:rFonts w:eastAsia="黑体"/>
          <w:bCs/>
          <w:kern w:val="0"/>
          <w:szCs w:val="32"/>
        </w:rPr>
      </w:pPr>
      <w:r>
        <w:rPr>
          <w:rFonts w:hint="eastAsia" w:eastAsia="黑体"/>
          <w:bCs/>
          <w:kern w:val="0"/>
          <w:szCs w:val="32"/>
        </w:rPr>
        <w:t xml:space="preserve">    </w:t>
      </w:r>
      <w:r>
        <w:rPr>
          <w:rFonts w:eastAsia="黑体"/>
          <w:bCs/>
          <w:kern w:val="0"/>
          <w:szCs w:val="32"/>
        </w:rPr>
        <w:t>四、申报及管理程序</w:t>
      </w:r>
    </w:p>
    <w:p w14:paraId="631C3114">
      <w:pPr>
        <w:spacing w:line="560" w:lineRule="exact"/>
        <w:ind w:firstLine="640" w:firstLineChars="200"/>
        <w:rPr>
          <w:rFonts w:eastAsia="仿宋_GB2312"/>
          <w:szCs w:val="32"/>
        </w:rPr>
      </w:pPr>
      <w:r>
        <w:rPr>
          <w:rFonts w:eastAsia="仿宋_GB2312"/>
          <w:kern w:val="0"/>
          <w:szCs w:val="32"/>
        </w:rPr>
        <w:t>（一）申报企</w:t>
      </w:r>
      <w:r>
        <w:rPr>
          <w:rFonts w:eastAsia="仿宋_GB2312"/>
          <w:szCs w:val="32"/>
        </w:rPr>
        <w:t>业于202</w:t>
      </w:r>
      <w:r>
        <w:rPr>
          <w:rFonts w:hint="eastAsia" w:eastAsia="仿宋_GB2312"/>
          <w:szCs w:val="32"/>
        </w:rPr>
        <w:t>3</w:t>
      </w:r>
      <w:r>
        <w:rPr>
          <w:rFonts w:eastAsia="仿宋_GB2312"/>
          <w:szCs w:val="32"/>
        </w:rPr>
        <w:t>年</w:t>
      </w:r>
      <w:r>
        <w:rPr>
          <w:rFonts w:hint="eastAsia" w:eastAsia="仿宋_GB2312"/>
          <w:szCs w:val="32"/>
          <w:lang w:val="en-US" w:eastAsia="zh-CN"/>
        </w:rPr>
        <w:t>8</w:t>
      </w:r>
      <w:r>
        <w:rPr>
          <w:rFonts w:eastAsia="仿宋_GB2312"/>
          <w:szCs w:val="32"/>
        </w:rPr>
        <w:t>月</w:t>
      </w:r>
      <w:r>
        <w:rPr>
          <w:rFonts w:hint="eastAsia" w:eastAsia="仿宋_GB2312"/>
          <w:szCs w:val="32"/>
          <w:lang w:val="en-US" w:eastAsia="zh-CN"/>
        </w:rPr>
        <w:t>17</w:t>
      </w:r>
      <w:r>
        <w:rPr>
          <w:rFonts w:eastAsia="仿宋_GB2312"/>
          <w:szCs w:val="32"/>
        </w:rPr>
        <w:t>日前，将申报材料一式两份（其中一份由区、市留存），提报所在区（市）商务主管部门，逾期不予受理。</w:t>
      </w:r>
    </w:p>
    <w:p w14:paraId="597FA689">
      <w:pPr>
        <w:spacing w:line="560" w:lineRule="exact"/>
        <w:ind w:firstLine="640" w:firstLineChars="200"/>
        <w:rPr>
          <w:rFonts w:eastAsia="仿宋_GB2312"/>
          <w:szCs w:val="32"/>
        </w:rPr>
      </w:pPr>
      <w:r>
        <w:rPr>
          <w:rFonts w:eastAsia="仿宋_GB2312"/>
          <w:szCs w:val="32"/>
        </w:rPr>
        <w:t>（二）区（市）商务主管部门汇总本区（市）申报材料，</w:t>
      </w:r>
      <w:r>
        <w:rPr>
          <w:rFonts w:hint="eastAsia" w:eastAsia="仿宋_GB2312"/>
          <w:szCs w:val="32"/>
        </w:rPr>
        <w:t>对材料的真实性、完整性和合规性</w:t>
      </w:r>
      <w:r>
        <w:rPr>
          <w:rFonts w:eastAsia="仿宋_GB2312"/>
          <w:szCs w:val="32"/>
        </w:rPr>
        <w:t>进行初审，通过国家税务总局青岛市税务局重大税收违法失信案件查询网（http://qingdao.chinatax.gov.cn/resourcedata/sswf2019/）、国家外汇管理局外汇行政处罚信息查询网（http://www.safe.gov.cn/safe/whxzcfxxcx/index.html）、中国执行信息公开网（http://zxgk.court.gov.cn/）、国家企业信用信息公示系统（http://www.gsxt.gov.cn/index.html）</w:t>
      </w:r>
      <w:r>
        <w:rPr>
          <w:rFonts w:hint="eastAsia" w:eastAsia="仿宋_GB2312"/>
          <w:szCs w:val="32"/>
          <w:lang w:val="en-US" w:eastAsia="zh-CN"/>
        </w:rPr>
        <w:t>等</w:t>
      </w:r>
      <w:r>
        <w:rPr>
          <w:rFonts w:hint="eastAsia" w:eastAsia="仿宋_GB2312"/>
          <w:szCs w:val="32"/>
        </w:rPr>
        <w:t>五</w:t>
      </w:r>
      <w:r>
        <w:rPr>
          <w:rFonts w:eastAsia="仿宋_GB2312"/>
          <w:szCs w:val="32"/>
        </w:rPr>
        <w:t>个平台对申报单位近三年信用情况进行核查，提出初审意见后于</w:t>
      </w:r>
      <w:r>
        <w:rPr>
          <w:rFonts w:hint="eastAsia" w:eastAsia="仿宋_GB2312"/>
          <w:szCs w:val="32"/>
          <w:lang w:val="en-US" w:eastAsia="zh-CN"/>
        </w:rPr>
        <w:t>8</w:t>
      </w:r>
      <w:r>
        <w:rPr>
          <w:rFonts w:eastAsia="仿宋_GB2312"/>
          <w:szCs w:val="32"/>
        </w:rPr>
        <w:t>月</w:t>
      </w:r>
      <w:r>
        <w:rPr>
          <w:rFonts w:hint="eastAsia" w:eastAsia="仿宋_GB2312"/>
          <w:szCs w:val="32"/>
          <w:lang w:val="en-US" w:eastAsia="zh-CN"/>
        </w:rPr>
        <w:t>23</w:t>
      </w:r>
      <w:r>
        <w:rPr>
          <w:rFonts w:eastAsia="仿宋_GB2312"/>
          <w:szCs w:val="32"/>
        </w:rPr>
        <w:t>日前汇总报送市商务局，逾期不予受理。</w:t>
      </w:r>
    </w:p>
    <w:p w14:paraId="1DD41613">
      <w:pPr>
        <w:spacing w:line="560" w:lineRule="exact"/>
        <w:ind w:firstLine="640" w:firstLineChars="200"/>
        <w:rPr>
          <w:rFonts w:eastAsia="仿宋_GB2312"/>
          <w:szCs w:val="32"/>
        </w:rPr>
      </w:pPr>
      <w:r>
        <w:rPr>
          <w:rFonts w:hint="eastAsia" w:eastAsia="仿宋_GB2312"/>
          <w:szCs w:val="32"/>
        </w:rPr>
        <w:t>（三）</w:t>
      </w:r>
      <w:r>
        <w:rPr>
          <w:rFonts w:eastAsia="仿宋_GB2312"/>
          <w:szCs w:val="32"/>
        </w:rPr>
        <w:t>各区（市）商务主管部门</w:t>
      </w:r>
      <w:r>
        <w:rPr>
          <w:rFonts w:hint="eastAsia" w:eastAsia="仿宋_GB2312"/>
          <w:szCs w:val="32"/>
        </w:rPr>
        <w:t>查验申报</w:t>
      </w:r>
      <w:r>
        <w:rPr>
          <w:rFonts w:eastAsia="仿宋_GB2312"/>
          <w:szCs w:val="32"/>
        </w:rPr>
        <w:t>材料</w:t>
      </w:r>
      <w:r>
        <w:rPr>
          <w:rFonts w:hint="eastAsia" w:eastAsia="仿宋_GB2312"/>
          <w:szCs w:val="32"/>
        </w:rPr>
        <w:t>原件，</w:t>
      </w:r>
      <w:r>
        <w:rPr>
          <w:rFonts w:eastAsia="仿宋_GB2312"/>
          <w:szCs w:val="32"/>
        </w:rPr>
        <w:t>申报材料及要求见附件。根据商务部有关工作要求，请区（市）商务主管部门将所属企业报送的资金申请，在网络系统上（网址：https://emanage.mofcom.gov.cn/loginGov.html）按要求填报申请后，在上述规定时间内将纸质材料汇总报送市商务局。</w:t>
      </w:r>
    </w:p>
    <w:p w14:paraId="57DF305D">
      <w:pPr>
        <w:spacing w:line="560" w:lineRule="exact"/>
        <w:ind w:firstLine="640" w:firstLineChars="200"/>
        <w:rPr>
          <w:rFonts w:eastAsia="仿宋_GB2312"/>
          <w:bCs/>
          <w:kern w:val="0"/>
          <w:szCs w:val="32"/>
        </w:rPr>
      </w:pPr>
      <w:r>
        <w:rPr>
          <w:rFonts w:eastAsia="仿宋_GB2312"/>
          <w:szCs w:val="32"/>
        </w:rPr>
        <w:t>（</w:t>
      </w:r>
      <w:r>
        <w:rPr>
          <w:rFonts w:hint="eastAsia" w:eastAsia="仿宋_GB2312"/>
          <w:szCs w:val="32"/>
        </w:rPr>
        <w:t>四</w:t>
      </w:r>
      <w:r>
        <w:rPr>
          <w:rFonts w:eastAsia="仿宋_GB2312"/>
          <w:szCs w:val="32"/>
        </w:rPr>
        <w:t>）市商务局负责审核项目材料和业务数据，会同第三方机构对各区（市）汇总上报的材料进行审核并核查，出具审核报告。根据审核报告确定扶持资金分配方案，在市商务局网站公示</w:t>
      </w:r>
      <w:r>
        <w:rPr>
          <w:rFonts w:eastAsia="仿宋_GB2312"/>
          <w:bCs/>
          <w:kern w:val="0"/>
          <w:szCs w:val="32"/>
        </w:rPr>
        <w:t>后,申请市财政局按规定程序拨付下达。</w:t>
      </w:r>
    </w:p>
    <w:p w14:paraId="55043377">
      <w:pPr>
        <w:spacing w:line="560" w:lineRule="exact"/>
        <w:ind w:firstLine="640" w:firstLineChars="200"/>
        <w:rPr>
          <w:rFonts w:eastAsia="黑体"/>
          <w:bCs/>
          <w:kern w:val="0"/>
          <w:szCs w:val="32"/>
        </w:rPr>
      </w:pPr>
      <w:r>
        <w:rPr>
          <w:rFonts w:eastAsia="黑体"/>
          <w:bCs/>
          <w:kern w:val="0"/>
          <w:szCs w:val="32"/>
        </w:rPr>
        <w:t>五、监督管理</w:t>
      </w:r>
    </w:p>
    <w:p w14:paraId="259A86E0">
      <w:pPr>
        <w:spacing w:line="560" w:lineRule="exact"/>
        <w:ind w:firstLine="640" w:firstLineChars="200"/>
        <w:rPr>
          <w:rFonts w:eastAsia="仿宋_GB2312"/>
          <w:szCs w:val="32"/>
        </w:rPr>
      </w:pPr>
      <w:r>
        <w:rPr>
          <w:rFonts w:eastAsia="仿宋_GB2312"/>
          <w:szCs w:val="32"/>
        </w:rPr>
        <w:t>（一）企业收到合作资金后，应当按照国家有关财务、会计制度的规定进行账务处理，并自觉接受财政、商务等部门的监督检查。</w:t>
      </w:r>
    </w:p>
    <w:p w14:paraId="26162047">
      <w:pPr>
        <w:spacing w:line="560" w:lineRule="exact"/>
        <w:ind w:firstLine="640" w:firstLineChars="200"/>
        <w:rPr>
          <w:rFonts w:eastAsia="仿宋_GB2312"/>
          <w:szCs w:val="32"/>
        </w:rPr>
      </w:pPr>
      <w:r>
        <w:rPr>
          <w:rFonts w:eastAsia="仿宋_GB2312"/>
          <w:szCs w:val="32"/>
        </w:rPr>
        <w:t>（二）各区（市）商务、财政部门要按照国家有关要求，对项目和资金管理使用情况进行监督检查；并对实施效果开展绩效评价，形成总结报告，于12月底前将年度总结报告，包括资金到位情况、支持项目明细、存在问题及政策建议等，报</w:t>
      </w:r>
      <w:r>
        <w:rPr>
          <w:rFonts w:hint="eastAsia" w:eastAsia="仿宋_GB2312"/>
          <w:szCs w:val="32"/>
          <w:lang w:val="en-US" w:eastAsia="zh-CN"/>
        </w:rPr>
        <w:t>市商务局、</w:t>
      </w:r>
      <w:r>
        <w:rPr>
          <w:rFonts w:eastAsia="仿宋_GB2312"/>
          <w:szCs w:val="32"/>
        </w:rPr>
        <w:t>市财政局。</w:t>
      </w:r>
    </w:p>
    <w:p w14:paraId="7BF6E0BF">
      <w:pPr>
        <w:spacing w:line="560" w:lineRule="exact"/>
        <w:ind w:firstLine="640" w:firstLineChars="200"/>
        <w:rPr>
          <w:rFonts w:eastAsia="仿宋_GB2312"/>
          <w:szCs w:val="32"/>
        </w:rPr>
      </w:pPr>
      <w:r>
        <w:rPr>
          <w:rFonts w:eastAsia="仿宋_GB2312"/>
          <w:szCs w:val="32"/>
        </w:rPr>
        <w:t>（三）项目申报企业对申报材料的真实性负责，对弄虚作假骗取财政资金的行为，依照国家和省市有关规定进行处理，取消申请同类财政补助资格，并将涉事企业列入“社会信用黑名单”,向社会公示。涉及违法犯罪行为的，将相关线索移交职权机关依法追究。</w:t>
      </w:r>
    </w:p>
    <w:p w14:paraId="22F47CDA">
      <w:pPr>
        <w:widowControl/>
        <w:spacing w:line="560" w:lineRule="exact"/>
        <w:rPr>
          <w:rFonts w:eastAsia="仿宋_GB2312"/>
          <w:kern w:val="0"/>
          <w:szCs w:val="32"/>
        </w:rPr>
      </w:pPr>
    </w:p>
    <w:p w14:paraId="70A4DB93">
      <w:pPr>
        <w:widowControl/>
        <w:spacing w:line="560" w:lineRule="exact"/>
        <w:rPr>
          <w:rFonts w:eastAsia="仿宋_GB2312"/>
          <w:kern w:val="0"/>
          <w:szCs w:val="32"/>
        </w:rPr>
      </w:pPr>
      <w:r>
        <w:rPr>
          <w:rFonts w:eastAsia="仿宋_GB2312"/>
          <w:kern w:val="0"/>
          <w:szCs w:val="32"/>
        </w:rPr>
        <w:t xml:space="preserve">    附件：1．申报指南</w:t>
      </w:r>
    </w:p>
    <w:p w14:paraId="3E97F4FD">
      <w:pPr>
        <w:widowControl/>
        <w:numPr>
          <w:ilvl w:val="0"/>
          <w:numId w:val="1"/>
        </w:numPr>
        <w:spacing w:line="560" w:lineRule="exact"/>
        <w:rPr>
          <w:rFonts w:eastAsia="仿宋_GB2312"/>
          <w:kern w:val="0"/>
          <w:szCs w:val="32"/>
        </w:rPr>
      </w:pPr>
      <w:r>
        <w:rPr>
          <w:rFonts w:eastAsia="仿宋_GB2312"/>
          <w:kern w:val="0"/>
          <w:szCs w:val="32"/>
        </w:rPr>
        <w:t>申报指南说明</w:t>
      </w:r>
    </w:p>
    <w:p w14:paraId="18643C40">
      <w:pPr>
        <w:widowControl/>
        <w:spacing w:line="560" w:lineRule="exact"/>
        <w:ind w:left="1600"/>
        <w:rPr>
          <w:rFonts w:eastAsia="仿宋_GB2312"/>
          <w:szCs w:val="32"/>
        </w:rPr>
      </w:pPr>
      <w:r>
        <w:rPr>
          <w:rFonts w:eastAsia="仿宋_GB2312"/>
          <w:szCs w:val="32"/>
        </w:rPr>
        <w:t>3．企业申报项目真实性承诺书</w:t>
      </w:r>
    </w:p>
    <w:p w14:paraId="68A27747">
      <w:pPr>
        <w:widowControl/>
        <w:spacing w:line="560" w:lineRule="exact"/>
        <w:rPr>
          <w:rFonts w:eastAsia="仿宋_GB2312"/>
          <w:kern w:val="0"/>
          <w:szCs w:val="32"/>
        </w:rPr>
      </w:pPr>
      <w:r>
        <w:rPr>
          <w:rFonts w:eastAsia="仿宋_GB2312"/>
          <w:kern w:val="0"/>
          <w:szCs w:val="32"/>
        </w:rPr>
        <w:t xml:space="preserve">          4．企业申报项目明细表</w:t>
      </w:r>
    </w:p>
    <w:p w14:paraId="1F713935">
      <w:pPr>
        <w:widowControl/>
        <w:spacing w:line="560" w:lineRule="exact"/>
        <w:rPr>
          <w:rFonts w:eastAsia="仿宋_GB2312"/>
          <w:kern w:val="0"/>
          <w:szCs w:val="32"/>
        </w:rPr>
      </w:pPr>
      <w:r>
        <w:rPr>
          <w:rFonts w:eastAsia="仿宋_GB2312"/>
          <w:kern w:val="0"/>
          <w:szCs w:val="32"/>
        </w:rPr>
        <w:t xml:space="preserve">          5．最终控制方证明材料</w:t>
      </w:r>
    </w:p>
    <w:p w14:paraId="22754BA5">
      <w:pPr>
        <w:widowControl/>
        <w:spacing w:line="560" w:lineRule="exact"/>
        <w:rPr>
          <w:rFonts w:eastAsia="仿宋_GB2312"/>
          <w:kern w:val="0"/>
          <w:szCs w:val="32"/>
        </w:rPr>
      </w:pPr>
      <w:r>
        <w:rPr>
          <w:rFonts w:eastAsia="仿宋_GB2312"/>
          <w:kern w:val="0"/>
          <w:szCs w:val="32"/>
        </w:rPr>
        <w:t xml:space="preserve">          6．驻外经济商务处意见</w:t>
      </w:r>
    </w:p>
    <w:p w14:paraId="3CCBFF1C">
      <w:pPr>
        <w:widowControl/>
        <w:spacing w:line="560" w:lineRule="exact"/>
        <w:rPr>
          <w:rFonts w:eastAsia="仿宋_GB2312"/>
          <w:spacing w:val="-20"/>
          <w:kern w:val="0"/>
          <w:szCs w:val="32"/>
        </w:rPr>
      </w:pPr>
      <w:r>
        <w:rPr>
          <w:rFonts w:eastAsia="仿宋_GB2312"/>
          <w:kern w:val="0"/>
          <w:szCs w:val="32"/>
        </w:rPr>
        <w:t xml:space="preserve">          </w:t>
      </w:r>
      <w:r>
        <w:rPr>
          <w:rFonts w:eastAsia="仿宋_GB2312"/>
          <w:spacing w:val="-20"/>
          <w:kern w:val="0"/>
          <w:szCs w:val="32"/>
        </w:rPr>
        <w:t>7．境外项目可行性研</w:t>
      </w:r>
      <w:r>
        <w:rPr>
          <w:rFonts w:eastAsia="仿宋_GB2312"/>
          <w:kern w:val="0"/>
          <w:szCs w:val="32"/>
        </w:rPr>
        <w:t>究(前期费用)补助明细表</w:t>
      </w:r>
    </w:p>
    <w:p w14:paraId="4BBD2D58">
      <w:pPr>
        <w:widowControl/>
        <w:tabs>
          <w:tab w:val="left" w:pos="1600"/>
        </w:tabs>
        <w:spacing w:line="560" w:lineRule="exact"/>
        <w:rPr>
          <w:rFonts w:eastAsia="仿宋_GB2312"/>
          <w:kern w:val="0"/>
          <w:szCs w:val="32"/>
        </w:rPr>
      </w:pPr>
      <w:r>
        <w:rPr>
          <w:rFonts w:eastAsia="仿宋_GB2312"/>
          <w:kern w:val="0"/>
          <w:szCs w:val="32"/>
        </w:rPr>
        <w:t xml:space="preserve">          8-1. 运保费用单据明细表－陆运项目</w:t>
      </w:r>
    </w:p>
    <w:p w14:paraId="64575E68">
      <w:pPr>
        <w:widowControl/>
        <w:tabs>
          <w:tab w:val="left" w:pos="1600"/>
        </w:tabs>
        <w:spacing w:line="560" w:lineRule="exact"/>
        <w:rPr>
          <w:rFonts w:eastAsia="仿宋_GB2312"/>
          <w:kern w:val="0"/>
          <w:szCs w:val="32"/>
        </w:rPr>
      </w:pPr>
      <w:r>
        <w:rPr>
          <w:rFonts w:eastAsia="仿宋_GB2312"/>
          <w:kern w:val="0"/>
          <w:szCs w:val="32"/>
        </w:rPr>
        <w:t xml:space="preserve">          8-2. 运保费用单据明细表－海运项目</w:t>
      </w:r>
    </w:p>
    <w:p w14:paraId="3E8848C7">
      <w:pPr>
        <w:widowControl/>
        <w:spacing w:line="560" w:lineRule="exact"/>
        <w:rPr>
          <w:rFonts w:eastAsia="仿宋_GB2312"/>
          <w:kern w:val="0"/>
          <w:szCs w:val="32"/>
        </w:rPr>
      </w:pPr>
      <w:r>
        <w:rPr>
          <w:rFonts w:eastAsia="仿宋_GB2312"/>
          <w:kern w:val="0"/>
          <w:szCs w:val="32"/>
        </w:rPr>
        <w:t xml:space="preserve">          9．申报境外重点项目投资建设费用明细表</w:t>
      </w:r>
    </w:p>
    <w:p w14:paraId="5645D4AB">
      <w:pPr>
        <w:widowControl/>
        <w:spacing w:line="560" w:lineRule="exact"/>
        <w:rPr>
          <w:rFonts w:eastAsia="仿宋_GB2312"/>
          <w:kern w:val="0"/>
          <w:szCs w:val="32"/>
        </w:rPr>
      </w:pPr>
      <w:r>
        <w:rPr>
          <w:rFonts w:eastAsia="仿宋_GB2312"/>
          <w:kern w:val="0"/>
          <w:szCs w:val="32"/>
        </w:rPr>
        <w:t xml:space="preserve">          10．申请贴息项目基本情况及202</w:t>
      </w:r>
      <w:r>
        <w:rPr>
          <w:rFonts w:hint="eastAsia" w:eastAsia="仿宋_GB2312"/>
          <w:kern w:val="0"/>
          <w:szCs w:val="32"/>
        </w:rPr>
        <w:t>2</w:t>
      </w:r>
      <w:r>
        <w:rPr>
          <w:rFonts w:eastAsia="仿宋_GB2312"/>
          <w:kern w:val="0"/>
          <w:szCs w:val="32"/>
        </w:rPr>
        <w:t>年度银行贷款付</w:t>
      </w:r>
    </w:p>
    <w:p w14:paraId="268DAF79">
      <w:pPr>
        <w:widowControl/>
        <w:spacing w:line="560" w:lineRule="exact"/>
        <w:rPr>
          <w:rFonts w:eastAsia="仿宋_GB2312"/>
          <w:kern w:val="0"/>
          <w:szCs w:val="32"/>
        </w:rPr>
      </w:pPr>
      <w:r>
        <w:rPr>
          <w:rFonts w:hint="eastAsia" w:eastAsia="仿宋_GB2312"/>
          <w:kern w:val="0"/>
          <w:szCs w:val="32"/>
        </w:rPr>
        <w:t xml:space="preserve">              </w:t>
      </w:r>
      <w:r>
        <w:rPr>
          <w:rFonts w:eastAsia="仿宋_GB2312"/>
          <w:kern w:val="0"/>
          <w:szCs w:val="32"/>
        </w:rPr>
        <w:t>息一览表</w:t>
      </w:r>
    </w:p>
    <w:p w14:paraId="1E04A8C5">
      <w:pPr>
        <w:widowControl/>
        <w:spacing w:line="560" w:lineRule="exact"/>
        <w:rPr>
          <w:rFonts w:eastAsia="仿宋_GB2312"/>
          <w:kern w:val="0"/>
          <w:szCs w:val="32"/>
        </w:rPr>
      </w:pPr>
      <w:r>
        <w:rPr>
          <w:rFonts w:eastAsia="仿宋_GB2312"/>
          <w:kern w:val="0"/>
          <w:szCs w:val="32"/>
        </w:rPr>
        <w:t xml:space="preserve">          11．海外项目保费及承包工程保函手续费支出情况表</w:t>
      </w:r>
    </w:p>
    <w:p w14:paraId="7A9FF23F">
      <w:pPr>
        <w:widowControl/>
        <w:spacing w:line="560" w:lineRule="exact"/>
        <w:rPr>
          <w:rFonts w:eastAsia="仿宋_GB2312"/>
          <w:kern w:val="0"/>
          <w:szCs w:val="32"/>
        </w:rPr>
      </w:pPr>
      <w:r>
        <w:rPr>
          <w:rFonts w:eastAsia="仿宋_GB2312"/>
          <w:kern w:val="0"/>
          <w:szCs w:val="32"/>
        </w:rPr>
        <w:t xml:space="preserve">          12．对外承包工程总包与分包支持资金审核表</w:t>
      </w:r>
    </w:p>
    <w:p w14:paraId="4304FF36">
      <w:pPr>
        <w:widowControl/>
        <w:spacing w:line="560" w:lineRule="exact"/>
        <w:rPr>
          <w:rFonts w:eastAsia="仿宋_GB2312"/>
          <w:kern w:val="0"/>
          <w:szCs w:val="32"/>
        </w:rPr>
      </w:pPr>
      <w:r>
        <w:rPr>
          <w:rFonts w:eastAsia="仿宋_GB2312"/>
          <w:kern w:val="0"/>
          <w:szCs w:val="32"/>
        </w:rPr>
        <w:t xml:space="preserve">          13．外派劳务人员培训审查明细表</w:t>
      </w:r>
    </w:p>
    <w:p w14:paraId="54EC0F38">
      <w:pPr>
        <w:widowControl/>
        <w:spacing w:line="560" w:lineRule="exact"/>
        <w:rPr>
          <w:rFonts w:eastAsia="仿宋_GB2312"/>
          <w:kern w:val="0"/>
          <w:szCs w:val="32"/>
        </w:rPr>
      </w:pPr>
      <w:r>
        <w:rPr>
          <w:rFonts w:eastAsia="仿宋_GB2312"/>
          <w:kern w:val="0"/>
          <w:szCs w:val="32"/>
        </w:rPr>
        <w:t xml:space="preserve">          14．境外经贸合作区与境外联络服务平台建设支持</w:t>
      </w:r>
    </w:p>
    <w:p w14:paraId="2D6F9BCE">
      <w:pPr>
        <w:widowControl/>
        <w:spacing w:line="560" w:lineRule="exact"/>
        <w:rPr>
          <w:rFonts w:eastAsia="仿宋_GB2312"/>
          <w:kern w:val="0"/>
          <w:szCs w:val="32"/>
        </w:rPr>
      </w:pPr>
      <w:r>
        <w:rPr>
          <w:rFonts w:eastAsia="仿宋_GB2312"/>
          <w:kern w:val="0"/>
          <w:szCs w:val="32"/>
        </w:rPr>
        <w:t xml:space="preserve">              资金申报表</w:t>
      </w:r>
    </w:p>
    <w:p w14:paraId="1CD004D1">
      <w:pPr>
        <w:widowControl/>
        <w:spacing w:line="560" w:lineRule="exact"/>
        <w:rPr>
          <w:rFonts w:eastAsia="仿宋_GB2312"/>
          <w:kern w:val="0"/>
          <w:szCs w:val="32"/>
        </w:rPr>
      </w:pPr>
      <w:r>
        <w:rPr>
          <w:rFonts w:eastAsia="仿宋_GB2312"/>
          <w:kern w:val="0"/>
          <w:szCs w:val="32"/>
        </w:rPr>
        <w:t xml:space="preserve">          15．“走出去”人员人身意外伤害保险审查明细表</w:t>
      </w:r>
    </w:p>
    <w:p w14:paraId="4EEA469C">
      <w:pPr>
        <w:widowControl/>
        <w:spacing w:line="560" w:lineRule="exact"/>
        <w:rPr>
          <w:rFonts w:eastAsia="仿宋_GB2312"/>
          <w:kern w:val="0"/>
          <w:szCs w:val="32"/>
        </w:rPr>
      </w:pPr>
      <w:r>
        <w:rPr>
          <w:rFonts w:eastAsia="仿宋_GB2312"/>
          <w:kern w:val="0"/>
          <w:szCs w:val="32"/>
        </w:rPr>
        <w:t xml:space="preserve">          16．境外突发事件和市场开拓费用审查明细表</w:t>
      </w:r>
    </w:p>
    <w:p w14:paraId="558501FB">
      <w:pPr>
        <w:widowControl/>
        <w:spacing w:line="560" w:lineRule="exact"/>
        <w:rPr>
          <w:rFonts w:eastAsia="仿宋_GB2312"/>
          <w:kern w:val="0"/>
          <w:szCs w:val="32"/>
        </w:rPr>
      </w:pPr>
      <w:r>
        <w:rPr>
          <w:rFonts w:eastAsia="仿宋_GB2312"/>
          <w:kern w:val="0"/>
          <w:szCs w:val="32"/>
        </w:rPr>
        <w:t xml:space="preserve">          17．申报项目初审意见汇总表</w:t>
      </w:r>
    </w:p>
    <w:p w14:paraId="4808FFE7">
      <w:pPr>
        <w:widowControl/>
        <w:spacing w:line="560" w:lineRule="exact"/>
        <w:rPr>
          <w:rFonts w:eastAsia="仿宋_GB2312"/>
          <w:kern w:val="0"/>
          <w:szCs w:val="32"/>
        </w:rPr>
      </w:pPr>
      <w:r>
        <w:rPr>
          <w:rFonts w:eastAsia="仿宋_GB2312"/>
          <w:kern w:val="0"/>
          <w:szCs w:val="32"/>
        </w:rPr>
        <w:t xml:space="preserve">          18．各区（市）商务部门联系人及联系方式</w:t>
      </w:r>
    </w:p>
    <w:p w14:paraId="76CAC619">
      <w:pPr>
        <w:widowControl/>
        <w:spacing w:line="560" w:lineRule="exact"/>
        <w:ind w:firstLine="640" w:firstLineChars="200"/>
        <w:rPr>
          <w:rFonts w:eastAsia="仿宋_GB2312"/>
          <w:bCs/>
          <w:kern w:val="0"/>
          <w:szCs w:val="32"/>
        </w:rPr>
      </w:pPr>
    </w:p>
    <w:p w14:paraId="72284AF5">
      <w:pPr>
        <w:widowControl/>
        <w:spacing w:line="560" w:lineRule="exact"/>
        <w:ind w:firstLine="640" w:firstLineChars="200"/>
        <w:rPr>
          <w:rFonts w:eastAsia="仿宋_GB2312"/>
          <w:bCs/>
          <w:kern w:val="0"/>
          <w:szCs w:val="32"/>
        </w:rPr>
      </w:pPr>
    </w:p>
    <w:p w14:paraId="077BA096">
      <w:pPr>
        <w:tabs>
          <w:tab w:val="left" w:pos="5230"/>
          <w:tab w:val="left" w:pos="7740"/>
        </w:tabs>
        <w:spacing w:line="560" w:lineRule="exact"/>
        <w:rPr>
          <w:rFonts w:eastAsia="仿宋_GB2312"/>
          <w:szCs w:val="32"/>
        </w:rPr>
      </w:pPr>
      <w:r>
        <w:rPr>
          <w:rFonts w:eastAsia="仿宋_GB2312"/>
          <w:szCs w:val="32"/>
        </w:rPr>
        <w:t xml:space="preserve">                                 </w:t>
      </w:r>
      <w:r>
        <w:rPr>
          <w:rFonts w:hint="eastAsia" w:eastAsia="仿宋_GB2312"/>
          <w:szCs w:val="32"/>
          <w:lang w:val="en-US" w:eastAsia="zh-CN"/>
        </w:rPr>
        <w:t>即墨区</w:t>
      </w:r>
      <w:r>
        <w:rPr>
          <w:rFonts w:eastAsia="仿宋_GB2312"/>
          <w:szCs w:val="32"/>
        </w:rPr>
        <w:t>商务局</w:t>
      </w:r>
    </w:p>
    <w:p w14:paraId="3CB5A959">
      <w:pPr>
        <w:tabs>
          <w:tab w:val="left" w:pos="1600"/>
          <w:tab w:val="left" w:pos="7380"/>
          <w:tab w:val="left" w:pos="7560"/>
        </w:tabs>
        <w:spacing w:line="560" w:lineRule="exact"/>
        <w:ind w:firstLine="5120" w:firstLineChars="1600"/>
        <w:rPr>
          <w:rFonts w:eastAsia="仿宋_GB2312"/>
          <w:szCs w:val="32"/>
        </w:rPr>
      </w:pPr>
      <w:r>
        <w:rPr>
          <w:rFonts w:eastAsia="仿宋_GB2312"/>
          <w:szCs w:val="32"/>
        </w:rPr>
        <w:t>202</w:t>
      </w:r>
      <w:r>
        <w:rPr>
          <w:rFonts w:hint="eastAsia" w:eastAsia="仿宋_GB2312"/>
          <w:szCs w:val="32"/>
        </w:rPr>
        <w:t>3</w:t>
      </w:r>
      <w:r>
        <w:rPr>
          <w:rFonts w:eastAsia="仿宋_GB2312"/>
          <w:szCs w:val="32"/>
        </w:rPr>
        <w:t>年</w:t>
      </w:r>
      <w:r>
        <w:rPr>
          <w:rFonts w:hint="eastAsia" w:eastAsia="仿宋_GB2312"/>
          <w:szCs w:val="32"/>
          <w:lang w:val="en-US" w:eastAsia="zh-CN"/>
        </w:rPr>
        <w:t>8</w:t>
      </w:r>
      <w:r>
        <w:rPr>
          <w:rFonts w:eastAsia="仿宋_GB2312"/>
          <w:szCs w:val="32"/>
        </w:rPr>
        <w:t>月</w:t>
      </w:r>
      <w:r>
        <w:rPr>
          <w:rFonts w:hint="eastAsia" w:eastAsia="仿宋_GB2312"/>
          <w:szCs w:val="32"/>
          <w:lang w:val="en-US" w:eastAsia="zh-CN"/>
        </w:rPr>
        <w:t>11</w:t>
      </w:r>
      <w:r>
        <w:rPr>
          <w:rFonts w:eastAsia="仿宋_GB2312"/>
          <w:szCs w:val="32"/>
        </w:rPr>
        <w:t>日</w:t>
      </w:r>
    </w:p>
    <w:p w14:paraId="446D9727">
      <w:pPr>
        <w:tabs>
          <w:tab w:val="left" w:pos="1600"/>
          <w:tab w:val="left" w:pos="7380"/>
          <w:tab w:val="left" w:pos="7560"/>
        </w:tabs>
        <w:spacing w:line="560" w:lineRule="exact"/>
        <w:ind w:firstLine="5120" w:firstLineChars="1600"/>
        <w:rPr>
          <w:rFonts w:eastAsia="仿宋_GB2312"/>
          <w:szCs w:val="32"/>
        </w:rPr>
      </w:pPr>
    </w:p>
    <w:p w14:paraId="196CEEE3">
      <w:pPr>
        <w:pStyle w:val="6"/>
        <w:spacing w:line="560" w:lineRule="exact"/>
        <w:rPr>
          <w:rFonts w:hint="eastAsia" w:cs="Times New Roman"/>
          <w:sz w:val="32"/>
          <w:szCs w:val="32"/>
          <w:lang w:val="en-US" w:eastAsia="zh-CN"/>
        </w:rPr>
      </w:pPr>
      <w:r>
        <w:rPr>
          <w:sz w:val="32"/>
          <w:szCs w:val="32"/>
        </w:rPr>
        <w:t xml:space="preserve">  </w:t>
      </w:r>
      <w:r>
        <w:rPr>
          <w:rFonts w:hint="default" w:ascii="Times New Roman" w:hAnsi="Times New Roman" w:eastAsia="仿宋_GB2312" w:cs="Times New Roman"/>
          <w:sz w:val="32"/>
          <w:szCs w:val="32"/>
          <w:lang w:val="en-US" w:eastAsia="zh-CN"/>
        </w:rPr>
        <w:t xml:space="preserve"> </w:t>
      </w:r>
      <w:r>
        <w:rPr>
          <w:rFonts w:hint="eastAsia" w:cs="Times New Roman"/>
          <w:sz w:val="32"/>
          <w:szCs w:val="32"/>
          <w:lang w:val="en-US" w:eastAsia="zh-CN"/>
        </w:rPr>
        <w:t xml:space="preserve">    （</w:t>
      </w:r>
      <w:r>
        <w:rPr>
          <w:rFonts w:hint="default" w:ascii="Times New Roman" w:hAnsi="Times New Roman" w:eastAsia="仿宋_GB2312" w:cs="Times New Roman"/>
          <w:sz w:val="32"/>
          <w:szCs w:val="32"/>
          <w:lang w:val="en-US" w:eastAsia="zh-CN"/>
        </w:rPr>
        <w:t>联系电话：</w:t>
      </w:r>
      <w:r>
        <w:rPr>
          <w:rFonts w:hint="eastAsia" w:cs="Times New Roman"/>
          <w:sz w:val="32"/>
          <w:szCs w:val="32"/>
          <w:lang w:val="en-US" w:eastAsia="zh-CN"/>
        </w:rPr>
        <w:t>58667313）</w:t>
      </w:r>
    </w:p>
    <w:p w14:paraId="3C9E7549">
      <w:pPr>
        <w:rPr>
          <w:rFonts w:hint="eastAsia" w:cs="Times New Roman"/>
          <w:sz w:val="32"/>
          <w:szCs w:val="32"/>
          <w:lang w:val="en-US" w:eastAsia="zh-CN"/>
        </w:rPr>
      </w:pPr>
    </w:p>
    <w:p w14:paraId="2AD4C356">
      <w:pPr>
        <w:rPr>
          <w:rFonts w:hint="eastAsia" w:cs="Times New Roman"/>
          <w:sz w:val="32"/>
          <w:szCs w:val="32"/>
          <w:lang w:val="en-US" w:eastAsia="zh-CN"/>
        </w:rPr>
      </w:pPr>
    </w:p>
    <w:p w14:paraId="1A7685EC">
      <w:pPr>
        <w:rPr>
          <w:rFonts w:hint="eastAsia" w:cs="Times New Roman"/>
          <w:sz w:val="32"/>
          <w:szCs w:val="32"/>
          <w:lang w:val="en-US" w:eastAsia="zh-CN"/>
        </w:rPr>
      </w:pPr>
    </w:p>
    <w:p w14:paraId="6A5C88E9">
      <w:pPr>
        <w:widowControl w:val="0"/>
        <w:wordWrap/>
        <w:adjustRightInd/>
        <w:snapToGrid/>
        <w:spacing w:line="160" w:lineRule="exact"/>
        <w:ind w:left="0" w:leftChars="0" w:right="0" w:firstLine="0" w:firstLineChars="0"/>
        <w:jc w:val="both"/>
        <w:textAlignment w:val="auto"/>
        <w:outlineLvl w:val="9"/>
        <w:rPr>
          <w:rFonts w:eastAsia="仿宋_GB2312"/>
          <w:szCs w:val="32"/>
        </w:rPr>
      </w:pPr>
    </w:p>
    <w:sectPr>
      <w:headerReference r:id="rId3" w:type="default"/>
      <w:footerReference r:id="rId4" w:type="default"/>
      <w:pgSz w:w="11906" w:h="16838"/>
      <w:pgMar w:top="2098" w:right="1474" w:bottom="1985" w:left="1588"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文星简美黑">
    <w:altName w:val="黑体"/>
    <w:panose1 w:val="02010609000101010101"/>
    <w:charset w:val="86"/>
    <w:family w:val="modern"/>
    <w:pitch w:val="default"/>
    <w:sig w:usb0="00000000" w:usb1="00000000" w:usb2="00000000" w:usb3="00000000" w:csb0="00000000" w:csb1="00000000"/>
  </w:font>
  <w:font w:name="方正小标宋_GBK">
    <w:panose1 w:val="02000000000000000000"/>
    <w:charset w:val="86"/>
    <w:family w:val="auto"/>
    <w:pitch w:val="default"/>
    <w:sig w:usb0="00000001" w:usb1="080E0000" w:usb2="00000000" w:usb3="00000000" w:csb0="00040000" w:csb1="00000000"/>
  </w:font>
  <w:font w:name="文星标宋">
    <w:altName w:val="微软雅黑"/>
    <w:panose1 w:val="02010604000101010101"/>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550D5">
    <w:pPr>
      <w:pStyle w:val="4"/>
      <w:framePr w:wrap="around" w:vAnchor="text" w:hAnchor="margin" w:xAlign="outside" w:y="2"/>
    </w:pPr>
    <w:r>
      <w:rPr>
        <w:rStyle w:val="13"/>
        <w:rFonts w:hint="eastAsia" w:ascii="宋体" w:hAnsi="宋体" w:eastAsia="宋体"/>
        <w:sz w:val="28"/>
        <w:szCs w:val="28"/>
      </w:rPr>
      <w:t xml:space="preserve">— </w:t>
    </w:r>
    <w:r>
      <w:rPr>
        <w:rFonts w:hint="eastAsia" w:ascii="宋体" w:hAnsi="宋体" w:eastAsia="宋体"/>
        <w:sz w:val="28"/>
        <w:szCs w:val="28"/>
      </w:rPr>
      <w:fldChar w:fldCharType="begin"/>
    </w:r>
    <w:r>
      <w:rPr>
        <w:rStyle w:val="13"/>
        <w:rFonts w:hint="eastAsia" w:ascii="宋体" w:hAnsi="宋体" w:eastAsia="宋体"/>
        <w:sz w:val="28"/>
        <w:szCs w:val="28"/>
      </w:rPr>
      <w:instrText xml:space="preserve">PAGE  </w:instrText>
    </w:r>
    <w:r>
      <w:rPr>
        <w:rFonts w:hint="eastAsia" w:ascii="宋体" w:hAnsi="宋体" w:eastAsia="宋体"/>
        <w:sz w:val="28"/>
        <w:szCs w:val="28"/>
      </w:rPr>
      <w:fldChar w:fldCharType="separate"/>
    </w:r>
    <w:r>
      <w:rPr>
        <w:rStyle w:val="13"/>
        <w:rFonts w:hint="eastAsia" w:ascii="宋体" w:hAnsi="宋体" w:eastAsia="宋体"/>
        <w:sz w:val="28"/>
        <w:szCs w:val="28"/>
      </w:rPr>
      <w:t>1</w:t>
    </w:r>
    <w:r>
      <w:rPr>
        <w:rFonts w:hint="eastAsia" w:ascii="宋体" w:hAnsi="宋体" w:eastAsia="宋体"/>
        <w:sz w:val="28"/>
        <w:szCs w:val="28"/>
      </w:rPr>
      <w:fldChar w:fldCharType="end"/>
    </w:r>
    <w:r>
      <w:rPr>
        <w:rStyle w:val="13"/>
        <w:rFonts w:hint="eastAsia" w:ascii="宋体" w:hAnsi="宋体" w:eastAsia="宋体"/>
        <w:sz w:val="28"/>
        <w:szCs w:val="28"/>
      </w:rPr>
      <w:t xml:space="preserve"> —</w:t>
    </w:r>
  </w:p>
  <w:p w14:paraId="269B61D0">
    <w:pPr>
      <w:pStyle w:val="4"/>
      <w:ind w:right="360"/>
    </w:pPr>
  </w:p>
  <w:p w14:paraId="66520C6C">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B4813">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09C054"/>
    <w:multiLevelType w:val="singleLevel"/>
    <w:tmpl w:val="8509C054"/>
    <w:lvl w:ilvl="0" w:tentative="0">
      <w:start w:val="2"/>
      <w:numFmt w:val="decimal"/>
      <w:suff w:val="nothing"/>
      <w:lvlText w:val="%1．"/>
      <w:lvlJc w:val="left"/>
      <w:pPr>
        <w:ind w:left="160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1"/>
  <w:bordersDoNotSurroundFooter w:val="1"/>
  <w:documentProtection w:enforcement="0"/>
  <w:defaultTabStop w:val="420"/>
  <w:drawingGridHorizontalSpacing w:val="160"/>
  <w:drawingGridVerticalSpacing w:val="435"/>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yNzE5Y2YxMGIxOGQzZTJkZTliMjQzYTYwOTU1MDQifQ=="/>
  </w:docVars>
  <w:rsids>
    <w:rsidRoot w:val="009213FE"/>
    <w:rsid w:val="0002519F"/>
    <w:rsid w:val="0003421A"/>
    <w:rsid w:val="00043FD3"/>
    <w:rsid w:val="0005057E"/>
    <w:rsid w:val="0005071B"/>
    <w:rsid w:val="00073560"/>
    <w:rsid w:val="00073AD8"/>
    <w:rsid w:val="00077C08"/>
    <w:rsid w:val="000841CD"/>
    <w:rsid w:val="00087DC5"/>
    <w:rsid w:val="00091C3D"/>
    <w:rsid w:val="000A47C7"/>
    <w:rsid w:val="000A47F2"/>
    <w:rsid w:val="000A7FE6"/>
    <w:rsid w:val="000B0C55"/>
    <w:rsid w:val="000B3659"/>
    <w:rsid w:val="000B72E2"/>
    <w:rsid w:val="000C0AA2"/>
    <w:rsid w:val="000C2592"/>
    <w:rsid w:val="000C64A8"/>
    <w:rsid w:val="000C6629"/>
    <w:rsid w:val="000C6E65"/>
    <w:rsid w:val="000D070C"/>
    <w:rsid w:val="000D1775"/>
    <w:rsid w:val="000D17CF"/>
    <w:rsid w:val="000D3385"/>
    <w:rsid w:val="000D6059"/>
    <w:rsid w:val="000E3183"/>
    <w:rsid w:val="000F31F3"/>
    <w:rsid w:val="000F391A"/>
    <w:rsid w:val="001109EB"/>
    <w:rsid w:val="00116C82"/>
    <w:rsid w:val="001229AC"/>
    <w:rsid w:val="001319B2"/>
    <w:rsid w:val="0013757A"/>
    <w:rsid w:val="0014024E"/>
    <w:rsid w:val="00140883"/>
    <w:rsid w:val="00142AB8"/>
    <w:rsid w:val="001647F6"/>
    <w:rsid w:val="0017094C"/>
    <w:rsid w:val="0017444A"/>
    <w:rsid w:val="00176B10"/>
    <w:rsid w:val="00183D9B"/>
    <w:rsid w:val="001A0DD2"/>
    <w:rsid w:val="001A21C8"/>
    <w:rsid w:val="001A4364"/>
    <w:rsid w:val="001C0CAD"/>
    <w:rsid w:val="001E4630"/>
    <w:rsid w:val="001E4ED4"/>
    <w:rsid w:val="001F24B3"/>
    <w:rsid w:val="00200761"/>
    <w:rsid w:val="00207754"/>
    <w:rsid w:val="0022286A"/>
    <w:rsid w:val="002228C2"/>
    <w:rsid w:val="00227EC9"/>
    <w:rsid w:val="002430BE"/>
    <w:rsid w:val="00243569"/>
    <w:rsid w:val="002440E3"/>
    <w:rsid w:val="002549EF"/>
    <w:rsid w:val="00256F00"/>
    <w:rsid w:val="00260241"/>
    <w:rsid w:val="002612CD"/>
    <w:rsid w:val="00272D64"/>
    <w:rsid w:val="00274547"/>
    <w:rsid w:val="00276239"/>
    <w:rsid w:val="0027791D"/>
    <w:rsid w:val="00286BE8"/>
    <w:rsid w:val="002A4565"/>
    <w:rsid w:val="002C0FEF"/>
    <w:rsid w:val="002D0857"/>
    <w:rsid w:val="002D305F"/>
    <w:rsid w:val="002D491F"/>
    <w:rsid w:val="002E522C"/>
    <w:rsid w:val="002F3AD8"/>
    <w:rsid w:val="002F6E3B"/>
    <w:rsid w:val="00303ED1"/>
    <w:rsid w:val="00306953"/>
    <w:rsid w:val="0031033F"/>
    <w:rsid w:val="003174EF"/>
    <w:rsid w:val="00317958"/>
    <w:rsid w:val="00321024"/>
    <w:rsid w:val="00323003"/>
    <w:rsid w:val="003361D4"/>
    <w:rsid w:val="00360415"/>
    <w:rsid w:val="0037077B"/>
    <w:rsid w:val="00371E6D"/>
    <w:rsid w:val="003772CF"/>
    <w:rsid w:val="00380D42"/>
    <w:rsid w:val="00382F33"/>
    <w:rsid w:val="00395C1D"/>
    <w:rsid w:val="003A1C4E"/>
    <w:rsid w:val="003A5803"/>
    <w:rsid w:val="003D47EA"/>
    <w:rsid w:val="003D5066"/>
    <w:rsid w:val="003D636E"/>
    <w:rsid w:val="003F0049"/>
    <w:rsid w:val="003F2BC7"/>
    <w:rsid w:val="00414D2F"/>
    <w:rsid w:val="00416629"/>
    <w:rsid w:val="0042494C"/>
    <w:rsid w:val="00434342"/>
    <w:rsid w:val="0044226B"/>
    <w:rsid w:val="00442FDA"/>
    <w:rsid w:val="00450909"/>
    <w:rsid w:val="00454F3B"/>
    <w:rsid w:val="00466700"/>
    <w:rsid w:val="004822DF"/>
    <w:rsid w:val="00490D4E"/>
    <w:rsid w:val="00491D2A"/>
    <w:rsid w:val="0049753F"/>
    <w:rsid w:val="00497902"/>
    <w:rsid w:val="004A5366"/>
    <w:rsid w:val="004A5DBD"/>
    <w:rsid w:val="004A6917"/>
    <w:rsid w:val="004B09B6"/>
    <w:rsid w:val="004C2CE8"/>
    <w:rsid w:val="004C2E73"/>
    <w:rsid w:val="004C5FF8"/>
    <w:rsid w:val="004E5B46"/>
    <w:rsid w:val="004F209B"/>
    <w:rsid w:val="004F2546"/>
    <w:rsid w:val="004F3659"/>
    <w:rsid w:val="00501E00"/>
    <w:rsid w:val="005037DE"/>
    <w:rsid w:val="00505EF5"/>
    <w:rsid w:val="005155EC"/>
    <w:rsid w:val="005166A6"/>
    <w:rsid w:val="00524562"/>
    <w:rsid w:val="00525948"/>
    <w:rsid w:val="005274A1"/>
    <w:rsid w:val="00530B39"/>
    <w:rsid w:val="00545E6F"/>
    <w:rsid w:val="005553D0"/>
    <w:rsid w:val="00555F69"/>
    <w:rsid w:val="00562F1E"/>
    <w:rsid w:val="00566446"/>
    <w:rsid w:val="005670F7"/>
    <w:rsid w:val="005708F5"/>
    <w:rsid w:val="0057413C"/>
    <w:rsid w:val="00577BF3"/>
    <w:rsid w:val="0058372B"/>
    <w:rsid w:val="005933EA"/>
    <w:rsid w:val="005B3056"/>
    <w:rsid w:val="005B3DA4"/>
    <w:rsid w:val="005B3EA7"/>
    <w:rsid w:val="005D0363"/>
    <w:rsid w:val="005D5CD6"/>
    <w:rsid w:val="005E0163"/>
    <w:rsid w:val="005E6B49"/>
    <w:rsid w:val="005F5798"/>
    <w:rsid w:val="006003F4"/>
    <w:rsid w:val="006109BB"/>
    <w:rsid w:val="006174A9"/>
    <w:rsid w:val="006212F5"/>
    <w:rsid w:val="00633E44"/>
    <w:rsid w:val="0063555D"/>
    <w:rsid w:val="006445C7"/>
    <w:rsid w:val="006446D4"/>
    <w:rsid w:val="00660071"/>
    <w:rsid w:val="0066478B"/>
    <w:rsid w:val="006671DE"/>
    <w:rsid w:val="006872A4"/>
    <w:rsid w:val="0069196D"/>
    <w:rsid w:val="006929EC"/>
    <w:rsid w:val="00697738"/>
    <w:rsid w:val="00697B57"/>
    <w:rsid w:val="006A1D89"/>
    <w:rsid w:val="006A1DB3"/>
    <w:rsid w:val="006A601D"/>
    <w:rsid w:val="006A6F8F"/>
    <w:rsid w:val="006B204A"/>
    <w:rsid w:val="006B638D"/>
    <w:rsid w:val="006C1EC7"/>
    <w:rsid w:val="006D78FE"/>
    <w:rsid w:val="006E037E"/>
    <w:rsid w:val="006E3807"/>
    <w:rsid w:val="006E3BFB"/>
    <w:rsid w:val="00710F9A"/>
    <w:rsid w:val="00711520"/>
    <w:rsid w:val="0072227A"/>
    <w:rsid w:val="007228DE"/>
    <w:rsid w:val="00732578"/>
    <w:rsid w:val="00736D03"/>
    <w:rsid w:val="00740B47"/>
    <w:rsid w:val="00744D7B"/>
    <w:rsid w:val="00745434"/>
    <w:rsid w:val="007459A8"/>
    <w:rsid w:val="00756BB8"/>
    <w:rsid w:val="00764C56"/>
    <w:rsid w:val="00764D25"/>
    <w:rsid w:val="0077143E"/>
    <w:rsid w:val="0077383E"/>
    <w:rsid w:val="007741C4"/>
    <w:rsid w:val="00786CB4"/>
    <w:rsid w:val="007876FA"/>
    <w:rsid w:val="00793CF6"/>
    <w:rsid w:val="007B439F"/>
    <w:rsid w:val="007B4989"/>
    <w:rsid w:val="007D494A"/>
    <w:rsid w:val="007E5CA9"/>
    <w:rsid w:val="007E62D6"/>
    <w:rsid w:val="007F1CE8"/>
    <w:rsid w:val="007F1FD6"/>
    <w:rsid w:val="007F77D8"/>
    <w:rsid w:val="0080075F"/>
    <w:rsid w:val="00805E97"/>
    <w:rsid w:val="00807E08"/>
    <w:rsid w:val="0081183D"/>
    <w:rsid w:val="00817149"/>
    <w:rsid w:val="00832EEA"/>
    <w:rsid w:val="00834173"/>
    <w:rsid w:val="0083424D"/>
    <w:rsid w:val="00842A86"/>
    <w:rsid w:val="00850795"/>
    <w:rsid w:val="00860499"/>
    <w:rsid w:val="00862FD4"/>
    <w:rsid w:val="00881AF9"/>
    <w:rsid w:val="00885A8D"/>
    <w:rsid w:val="008868E1"/>
    <w:rsid w:val="00895FA4"/>
    <w:rsid w:val="0089659D"/>
    <w:rsid w:val="008965D5"/>
    <w:rsid w:val="008965F5"/>
    <w:rsid w:val="008A2C53"/>
    <w:rsid w:val="008A654E"/>
    <w:rsid w:val="008A6F75"/>
    <w:rsid w:val="008B3DDB"/>
    <w:rsid w:val="008C1DFB"/>
    <w:rsid w:val="008C1ED9"/>
    <w:rsid w:val="008C3341"/>
    <w:rsid w:val="008C3548"/>
    <w:rsid w:val="008C5441"/>
    <w:rsid w:val="008C689F"/>
    <w:rsid w:val="008C7310"/>
    <w:rsid w:val="008C7687"/>
    <w:rsid w:val="008D1FBA"/>
    <w:rsid w:val="008D6C99"/>
    <w:rsid w:val="008E4BB0"/>
    <w:rsid w:val="00907A73"/>
    <w:rsid w:val="009156FD"/>
    <w:rsid w:val="009213FE"/>
    <w:rsid w:val="009352A7"/>
    <w:rsid w:val="009414E9"/>
    <w:rsid w:val="00947F31"/>
    <w:rsid w:val="00952155"/>
    <w:rsid w:val="00955D2C"/>
    <w:rsid w:val="0096137E"/>
    <w:rsid w:val="009703EE"/>
    <w:rsid w:val="009827E2"/>
    <w:rsid w:val="00983624"/>
    <w:rsid w:val="00985B1A"/>
    <w:rsid w:val="00987AD5"/>
    <w:rsid w:val="009924A7"/>
    <w:rsid w:val="0099315F"/>
    <w:rsid w:val="00993966"/>
    <w:rsid w:val="00994E03"/>
    <w:rsid w:val="009A1F1D"/>
    <w:rsid w:val="009A7606"/>
    <w:rsid w:val="009B0DE3"/>
    <w:rsid w:val="009B5E20"/>
    <w:rsid w:val="009C483F"/>
    <w:rsid w:val="009C7712"/>
    <w:rsid w:val="009D0559"/>
    <w:rsid w:val="009E08BA"/>
    <w:rsid w:val="00A06673"/>
    <w:rsid w:val="00A07805"/>
    <w:rsid w:val="00A20E19"/>
    <w:rsid w:val="00A217BA"/>
    <w:rsid w:val="00A21AF1"/>
    <w:rsid w:val="00A24EB8"/>
    <w:rsid w:val="00A30290"/>
    <w:rsid w:val="00A31A39"/>
    <w:rsid w:val="00A31F3C"/>
    <w:rsid w:val="00A52F67"/>
    <w:rsid w:val="00A5704D"/>
    <w:rsid w:val="00A64304"/>
    <w:rsid w:val="00A65915"/>
    <w:rsid w:val="00A71CE5"/>
    <w:rsid w:val="00A72C33"/>
    <w:rsid w:val="00A75577"/>
    <w:rsid w:val="00A8028C"/>
    <w:rsid w:val="00A84749"/>
    <w:rsid w:val="00AB5431"/>
    <w:rsid w:val="00AB5F2D"/>
    <w:rsid w:val="00AB7F67"/>
    <w:rsid w:val="00AC4B5C"/>
    <w:rsid w:val="00AD123B"/>
    <w:rsid w:val="00AE7914"/>
    <w:rsid w:val="00AF14E1"/>
    <w:rsid w:val="00AF2A67"/>
    <w:rsid w:val="00B06985"/>
    <w:rsid w:val="00B07D47"/>
    <w:rsid w:val="00B111E5"/>
    <w:rsid w:val="00B14D02"/>
    <w:rsid w:val="00B15202"/>
    <w:rsid w:val="00B1656C"/>
    <w:rsid w:val="00B21AA8"/>
    <w:rsid w:val="00B21D9D"/>
    <w:rsid w:val="00B37982"/>
    <w:rsid w:val="00B44145"/>
    <w:rsid w:val="00B45E01"/>
    <w:rsid w:val="00B6601F"/>
    <w:rsid w:val="00B7012D"/>
    <w:rsid w:val="00B82FA1"/>
    <w:rsid w:val="00B84AFD"/>
    <w:rsid w:val="00B87600"/>
    <w:rsid w:val="00B876D9"/>
    <w:rsid w:val="00B9762F"/>
    <w:rsid w:val="00BA2A82"/>
    <w:rsid w:val="00BB590B"/>
    <w:rsid w:val="00BB7BC9"/>
    <w:rsid w:val="00BC18A3"/>
    <w:rsid w:val="00BC4143"/>
    <w:rsid w:val="00BD0FE7"/>
    <w:rsid w:val="00BD47D4"/>
    <w:rsid w:val="00BD70F7"/>
    <w:rsid w:val="00BD75F1"/>
    <w:rsid w:val="00BE4EB3"/>
    <w:rsid w:val="00BF12D2"/>
    <w:rsid w:val="00BF2BA3"/>
    <w:rsid w:val="00BF2C2C"/>
    <w:rsid w:val="00BF38B0"/>
    <w:rsid w:val="00BF5732"/>
    <w:rsid w:val="00BF764F"/>
    <w:rsid w:val="00C0478A"/>
    <w:rsid w:val="00C07C12"/>
    <w:rsid w:val="00C12BE0"/>
    <w:rsid w:val="00C154C5"/>
    <w:rsid w:val="00C1747A"/>
    <w:rsid w:val="00C21A94"/>
    <w:rsid w:val="00C229ED"/>
    <w:rsid w:val="00C25CD4"/>
    <w:rsid w:val="00C26082"/>
    <w:rsid w:val="00C33548"/>
    <w:rsid w:val="00C37296"/>
    <w:rsid w:val="00C5372F"/>
    <w:rsid w:val="00C540E8"/>
    <w:rsid w:val="00C57019"/>
    <w:rsid w:val="00C65AF8"/>
    <w:rsid w:val="00C82663"/>
    <w:rsid w:val="00C875A2"/>
    <w:rsid w:val="00C9477A"/>
    <w:rsid w:val="00C95706"/>
    <w:rsid w:val="00C965E4"/>
    <w:rsid w:val="00C97DE0"/>
    <w:rsid w:val="00CA36D0"/>
    <w:rsid w:val="00CA69C4"/>
    <w:rsid w:val="00CA6E31"/>
    <w:rsid w:val="00CA77BE"/>
    <w:rsid w:val="00CB1965"/>
    <w:rsid w:val="00CB2C1C"/>
    <w:rsid w:val="00CB6C58"/>
    <w:rsid w:val="00CC1FD8"/>
    <w:rsid w:val="00CC4384"/>
    <w:rsid w:val="00CC5BE8"/>
    <w:rsid w:val="00CC626A"/>
    <w:rsid w:val="00CD1DFB"/>
    <w:rsid w:val="00CD294C"/>
    <w:rsid w:val="00CE30BE"/>
    <w:rsid w:val="00CF0416"/>
    <w:rsid w:val="00CF3675"/>
    <w:rsid w:val="00CF5310"/>
    <w:rsid w:val="00CF6286"/>
    <w:rsid w:val="00CF6BB4"/>
    <w:rsid w:val="00D0174E"/>
    <w:rsid w:val="00D20F4A"/>
    <w:rsid w:val="00D23538"/>
    <w:rsid w:val="00D23DEB"/>
    <w:rsid w:val="00D30A66"/>
    <w:rsid w:val="00D3317F"/>
    <w:rsid w:val="00D4201B"/>
    <w:rsid w:val="00D43538"/>
    <w:rsid w:val="00D44D05"/>
    <w:rsid w:val="00D462F1"/>
    <w:rsid w:val="00D51E6C"/>
    <w:rsid w:val="00D60EE2"/>
    <w:rsid w:val="00D7175D"/>
    <w:rsid w:val="00D91AA6"/>
    <w:rsid w:val="00D9308C"/>
    <w:rsid w:val="00D933AB"/>
    <w:rsid w:val="00D95D72"/>
    <w:rsid w:val="00DA684A"/>
    <w:rsid w:val="00DB42B6"/>
    <w:rsid w:val="00DC2CFE"/>
    <w:rsid w:val="00DC30C2"/>
    <w:rsid w:val="00DD4207"/>
    <w:rsid w:val="00DF1BF9"/>
    <w:rsid w:val="00DF2DCA"/>
    <w:rsid w:val="00DF3CF4"/>
    <w:rsid w:val="00DF4056"/>
    <w:rsid w:val="00E05633"/>
    <w:rsid w:val="00E127FB"/>
    <w:rsid w:val="00E337D1"/>
    <w:rsid w:val="00E45B6B"/>
    <w:rsid w:val="00E46A21"/>
    <w:rsid w:val="00E57EF0"/>
    <w:rsid w:val="00E631EB"/>
    <w:rsid w:val="00E65515"/>
    <w:rsid w:val="00E72B86"/>
    <w:rsid w:val="00E76C27"/>
    <w:rsid w:val="00E7769B"/>
    <w:rsid w:val="00E810B4"/>
    <w:rsid w:val="00E81F84"/>
    <w:rsid w:val="00E8212E"/>
    <w:rsid w:val="00E83B97"/>
    <w:rsid w:val="00E9220F"/>
    <w:rsid w:val="00E9707D"/>
    <w:rsid w:val="00EA6CF9"/>
    <w:rsid w:val="00EA7148"/>
    <w:rsid w:val="00EB68BA"/>
    <w:rsid w:val="00ED1A19"/>
    <w:rsid w:val="00ED381B"/>
    <w:rsid w:val="00ED530C"/>
    <w:rsid w:val="00ED7523"/>
    <w:rsid w:val="00EE3832"/>
    <w:rsid w:val="00EE54FC"/>
    <w:rsid w:val="00F021DF"/>
    <w:rsid w:val="00F21C77"/>
    <w:rsid w:val="00F22843"/>
    <w:rsid w:val="00F273F7"/>
    <w:rsid w:val="00F32996"/>
    <w:rsid w:val="00F479A2"/>
    <w:rsid w:val="00F54FC5"/>
    <w:rsid w:val="00F624CB"/>
    <w:rsid w:val="00F62F11"/>
    <w:rsid w:val="00F63D8F"/>
    <w:rsid w:val="00F86666"/>
    <w:rsid w:val="00F92119"/>
    <w:rsid w:val="00F92274"/>
    <w:rsid w:val="00F97729"/>
    <w:rsid w:val="00FA1A56"/>
    <w:rsid w:val="00FA6076"/>
    <w:rsid w:val="00FA6C7A"/>
    <w:rsid w:val="00FB1E79"/>
    <w:rsid w:val="00FB223F"/>
    <w:rsid w:val="00FB30C0"/>
    <w:rsid w:val="00FB38A0"/>
    <w:rsid w:val="00FC0821"/>
    <w:rsid w:val="00FC2E10"/>
    <w:rsid w:val="00FC5A26"/>
    <w:rsid w:val="00FC5D4A"/>
    <w:rsid w:val="00FD115C"/>
    <w:rsid w:val="00FD1227"/>
    <w:rsid w:val="00FD44CC"/>
    <w:rsid w:val="00FE1595"/>
    <w:rsid w:val="00FE2F28"/>
    <w:rsid w:val="00FE3619"/>
    <w:rsid w:val="01CB6780"/>
    <w:rsid w:val="020E6E6E"/>
    <w:rsid w:val="03456EEA"/>
    <w:rsid w:val="037A1943"/>
    <w:rsid w:val="045E5439"/>
    <w:rsid w:val="04FC07BA"/>
    <w:rsid w:val="070B3D9D"/>
    <w:rsid w:val="08054046"/>
    <w:rsid w:val="083D00A5"/>
    <w:rsid w:val="08A54080"/>
    <w:rsid w:val="09455D5C"/>
    <w:rsid w:val="09EC3E56"/>
    <w:rsid w:val="09FD1B72"/>
    <w:rsid w:val="0AA74589"/>
    <w:rsid w:val="0BB721C8"/>
    <w:rsid w:val="0BCD656A"/>
    <w:rsid w:val="0CD21F41"/>
    <w:rsid w:val="0CE723E3"/>
    <w:rsid w:val="0CEC47C3"/>
    <w:rsid w:val="0D6E3A97"/>
    <w:rsid w:val="0EB360A5"/>
    <w:rsid w:val="0F2737BD"/>
    <w:rsid w:val="10D07C7C"/>
    <w:rsid w:val="10E21B62"/>
    <w:rsid w:val="123A23F6"/>
    <w:rsid w:val="1253551F"/>
    <w:rsid w:val="12A56AFC"/>
    <w:rsid w:val="12CC1965"/>
    <w:rsid w:val="14391EBC"/>
    <w:rsid w:val="14503CE0"/>
    <w:rsid w:val="15071C47"/>
    <w:rsid w:val="150E0C1B"/>
    <w:rsid w:val="15460D75"/>
    <w:rsid w:val="18867D57"/>
    <w:rsid w:val="18BB16A1"/>
    <w:rsid w:val="19062897"/>
    <w:rsid w:val="19D51DED"/>
    <w:rsid w:val="19FA202D"/>
    <w:rsid w:val="1A265FD0"/>
    <w:rsid w:val="1AEE3BBF"/>
    <w:rsid w:val="1BDF56C5"/>
    <w:rsid w:val="1D812873"/>
    <w:rsid w:val="1DE44FAA"/>
    <w:rsid w:val="1E937238"/>
    <w:rsid w:val="2014062E"/>
    <w:rsid w:val="203574D2"/>
    <w:rsid w:val="20F4351F"/>
    <w:rsid w:val="21237107"/>
    <w:rsid w:val="21243CEE"/>
    <w:rsid w:val="21BF3EED"/>
    <w:rsid w:val="24267B5E"/>
    <w:rsid w:val="25A869D6"/>
    <w:rsid w:val="268818C7"/>
    <w:rsid w:val="27657FB0"/>
    <w:rsid w:val="27A33318"/>
    <w:rsid w:val="27D71A3B"/>
    <w:rsid w:val="29621FF4"/>
    <w:rsid w:val="2970130A"/>
    <w:rsid w:val="299172C0"/>
    <w:rsid w:val="2A3B1CD8"/>
    <w:rsid w:val="2A847B4D"/>
    <w:rsid w:val="2AFE7209"/>
    <w:rsid w:val="2B20324F"/>
    <w:rsid w:val="2B210CD1"/>
    <w:rsid w:val="2B683643"/>
    <w:rsid w:val="2BD21AD0"/>
    <w:rsid w:val="2C1837E7"/>
    <w:rsid w:val="2C2E07F7"/>
    <w:rsid w:val="2C38629A"/>
    <w:rsid w:val="2C4747CF"/>
    <w:rsid w:val="2CFD14DB"/>
    <w:rsid w:val="2D067890"/>
    <w:rsid w:val="2DCC08AF"/>
    <w:rsid w:val="30232088"/>
    <w:rsid w:val="315C5288"/>
    <w:rsid w:val="31BE78AB"/>
    <w:rsid w:val="32A50AA2"/>
    <w:rsid w:val="33984BB2"/>
    <w:rsid w:val="33E54CB2"/>
    <w:rsid w:val="34E1085B"/>
    <w:rsid w:val="361A26D3"/>
    <w:rsid w:val="36EC2A2B"/>
    <w:rsid w:val="36F05BAE"/>
    <w:rsid w:val="36F570EA"/>
    <w:rsid w:val="37227D0E"/>
    <w:rsid w:val="383F002B"/>
    <w:rsid w:val="38895CD0"/>
    <w:rsid w:val="390648D6"/>
    <w:rsid w:val="3AA03DA1"/>
    <w:rsid w:val="3B15087C"/>
    <w:rsid w:val="3B3B10CF"/>
    <w:rsid w:val="3B7C1525"/>
    <w:rsid w:val="3BAE2FF9"/>
    <w:rsid w:val="3C7E45CB"/>
    <w:rsid w:val="3CB834AB"/>
    <w:rsid w:val="3D263ADF"/>
    <w:rsid w:val="3DC56972"/>
    <w:rsid w:val="3E9221DD"/>
    <w:rsid w:val="3FB03189"/>
    <w:rsid w:val="3FC91B34"/>
    <w:rsid w:val="401776B5"/>
    <w:rsid w:val="4061461E"/>
    <w:rsid w:val="40F67780"/>
    <w:rsid w:val="413A0BC9"/>
    <w:rsid w:val="418006C5"/>
    <w:rsid w:val="41A67DC1"/>
    <w:rsid w:val="430C640E"/>
    <w:rsid w:val="431A68BE"/>
    <w:rsid w:val="43485C78"/>
    <w:rsid w:val="43AB2A94"/>
    <w:rsid w:val="43C9668D"/>
    <w:rsid w:val="43F829C4"/>
    <w:rsid w:val="442711C5"/>
    <w:rsid w:val="446E1E72"/>
    <w:rsid w:val="44773462"/>
    <w:rsid w:val="448501F9"/>
    <w:rsid w:val="47A9421E"/>
    <w:rsid w:val="48FA51EE"/>
    <w:rsid w:val="49AF6B95"/>
    <w:rsid w:val="4A0B180A"/>
    <w:rsid w:val="4A0C728B"/>
    <w:rsid w:val="4A0D4D0D"/>
    <w:rsid w:val="4B0B37C9"/>
    <w:rsid w:val="4B151CBC"/>
    <w:rsid w:val="4B9C73B6"/>
    <w:rsid w:val="4BDB2BB3"/>
    <w:rsid w:val="4C4179AC"/>
    <w:rsid w:val="4D42484F"/>
    <w:rsid w:val="4EE10A78"/>
    <w:rsid w:val="4F416513"/>
    <w:rsid w:val="505B5050"/>
    <w:rsid w:val="510A6860"/>
    <w:rsid w:val="51865194"/>
    <w:rsid w:val="51A2607D"/>
    <w:rsid w:val="527F142A"/>
    <w:rsid w:val="530C41FF"/>
    <w:rsid w:val="53373F15"/>
    <w:rsid w:val="533D001D"/>
    <w:rsid w:val="534D60B9"/>
    <w:rsid w:val="541A1F8A"/>
    <w:rsid w:val="54930A9D"/>
    <w:rsid w:val="549714CF"/>
    <w:rsid w:val="54D05D83"/>
    <w:rsid w:val="5510701F"/>
    <w:rsid w:val="56DC73C0"/>
    <w:rsid w:val="57470E3C"/>
    <w:rsid w:val="5809697C"/>
    <w:rsid w:val="58664B17"/>
    <w:rsid w:val="59710E6F"/>
    <w:rsid w:val="5B615779"/>
    <w:rsid w:val="5C6F5A14"/>
    <w:rsid w:val="5C8E4F60"/>
    <w:rsid w:val="5D335675"/>
    <w:rsid w:val="5D816BD4"/>
    <w:rsid w:val="5DDC5850"/>
    <w:rsid w:val="5EF81ADD"/>
    <w:rsid w:val="5F081D78"/>
    <w:rsid w:val="60002310"/>
    <w:rsid w:val="60F560A0"/>
    <w:rsid w:val="63D619DB"/>
    <w:rsid w:val="64DB2183"/>
    <w:rsid w:val="66246CA2"/>
    <w:rsid w:val="66393436"/>
    <w:rsid w:val="665C444B"/>
    <w:rsid w:val="66B71A94"/>
    <w:rsid w:val="66BC3950"/>
    <w:rsid w:val="673A29F1"/>
    <w:rsid w:val="67F56F1D"/>
    <w:rsid w:val="68E00A78"/>
    <w:rsid w:val="69341E28"/>
    <w:rsid w:val="698C5D3A"/>
    <w:rsid w:val="69DD6893"/>
    <w:rsid w:val="69F369E3"/>
    <w:rsid w:val="6ABE192F"/>
    <w:rsid w:val="6B161FBD"/>
    <w:rsid w:val="6B34156D"/>
    <w:rsid w:val="6C01543E"/>
    <w:rsid w:val="6C9172AB"/>
    <w:rsid w:val="6DF41EBC"/>
    <w:rsid w:val="6E002985"/>
    <w:rsid w:val="6ED2097B"/>
    <w:rsid w:val="6F826AA6"/>
    <w:rsid w:val="6FA43110"/>
    <w:rsid w:val="6FBF7ADA"/>
    <w:rsid w:val="70363C29"/>
    <w:rsid w:val="706C2AA2"/>
    <w:rsid w:val="70B40C75"/>
    <w:rsid w:val="71944ECF"/>
    <w:rsid w:val="71B7759E"/>
    <w:rsid w:val="72B22CB9"/>
    <w:rsid w:val="732E3907"/>
    <w:rsid w:val="73794C80"/>
    <w:rsid w:val="741B4B6E"/>
    <w:rsid w:val="752B4646"/>
    <w:rsid w:val="75447C44"/>
    <w:rsid w:val="758C33E6"/>
    <w:rsid w:val="75CD7253"/>
    <w:rsid w:val="766259C8"/>
    <w:rsid w:val="77B746D8"/>
    <w:rsid w:val="793B1DCD"/>
    <w:rsid w:val="79E60B0D"/>
    <w:rsid w:val="7ABE4F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华文仿宋" w:cs="Times New Roman"/>
      <w:kern w:val="2"/>
      <w:sz w:val="32"/>
      <w:szCs w:val="24"/>
      <w:lang w:val="en-US" w:eastAsia="zh-CN" w:bidi="ar-SA"/>
    </w:rPr>
  </w:style>
  <w:style w:type="character" w:default="1" w:styleId="10">
    <w:name w:val="Default Paragraph Font"/>
    <w:link w:val="11"/>
    <w:unhideWhenUsed/>
    <w:qFormat/>
    <w:uiPriority w:val="1"/>
    <w:rPr>
      <w:rFonts w:ascii="Tahoma" w:hAnsi="Tahoma"/>
      <w:sz w:val="24"/>
      <w:szCs w:val="20"/>
    </w:rPr>
  </w:style>
  <w:style w:type="table" w:default="1" w:styleId="8">
    <w:name w:val="Normal Table"/>
    <w:unhideWhenUsed/>
    <w:uiPriority w:val="99"/>
    <w:tblPr>
      <w:tblCellMar>
        <w:top w:w="0" w:type="dxa"/>
        <w:left w:w="108" w:type="dxa"/>
        <w:bottom w:w="0" w:type="dxa"/>
        <w:right w:w="108" w:type="dxa"/>
      </w:tblCellMar>
    </w:tblPr>
  </w:style>
  <w:style w:type="paragraph" w:styleId="2">
    <w:name w:val="Body Text"/>
    <w:link w:val="20"/>
    <w:qFormat/>
    <w:uiPriority w:val="0"/>
    <w:pPr>
      <w:spacing w:before="120" w:after="120" w:line="360" w:lineRule="auto"/>
      <w:ind w:firstLine="720" w:firstLineChars="200"/>
      <w:jc w:val="center"/>
    </w:pPr>
    <w:rPr>
      <w:rFonts w:ascii="Times New Roman" w:hAnsi="Times New Roman" w:eastAsia="仿宋_GB2312" w:cs="Times New Roman"/>
      <w:kern w:val="2"/>
      <w:sz w:val="28"/>
      <w:szCs w:val="24"/>
      <w:lang w:val="en-US" w:eastAsia="zh-CN" w:bidi="ar-SA"/>
    </w:rPr>
  </w:style>
  <w:style w:type="paragraph" w:styleId="3">
    <w:name w:val="Balloon Text"/>
    <w:basedOn w:val="1"/>
    <w:link w:val="21"/>
    <w:unhideWhenUsed/>
    <w:qFormat/>
    <w:uiPriority w:val="0"/>
    <w:rPr>
      <w:sz w:val="18"/>
      <w:szCs w:val="18"/>
    </w:rPr>
  </w:style>
  <w:style w:type="paragraph" w:styleId="4">
    <w:name w:val="footer"/>
    <w:basedOn w:val="1"/>
    <w:link w:val="19"/>
    <w:unhideWhenUsed/>
    <w:qFormat/>
    <w:uiPriority w:val="0"/>
    <w:pPr>
      <w:tabs>
        <w:tab w:val="center" w:pos="4153"/>
        <w:tab w:val="right" w:pos="8306"/>
      </w:tabs>
      <w:snapToGrid w:val="0"/>
      <w:jc w:val="left"/>
    </w:pPr>
    <w:rPr>
      <w:sz w:val="18"/>
      <w:szCs w:val="18"/>
    </w:rPr>
  </w:style>
  <w:style w:type="paragraph" w:styleId="5">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0"/>
    <w:pPr>
      <w:spacing w:line="240" w:lineRule="atLeast"/>
    </w:pPr>
    <w:rPr>
      <w:rFonts w:eastAsia="仿宋_GB2312"/>
      <w:sz w:val="28"/>
    </w:rPr>
  </w:style>
  <w:style w:type="paragraph" w:styleId="7">
    <w:name w:val="Normal (Web)"/>
    <w:basedOn w:val="1"/>
    <w:qFormat/>
    <w:uiPriority w:val="0"/>
    <w:pPr>
      <w:spacing w:before="100" w:beforeAutospacing="1" w:after="100" w:afterAutospacing="1"/>
      <w:jc w:val="left"/>
    </w:pPr>
    <w:rPr>
      <w:rFonts w:eastAsia="仿宋_GB2312"/>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 Char"/>
    <w:basedOn w:val="1"/>
    <w:link w:val="10"/>
    <w:qFormat/>
    <w:uiPriority w:val="0"/>
    <w:rPr>
      <w:rFonts w:ascii="Tahoma" w:hAnsi="Tahoma"/>
      <w:sz w:val="24"/>
      <w:szCs w:val="20"/>
    </w:rPr>
  </w:style>
  <w:style w:type="character" w:styleId="12">
    <w:name w:val="Strong"/>
    <w:basedOn w:val="10"/>
    <w:qFormat/>
    <w:uiPriority w:val="22"/>
    <w:rPr>
      <w:rFonts w:ascii="Tahoma" w:hAnsi="Tahoma"/>
      <w:b/>
      <w:sz w:val="24"/>
      <w:szCs w:val="20"/>
    </w:rPr>
  </w:style>
  <w:style w:type="character" w:styleId="13">
    <w:name w:val="page number"/>
    <w:basedOn w:val="10"/>
    <w:unhideWhenUsed/>
    <w:qFormat/>
    <w:uiPriority w:val="99"/>
    <w:rPr>
      <w:rFonts w:ascii="Tahoma" w:hAnsi="Tahoma"/>
      <w:sz w:val="24"/>
      <w:szCs w:val="20"/>
    </w:rPr>
  </w:style>
  <w:style w:type="paragraph" w:customStyle="1" w:styleId="14">
    <w:name w:val="Char"/>
    <w:basedOn w:val="1"/>
    <w:qFormat/>
    <w:uiPriority w:val="0"/>
    <w:rPr>
      <w:rFonts w:ascii="Tahoma" w:hAnsi="Tahoma"/>
      <w:sz w:val="24"/>
      <w:szCs w:val="20"/>
    </w:rPr>
  </w:style>
  <w:style w:type="paragraph" w:customStyle="1" w:styleId="15">
    <w:name w:val="Char1"/>
    <w:basedOn w:val="1"/>
    <w:qFormat/>
    <w:uiPriority w:val="0"/>
    <w:rPr>
      <w:rFonts w:ascii="Tahoma" w:hAnsi="Tahoma"/>
      <w:sz w:val="24"/>
      <w:szCs w:val="20"/>
    </w:rPr>
  </w:style>
  <w:style w:type="paragraph" w:customStyle="1" w:styleId="16">
    <w:name w:val="p0"/>
    <w:basedOn w:val="1"/>
    <w:qFormat/>
    <w:uiPriority w:val="0"/>
    <w:pPr>
      <w:widowControl/>
    </w:pPr>
    <w:rPr>
      <w:rFonts w:hint="eastAsia" w:eastAsia="仿宋_GB2312"/>
    </w:rPr>
  </w:style>
  <w:style w:type="paragraph" w:customStyle="1" w:styleId="17">
    <w:name w:val="列出段落1"/>
    <w:basedOn w:val="1"/>
    <w:qFormat/>
    <w:uiPriority w:val="34"/>
    <w:pPr>
      <w:ind w:firstLine="420" w:firstLineChars="200"/>
    </w:pPr>
  </w:style>
  <w:style w:type="character" w:customStyle="1" w:styleId="18">
    <w:name w:val="页眉 Char"/>
    <w:basedOn w:val="10"/>
    <w:link w:val="5"/>
    <w:qFormat/>
    <w:uiPriority w:val="99"/>
    <w:rPr>
      <w:sz w:val="18"/>
      <w:szCs w:val="18"/>
    </w:rPr>
  </w:style>
  <w:style w:type="character" w:customStyle="1" w:styleId="19">
    <w:name w:val="页脚 Char"/>
    <w:basedOn w:val="10"/>
    <w:link w:val="4"/>
    <w:qFormat/>
    <w:uiPriority w:val="99"/>
    <w:rPr>
      <w:sz w:val="18"/>
      <w:szCs w:val="18"/>
    </w:rPr>
  </w:style>
  <w:style w:type="character" w:customStyle="1" w:styleId="20">
    <w:name w:val="正文文本 Char"/>
    <w:basedOn w:val="10"/>
    <w:link w:val="2"/>
    <w:qFormat/>
    <w:uiPriority w:val="0"/>
    <w:rPr>
      <w:rFonts w:ascii="Times New Roman" w:hAnsi="Times New Roman" w:eastAsia="仿宋_GB2312" w:cs="Times New Roman"/>
      <w:sz w:val="28"/>
      <w:szCs w:val="24"/>
    </w:rPr>
  </w:style>
  <w:style w:type="character" w:customStyle="1" w:styleId="21">
    <w:name w:val="批注框文本 Char"/>
    <w:basedOn w:val="10"/>
    <w:link w:val="3"/>
    <w:semiHidden/>
    <w:qFormat/>
    <w:uiPriority w:val="0"/>
    <w:rPr>
      <w:rFonts w:eastAsia="华文仿宋"/>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12</Pages>
  <Words>5397</Words>
  <Characters>5870</Characters>
  <Lines>44</Lines>
  <Paragraphs>12</Paragraphs>
  <TotalTime>5</TotalTime>
  <ScaleCrop>false</ScaleCrop>
  <LinksUpToDate>false</LinksUpToDate>
  <CharactersWithSpaces>6125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2021-08-31T01:55:00Z</dcterms:created>
  <dc:creator>吴璧君</dc:creator>
  <cp:lastModifiedBy>一米阳光</cp:lastModifiedBy>
  <cp:lastPrinted>2023-08-08T02:10:00Z</cp:lastPrinted>
  <dcterms:modified xsi:type="dcterms:W3CDTF">2025-09-18T08:20:44Z</dcterms:modified>
  <dc:title>青岛市商务局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7AE781804EEA470E901DF44EBE898401_13</vt:lpwstr>
  </property>
  <property fmtid="{D5CDD505-2E9C-101B-9397-08002B2CF9AE}" pid="4" name="KSOTemplateDocerSaveRecord">
    <vt:lpwstr>eyJoZGlkIjoiODI5Mzk1N2I5NWRmYWExZjcxZDI1NDg0ODU0MjJhNWMiLCJ1c2VySWQiOiI0OTc4NjUwNzgifQ==</vt:lpwstr>
  </property>
</Properties>
</file>