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header+xml" PartName="/word/header1.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632" w:firstLineChars="200"/>
        <w:jc w:val="right"/>
        <w:rPr>
          <w:rFonts w:hint="eastAsia" w:ascii="仿宋_GB2312" w:eastAsia="仿宋_GB2312"/>
        </w:rPr>
      </w:pPr>
    </w:p>
    <w:p>
      <w:pPr>
        <w:jc w:val="center"/>
        <w:rPr>
          <w:rFonts w:hint="eastAsia" w:ascii="仿宋_GB2312" w:eastAsia="仿宋_GB2312"/>
        </w:rPr>
      </w:pPr>
    </w:p>
    <w:p>
      <w:pPr>
        <w:jc w:val="center"/>
        <w:rPr>
          <w:rFonts w:hint="eastAsia" w:ascii="仿宋_GB2312" w:eastAsia="仿宋_GB2312"/>
        </w:rPr>
      </w:pPr>
    </w:p>
    <w:p>
      <w:pPr>
        <w:jc w:val="center"/>
        <w:rPr>
          <w:rFonts w:hint="eastAsia" w:ascii="方正小标宋简体" w:eastAsia="方正小标宋简体"/>
          <w:spacing w:val="60"/>
          <w:sz w:val="74"/>
        </w:rPr>
      </w:pPr>
      <w:r>
        <w:rPr>
          <w:rFonts w:hint="eastAsia" w:ascii="方正小标宋简体" w:eastAsia="方正小标宋简体"/>
          <w:spacing w:val="60"/>
          <w:sz w:val="74"/>
          <w:lang w:eastAsia="zh-CN"/>
        </w:rPr>
        <w:t>2022</w:t>
      </w:r>
      <w:r>
        <w:rPr>
          <w:rFonts w:hint="eastAsia" w:ascii="方正小标宋简体" w:eastAsia="方正小标宋简体"/>
          <w:spacing w:val="60"/>
          <w:sz w:val="74"/>
        </w:rPr>
        <w:t>年度</w:t>
      </w:r>
    </w:p>
    <w:p>
      <w:pPr>
        <w:jc w:val="center"/>
        <w:rPr>
          <w:rFonts w:hint="eastAsia" w:ascii="方正小标宋简体" w:eastAsia="方正小标宋简体"/>
          <w:spacing w:val="60"/>
          <w:sz w:val="74"/>
        </w:rPr>
      </w:pPr>
      <w:r>
        <w:rPr>
          <w:rFonts w:hint="eastAsia" w:ascii="方正小标宋简体" w:eastAsia="方正小标宋简体"/>
          <w:spacing w:val="60"/>
          <w:sz w:val="74"/>
          <w:lang w:eastAsia="zh-CN"/>
        </w:rPr>
        <w:t>青岛市即墨区潮海街道办事处单位</w:t>
      </w:r>
      <w:r>
        <w:rPr>
          <w:rFonts w:hint="eastAsia" w:ascii="方正小标宋简体" w:eastAsia="方正小标宋简体"/>
          <w:spacing w:val="60"/>
          <w:sz w:val="74"/>
        </w:rPr>
        <w:t>决算</w:t>
      </w:r>
    </w:p>
    <w:p>
      <w:pPr>
        <w:jc w:val="center"/>
        <w:rPr>
          <w:rFonts w:hint="eastAsia" w:ascii="楷体_GB2312" w:eastAsia="楷体_GB2312"/>
          <w:b/>
          <w:sz w:val="42"/>
        </w:rPr>
      </w:pPr>
    </w:p>
    <w:p>
      <w:pPr>
        <w:jc w:val="center"/>
        <w:rPr>
          <w:rFonts w:hint="eastAsia" w:ascii="楷体_GB2312" w:eastAsia="楷体_GB2312"/>
          <w:b/>
          <w:sz w:val="42"/>
        </w:rPr>
      </w:pPr>
    </w:p>
    <w:p>
      <w:pPr>
        <w:rPr>
          <w:rFonts w:hint="eastAsia" w:ascii="仿宋_GB2312" w:eastAsia="仿宋_GB2312"/>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p>
    <w:p>
      <w:pPr>
        <w:spacing w:afterLines="50"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目  录</w:t>
      </w:r>
    </w:p>
    <w:p>
      <w:pPr>
        <w:spacing w:line="580" w:lineRule="exact"/>
        <w:ind w:firstLine="316" w:firstLineChars="100"/>
        <w:rPr>
          <w:rFonts w:hint="eastAsia" w:ascii="黑体" w:hAnsi="黑体" w:eastAsia="黑体"/>
        </w:rPr>
      </w:pPr>
      <w:r>
        <w:rPr>
          <w:rFonts w:hint="eastAsia" w:ascii="黑体" w:hAnsi="黑体" w:eastAsia="黑体"/>
        </w:rPr>
        <w:t xml:space="preserve">第一部分  </w:t>
      </w:r>
      <w:r>
        <w:rPr>
          <w:rFonts w:hint="eastAsia" w:ascii="黑体" w:hAnsi="黑体" w:eastAsia="黑体"/>
          <w:lang w:eastAsia="zh-CN"/>
        </w:rPr>
        <w:t>单位</w:t>
      </w:r>
      <w:r>
        <w:rPr>
          <w:rFonts w:hint="eastAsia" w:ascii="黑体" w:hAnsi="黑体" w:eastAsia="黑体"/>
        </w:rPr>
        <w:t>概况</w:t>
      </w:r>
    </w:p>
    <w:p>
      <w:pPr>
        <w:spacing w:line="580" w:lineRule="exact"/>
        <w:ind w:firstLine="632" w:firstLineChars="200"/>
        <w:rPr>
          <w:rFonts w:hint="eastAsia" w:ascii="仿宋_GB2312" w:eastAsia="仿宋_GB2312"/>
        </w:rPr>
      </w:pPr>
      <w:r>
        <w:rPr>
          <w:rFonts w:hint="eastAsia" w:ascii="仿宋_GB2312" w:eastAsia="仿宋_GB2312"/>
        </w:rPr>
        <w:t>一、</w:t>
      </w:r>
      <w:r>
        <w:rPr>
          <w:rFonts w:hint="eastAsia" w:ascii="仿宋_GB2312" w:eastAsia="仿宋_GB2312"/>
          <w:lang w:eastAsia="zh-CN"/>
        </w:rPr>
        <w:t>单位</w:t>
      </w:r>
      <w:r>
        <w:rPr>
          <w:rFonts w:hint="eastAsia" w:ascii="仿宋_GB2312" w:eastAsia="仿宋_GB2312"/>
        </w:rPr>
        <w:t>职责</w:t>
      </w:r>
    </w:p>
    <w:p>
      <w:pPr>
        <w:spacing w:line="580" w:lineRule="exact"/>
        <w:ind w:firstLine="632" w:firstLineChars="200"/>
        <w:rPr>
          <w:rFonts w:hint="eastAsia" w:ascii="仿宋_GB2312" w:eastAsia="仿宋_GB2312"/>
        </w:rPr>
      </w:pPr>
      <w:r>
        <w:rPr>
          <w:rFonts w:hint="eastAsia" w:ascii="仿宋_GB2312" w:eastAsia="仿宋_GB2312"/>
        </w:rPr>
        <w:t>二、机构设置</w:t>
      </w:r>
    </w:p>
    <w:p>
      <w:pPr>
        <w:spacing w:line="580" w:lineRule="exact"/>
        <w:ind w:firstLine="316" w:firstLineChars="100"/>
        <w:rPr>
          <w:rFonts w:hint="eastAsia" w:ascii="黑体" w:hAnsi="黑体" w:eastAsia="黑体"/>
        </w:rPr>
      </w:pPr>
      <w:r>
        <w:rPr>
          <w:rFonts w:hint="eastAsia" w:ascii="黑体" w:hAnsi="黑体" w:eastAsia="黑体"/>
        </w:rPr>
        <w:t xml:space="preserve">第二部分  </w:t>
      </w:r>
      <w:r>
        <w:rPr>
          <w:rFonts w:hint="eastAsia" w:ascii="黑体" w:hAnsi="黑体" w:eastAsia="黑体"/>
          <w:lang w:eastAsia="zh-CN"/>
        </w:rPr>
        <w:t>2022</w:t>
      </w:r>
      <w:r>
        <w:rPr>
          <w:rFonts w:hint="eastAsia" w:ascii="黑体" w:hAnsi="黑体" w:eastAsia="黑体"/>
        </w:rPr>
        <w:t>年度</w:t>
      </w:r>
      <w:r>
        <w:rPr>
          <w:rFonts w:hint="eastAsia" w:ascii="黑体" w:hAnsi="黑体" w:eastAsia="黑体"/>
          <w:lang w:eastAsia="zh-CN"/>
        </w:rPr>
        <w:t>单位</w:t>
      </w:r>
      <w:r>
        <w:rPr>
          <w:rFonts w:hint="eastAsia" w:ascii="黑体" w:hAnsi="黑体" w:eastAsia="黑体"/>
        </w:rPr>
        <w:t>决算表</w:t>
      </w:r>
    </w:p>
    <w:p>
      <w:pPr>
        <w:spacing w:line="580" w:lineRule="exact"/>
        <w:ind w:firstLine="632" w:firstLineChars="200"/>
        <w:rPr>
          <w:rFonts w:hint="eastAsia" w:ascii="仿宋_GB2312" w:eastAsia="仿宋_GB2312"/>
        </w:rPr>
      </w:pPr>
      <w:r>
        <w:rPr>
          <w:rFonts w:hint="eastAsia" w:ascii="仿宋_GB2312" w:eastAsia="仿宋_GB2312"/>
        </w:rPr>
        <w:t>一、收入支出决算总表</w:t>
      </w:r>
    </w:p>
    <w:p>
      <w:pPr>
        <w:spacing w:line="580" w:lineRule="exact"/>
        <w:ind w:firstLine="632" w:firstLineChars="200"/>
        <w:rPr>
          <w:rFonts w:hint="eastAsia" w:ascii="仿宋_GB2312" w:eastAsia="仿宋_GB2312"/>
        </w:rPr>
      </w:pPr>
      <w:r>
        <w:rPr>
          <w:rFonts w:hint="eastAsia" w:ascii="仿宋_GB2312" w:eastAsia="仿宋_GB2312"/>
        </w:rPr>
        <w:t>二、收入决算表</w:t>
      </w:r>
    </w:p>
    <w:p>
      <w:pPr>
        <w:spacing w:line="580" w:lineRule="exact"/>
        <w:ind w:firstLine="632" w:firstLineChars="200"/>
        <w:rPr>
          <w:rFonts w:hint="eastAsia" w:ascii="仿宋_GB2312" w:eastAsia="仿宋_GB2312"/>
        </w:rPr>
      </w:pPr>
      <w:r>
        <w:rPr>
          <w:rFonts w:hint="eastAsia" w:ascii="仿宋_GB2312" w:eastAsia="仿宋_GB2312"/>
        </w:rPr>
        <w:t>三、支出决算表</w:t>
      </w:r>
    </w:p>
    <w:p>
      <w:pPr>
        <w:spacing w:line="580" w:lineRule="exact"/>
        <w:ind w:firstLine="632" w:firstLineChars="200"/>
        <w:rPr>
          <w:rFonts w:hint="eastAsia" w:ascii="仿宋_GB2312" w:eastAsia="仿宋_GB2312"/>
        </w:rPr>
      </w:pPr>
      <w:r>
        <w:rPr>
          <w:rFonts w:hint="eastAsia" w:ascii="仿宋_GB2312" w:eastAsia="仿宋_GB2312"/>
        </w:rPr>
        <w:t>四、财政拨款收入支出决算总表</w:t>
      </w:r>
    </w:p>
    <w:p>
      <w:pPr>
        <w:spacing w:line="580" w:lineRule="exact"/>
        <w:ind w:firstLine="632" w:firstLineChars="200"/>
        <w:rPr>
          <w:rFonts w:hint="eastAsia" w:ascii="仿宋_GB2312" w:eastAsia="仿宋_GB2312"/>
        </w:rPr>
      </w:pPr>
      <w:r>
        <w:rPr>
          <w:rFonts w:hint="eastAsia" w:ascii="仿宋_GB2312" w:eastAsia="仿宋_GB2312"/>
        </w:rPr>
        <w:t>五、一般公共预算财政拨款支出决算表</w:t>
      </w:r>
    </w:p>
    <w:p>
      <w:pPr>
        <w:spacing w:line="580" w:lineRule="exact"/>
        <w:ind w:firstLine="632" w:firstLineChars="200"/>
        <w:rPr>
          <w:rFonts w:hint="eastAsia" w:ascii="仿宋_GB2312" w:eastAsia="仿宋_GB2312"/>
        </w:rPr>
      </w:pPr>
      <w:r>
        <w:rPr>
          <w:rFonts w:hint="eastAsia" w:ascii="仿宋_GB2312" w:eastAsia="仿宋_GB2312"/>
        </w:rPr>
        <w:t>六、一般公共预算财政拨款基本支出决算表</w:t>
      </w:r>
    </w:p>
    <w:p>
      <w:pPr>
        <w:spacing w:line="580" w:lineRule="exact"/>
        <w:ind w:firstLine="632" w:firstLineChars="200"/>
        <w:rPr>
          <w:rFonts w:hint="eastAsia" w:ascii="仿宋_GB2312" w:eastAsia="仿宋_GB2312"/>
        </w:rPr>
      </w:pPr>
      <w:r>
        <w:rPr>
          <w:rFonts w:hint="eastAsia" w:ascii="仿宋_GB2312" w:eastAsia="仿宋_GB2312"/>
        </w:rPr>
        <w:t>七、一般公共预算财政拨款“三公”经费支出决算表</w:t>
      </w:r>
    </w:p>
    <w:p>
      <w:pPr>
        <w:spacing w:line="580" w:lineRule="exact"/>
        <w:ind w:firstLine="632" w:firstLineChars="200"/>
        <w:rPr>
          <w:rFonts w:hint="eastAsia" w:ascii="仿宋_GB2312" w:eastAsia="仿宋_GB2312"/>
        </w:rPr>
      </w:pPr>
      <w:r>
        <w:rPr>
          <w:rFonts w:hint="eastAsia" w:ascii="仿宋_GB2312" w:eastAsia="仿宋_GB2312"/>
        </w:rPr>
        <w:t>八、政府性基金预算财政拨款收入支出决算表</w:t>
      </w:r>
    </w:p>
    <w:p>
      <w:pPr>
        <w:spacing w:line="580" w:lineRule="exact"/>
        <w:ind w:firstLine="632" w:firstLineChars="200"/>
        <w:rPr>
          <w:rFonts w:hint="eastAsia" w:ascii="仿宋_GB2312" w:eastAsia="仿宋_GB2312"/>
        </w:rPr>
      </w:pPr>
      <w:r>
        <w:rPr>
          <w:rFonts w:hint="eastAsia" w:ascii="仿宋_GB2312" w:eastAsia="仿宋_GB2312"/>
        </w:rPr>
        <w:t>九、国有资本经营预算财政拨款支出决算表</w:t>
      </w:r>
    </w:p>
    <w:p>
      <w:pPr>
        <w:spacing w:line="580" w:lineRule="exact"/>
        <w:ind w:firstLine="316" w:firstLineChars="100"/>
        <w:rPr>
          <w:rFonts w:hint="eastAsia" w:ascii="黑体" w:hAnsi="黑体" w:eastAsia="黑体"/>
        </w:rPr>
      </w:pPr>
      <w:r>
        <w:rPr>
          <w:rFonts w:hint="eastAsia" w:ascii="黑体" w:hAnsi="黑体" w:eastAsia="黑体"/>
        </w:rPr>
        <w:t xml:space="preserve">第三部分  </w:t>
      </w:r>
      <w:r>
        <w:rPr>
          <w:rFonts w:hint="eastAsia" w:ascii="黑体" w:hAnsi="黑体" w:eastAsia="黑体"/>
          <w:lang w:eastAsia="zh-CN"/>
        </w:rPr>
        <w:t>2022</w:t>
      </w:r>
      <w:r>
        <w:rPr>
          <w:rFonts w:hint="eastAsia" w:ascii="黑体" w:hAnsi="黑体" w:eastAsia="黑体"/>
        </w:rPr>
        <w:t>年度</w:t>
      </w:r>
      <w:r>
        <w:rPr>
          <w:rFonts w:hint="eastAsia" w:ascii="黑体" w:hAnsi="黑体" w:eastAsia="黑体"/>
          <w:lang w:eastAsia="zh-CN"/>
        </w:rPr>
        <w:t>单位</w:t>
      </w:r>
      <w:r>
        <w:rPr>
          <w:rFonts w:hint="eastAsia" w:ascii="黑体" w:hAnsi="黑体" w:eastAsia="黑体"/>
        </w:rPr>
        <w:t>决算情况说明</w:t>
      </w:r>
    </w:p>
    <w:p>
      <w:pPr>
        <w:spacing w:line="580" w:lineRule="exact"/>
        <w:ind w:firstLine="316" w:firstLineChars="100"/>
        <w:rPr>
          <w:rFonts w:hint="eastAsia" w:ascii="黑体" w:hAnsi="黑体" w:eastAsia="黑体"/>
        </w:rPr>
      </w:pPr>
      <w:r>
        <w:rPr>
          <w:rFonts w:hint="eastAsia" w:ascii="黑体" w:hAnsi="黑体" w:eastAsia="黑体"/>
        </w:rPr>
        <w:t>第四部分  名词解释</w:t>
      </w:r>
    </w:p>
    <w:p>
      <w:pPr>
        <w:spacing w:line="580" w:lineRule="exact"/>
        <w:ind w:firstLine="316" w:firstLineChars="100"/>
        <w:rPr>
          <w:rFonts w:hint="eastAsia" w:ascii="黑体" w:hAnsi="黑体" w:eastAsia="黑体"/>
        </w:rPr>
      </w:pPr>
    </w:p>
    <w:p>
      <w:pPr>
        <w:spacing w:line="580" w:lineRule="exact"/>
        <w:ind w:firstLine="316" w:firstLineChars="100"/>
        <w:rPr>
          <w:rFonts w:hint="eastAsia" w:ascii="黑体" w:hAnsi="黑体" w:eastAsia="黑体"/>
        </w:rPr>
      </w:pPr>
    </w:p>
    <w:p>
      <w:pPr>
        <w:spacing w:line="580" w:lineRule="exact"/>
        <w:ind w:firstLine="316" w:firstLineChars="100"/>
        <w:rPr>
          <w:rFonts w:hint="eastAsia" w:ascii="黑体" w:hAnsi="黑体" w:eastAsia="黑体"/>
        </w:rPr>
      </w:pPr>
    </w:p>
    <w:p>
      <w:pP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第一部分</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概况</w:t>
      </w:r>
    </w:p>
    <w:p>
      <w:pPr>
        <w:jc w:val="center"/>
        <w:rPr>
          <w:rFonts w:hint="eastAsia" w:ascii="仿宋_GB2312" w:eastAsia="仿宋_GB2312"/>
        </w:rPr>
        <w:sectPr>
          <w:headerReference r:id="rId4" w:type="default"/>
          <w:footerReference r:id="rId5" w:type="default"/>
          <w:footerReference r:id="rId6" w:type="even"/>
          <w:pgSz w:w="11906" w:h="16838"/>
          <w:pgMar w:top="1701" w:right="1531" w:bottom="1701" w:left="1531" w:header="0" w:footer="1418" w:gutter="0"/>
          <w:cols w:space="720" w:num="1"/>
          <w:docGrid w:type="linesAndChars" w:linePitch="610" w:charSpace="-849"/>
        </w:sectPr>
      </w:pPr>
    </w:p>
    <w:p>
      <w:pPr>
        <w:spacing w:line="580" w:lineRule="exact"/>
        <w:ind w:firstLine="632" w:firstLineChars="200"/>
        <w:rPr>
          <w:rFonts w:hint="eastAsia" w:ascii="黑体" w:hAnsi="黑体" w:eastAsia="黑体"/>
        </w:rPr>
      </w:pPr>
      <w:r>
        <w:rPr>
          <w:rFonts w:hint="eastAsia" w:ascii="黑体" w:hAnsi="黑体" w:eastAsia="黑体"/>
        </w:rPr>
        <w:t>一、</w:t>
      </w:r>
      <w:r>
        <w:rPr>
          <w:rFonts w:hint="eastAsia" w:ascii="黑体" w:hAnsi="黑体" w:eastAsia="黑体"/>
          <w:lang w:eastAsia="zh-CN"/>
        </w:rPr>
        <w:t>单位</w:t>
      </w:r>
      <w:r>
        <w:rPr>
          <w:rFonts w:hint="eastAsia" w:ascii="黑体" w:hAnsi="黑体" w:eastAsia="黑体"/>
        </w:rPr>
        <w:t>职责</w:t>
      </w:r>
    </w:p>
    <w:p>
      <w:pPr>
        <w:snapToGrid w:val="0"/>
        <w:spacing w:line="520" w:lineRule="exact"/>
        <w:ind w:firstLine="632" w:firstLineChars="200"/>
        <w:rPr>
          <w:rFonts w:hint="eastAsia" w:ascii="仿宋_GB2312" w:hAnsi="仿宋" w:eastAsia="仿宋_GB2312"/>
          <w:sz w:val="32"/>
          <w:szCs w:val="32"/>
          <w:lang w:eastAsia="zh-CN"/>
        </w:rPr>
      </w:pPr>
      <w:r>
        <w:rPr>
          <w:rFonts w:hint="eastAsia" w:ascii="仿宋_GB2312" w:hAnsi="仿宋" w:eastAsia="仿宋_GB2312"/>
          <w:sz w:val="32"/>
          <w:szCs w:val="32"/>
        </w:rPr>
        <w:t>（1）制定和组织实施经济、科技和社会发展计划，制定资源开发技术改造和产业结构调整方案，组织指导好各业生产，搞好</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"https://www.baidu.com/s?wd=%E5%95%86%E5%93%81%E6%B5%81%E9%80%9A&amp;tn=SE_PcZhidaonwhc_ngpagmjz&amp;rsv_dl=gh_pc_zhidao"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商品流通</w:t>
      </w:r>
      <w:r>
        <w:rPr>
          <w:rFonts w:ascii="仿宋_GB2312" w:hAnsi="仿宋" w:eastAsia="仿宋_GB2312"/>
          <w:sz w:val="32"/>
          <w:szCs w:val="32"/>
        </w:rPr>
        <w:fldChar w:fldCharType="end"/>
      </w:r>
      <w:r>
        <w:rPr>
          <w:rFonts w:hint="eastAsia" w:ascii="仿宋_GB2312" w:hAnsi="仿宋" w:eastAsia="仿宋_GB2312"/>
          <w:sz w:val="32"/>
          <w:szCs w:val="32"/>
        </w:rPr>
        <w:t>，协调好本乡与外地区的经济交流与合作，抓好招商引资，</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"https://www.baidu.com/s?wd=%E4%BA%BA%E6%89%8D%E5%BC%95%E8%BF%9B&amp;tn=SE_PcZhidaonwhc_ngpagmjz&amp;rsv_dl=gh_pc_zhidao"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人才引进</w:t>
      </w:r>
      <w:r>
        <w:rPr>
          <w:rFonts w:ascii="仿宋_GB2312" w:hAnsi="仿宋" w:eastAsia="仿宋_GB2312"/>
          <w:sz w:val="32"/>
          <w:szCs w:val="32"/>
        </w:rPr>
        <w:fldChar w:fldCharType="end"/>
      </w:r>
      <w:r>
        <w:rPr>
          <w:rFonts w:hint="eastAsia" w:ascii="仿宋_GB2312" w:hAnsi="仿宋" w:eastAsia="仿宋_GB2312"/>
          <w:sz w:val="32"/>
          <w:szCs w:val="32"/>
        </w:rPr>
        <w:t>项目开发，不断培育市场体系，组织</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"https://www.baidu.com/s?wd=%E7%BB%8F%E6%B5%8E%E8%BF%90%E8%A1%8C&amp;tn=SE_PcZhidaonwhc_ngpagmjz&amp;rsv_dl=gh_pc_zhidao"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经济运行</w:t>
      </w:r>
      <w:r>
        <w:rPr>
          <w:rFonts w:ascii="仿宋_GB2312" w:hAnsi="仿宋" w:eastAsia="仿宋_GB2312"/>
          <w:sz w:val="32"/>
          <w:szCs w:val="32"/>
        </w:rPr>
        <w:fldChar w:fldCharType="end"/>
      </w:r>
      <w:r>
        <w:rPr>
          <w:rFonts w:hint="eastAsia" w:ascii="仿宋_GB2312" w:hAnsi="仿宋" w:eastAsia="仿宋_GB2312"/>
          <w:sz w:val="32"/>
          <w:szCs w:val="32"/>
        </w:rPr>
        <w:t>，促进经济发展。</w:t>
      </w:r>
      <w:r>
        <w:rPr>
          <w:rFonts w:hint="eastAsia" w:ascii="仿宋_GB2312" w:hAnsi="仿宋" w:eastAsia="仿宋_GB2312"/>
          <w:sz w:val="32"/>
          <w:szCs w:val="32"/>
        </w:rPr>
        <w:br/>
      </w:r>
      <w:r>
        <w:rPr>
          <w:rFonts w:hint="eastAsia" w:ascii="仿宋_GB2312" w:hAnsi="仿宋" w:eastAsia="仿宋_GB2312"/>
          <w:sz w:val="32"/>
          <w:szCs w:val="32"/>
        </w:rPr>
        <w:t xml:space="preserve">    （2）制定并组织实施村镇建设规划，部署重点工程建设，地方道路建设及公共设施，水利设施的管理，负责土地、林木、水等自然资源和生态环境的保护，做好护林防火工作。</w:t>
      </w:r>
      <w:r>
        <w:rPr>
          <w:rFonts w:hint="eastAsia" w:ascii="仿宋_GB2312" w:hAnsi="仿宋" w:eastAsia="仿宋_GB2312"/>
          <w:sz w:val="32"/>
          <w:szCs w:val="32"/>
        </w:rPr>
        <w:br/>
      </w:r>
      <w:r>
        <w:rPr>
          <w:rFonts w:hint="eastAsia" w:ascii="仿宋_GB2312" w:hAnsi="仿宋" w:eastAsia="仿宋_GB2312"/>
          <w:sz w:val="32"/>
          <w:szCs w:val="32"/>
        </w:rPr>
        <w:t xml:space="preserve">    （3）负责本行政区域内的民政、计划生育、</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"https://www.baidu.com/s?wd=%E6%96%87%E5%8C%96%E6%95%99%E8%82%B2&amp;tn=SE_PcZhidaonwhc_ngpagmjz&amp;rsv_dl=gh_pc_zhidao"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文化教育</w:t>
      </w:r>
      <w:r>
        <w:rPr>
          <w:rFonts w:ascii="仿宋_GB2312" w:hAnsi="仿宋" w:eastAsia="仿宋_GB2312"/>
          <w:sz w:val="32"/>
          <w:szCs w:val="32"/>
        </w:rPr>
        <w:fldChar w:fldCharType="end"/>
      </w:r>
      <w:r>
        <w:rPr>
          <w:rFonts w:hint="eastAsia" w:ascii="仿宋_GB2312" w:hAnsi="仿宋" w:eastAsia="仿宋_GB2312"/>
          <w:sz w:val="32"/>
          <w:szCs w:val="32"/>
        </w:rPr>
        <w:t>、卫生、体育等社会公益事业的综合性工作，维护一切经济</w:t>
      </w:r>
      <w:r>
        <w:rPr>
          <w:rFonts w:hint="eastAsia" w:ascii="仿宋_GB2312" w:hAnsi="仿宋" w:eastAsia="仿宋_GB2312"/>
          <w:sz w:val="32"/>
          <w:szCs w:val="32"/>
          <w:lang w:eastAsia="zh-CN"/>
        </w:rPr>
        <w:t>单位</w:t>
      </w:r>
      <w:r>
        <w:rPr>
          <w:rFonts w:hint="eastAsia" w:ascii="仿宋_GB2312" w:hAnsi="仿宋" w:eastAsia="仿宋_GB2312"/>
          <w:sz w:val="32"/>
          <w:szCs w:val="32"/>
        </w:rPr>
        <w:t>和个人的正当经济权益，取缔非法经济活动，调解和处理</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"https://www.baidu.com/s?wd=%E6%B0%91%E4%BA%8B%E7%BA%A0%E7%BA%B7&amp;tn=SE_PcZhidaonwhc_ngpagmjz&amp;rsv_dl=gh_pc_zhidao"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民事纠纷</w:t>
      </w:r>
      <w:r>
        <w:rPr>
          <w:rFonts w:ascii="仿宋_GB2312" w:hAnsi="仿宋" w:eastAsia="仿宋_GB2312"/>
          <w:sz w:val="32"/>
          <w:szCs w:val="32"/>
        </w:rPr>
        <w:fldChar w:fldCharType="end"/>
      </w:r>
      <w:r>
        <w:rPr>
          <w:rFonts w:hint="eastAsia" w:ascii="仿宋_GB2312" w:hAnsi="仿宋" w:eastAsia="仿宋_GB2312"/>
          <w:sz w:val="32"/>
          <w:szCs w:val="32"/>
        </w:rPr>
        <w:t>，打击刑事犯罪维护社会稳定。</w:t>
      </w:r>
      <w:r>
        <w:rPr>
          <w:rFonts w:hint="eastAsia" w:ascii="仿宋_GB2312" w:hAnsi="仿宋" w:eastAsia="仿宋_GB2312"/>
          <w:sz w:val="32"/>
          <w:szCs w:val="32"/>
        </w:rPr>
        <w:br/>
      </w:r>
      <w:r>
        <w:rPr>
          <w:rFonts w:hint="eastAsia" w:ascii="仿宋_GB2312" w:hAnsi="仿宋" w:eastAsia="仿宋_GB2312"/>
          <w:sz w:val="32"/>
          <w:szCs w:val="32"/>
        </w:rPr>
        <w:t xml:space="preserve">    （4）按计划组织本级财政收入和地方税的征收，完成国家财政计划，不断培植税源，管好财政资金，增强财政实力。</w:t>
      </w:r>
      <w:r>
        <w:rPr>
          <w:rFonts w:hint="eastAsia" w:ascii="仿宋_GB2312" w:hAnsi="仿宋" w:eastAsia="仿宋_GB2312"/>
          <w:sz w:val="32"/>
          <w:szCs w:val="32"/>
        </w:rPr>
        <w:br/>
      </w:r>
      <w:r>
        <w:rPr>
          <w:rFonts w:hint="eastAsia" w:ascii="仿宋_GB2312" w:hAnsi="仿宋" w:eastAsia="仿宋_GB2312"/>
          <w:sz w:val="32"/>
          <w:szCs w:val="32"/>
        </w:rPr>
        <w:t xml:space="preserve">    （5）抓好精神文明建设，丰富</w:t>
      </w:r>
      <w:r>
        <w:rPr>
          <w:rFonts w:ascii="仿宋_GB2312" w:hAnsi="仿宋" w:eastAsia="仿宋_GB2312"/>
          <w:sz w:val="32"/>
          <w:szCs w:val="32"/>
        </w:rPr>
        <w:fldChar w:fldCharType="begin"/>
      </w:r>
      <w:r>
        <w:rPr>
          <w:rFonts w:ascii="仿宋_GB2312" w:hAnsi="仿宋" w:eastAsia="仿宋_GB2312"/>
          <w:sz w:val="32"/>
          <w:szCs w:val="32"/>
        </w:rPr>
        <w:instrText xml:space="preserve"> HYPERLINK "https://www.baidu.com/s?wd=%E7%BE%A4%E4%BC%97%E6%96%87%E5%8C%96&amp;tn=SE_PcZhidaonwhc_ngpagmjz&amp;rsv_dl=gh_pc_zhidao" \t "_blank" </w:instrText>
      </w:r>
      <w:r>
        <w:rPr>
          <w:rFonts w:ascii="仿宋_GB2312" w:hAnsi="仿宋" w:eastAsia="仿宋_GB2312"/>
          <w:sz w:val="32"/>
          <w:szCs w:val="32"/>
        </w:rPr>
        <w:fldChar w:fldCharType="separate"/>
      </w:r>
      <w:r>
        <w:rPr>
          <w:rFonts w:hint="eastAsia" w:ascii="仿宋_GB2312" w:hAnsi="仿宋" w:eastAsia="仿宋_GB2312"/>
          <w:sz w:val="32"/>
          <w:szCs w:val="32"/>
        </w:rPr>
        <w:t>群众文化</w:t>
      </w:r>
      <w:r>
        <w:rPr>
          <w:rFonts w:ascii="仿宋_GB2312" w:hAnsi="仿宋" w:eastAsia="仿宋_GB2312"/>
          <w:sz w:val="32"/>
          <w:szCs w:val="32"/>
        </w:rPr>
        <w:fldChar w:fldCharType="end"/>
      </w:r>
      <w:r>
        <w:rPr>
          <w:rFonts w:hint="eastAsia" w:ascii="仿宋_GB2312" w:hAnsi="仿宋" w:eastAsia="仿宋_GB2312"/>
          <w:sz w:val="32"/>
          <w:szCs w:val="32"/>
        </w:rPr>
        <w:t>生活，提倡移风易俗，反对封建迷信，破除陈规陋习，树立社会主义新风尚。</w:t>
      </w:r>
      <w:r>
        <w:rPr>
          <w:rFonts w:hint="eastAsia" w:ascii="仿宋_GB2312" w:hAnsi="仿宋" w:eastAsia="仿宋_GB2312"/>
          <w:sz w:val="32"/>
          <w:szCs w:val="32"/>
        </w:rPr>
        <w:br/>
      </w:r>
      <w:r>
        <w:rPr>
          <w:rFonts w:hint="eastAsia" w:ascii="仿宋_GB2312" w:hAnsi="仿宋" w:eastAsia="仿宋_GB2312"/>
          <w:sz w:val="32"/>
          <w:szCs w:val="32"/>
        </w:rPr>
        <w:t xml:space="preserve">    （6）完成上级政府交办的其它事项</w:t>
      </w:r>
      <w:r>
        <w:rPr>
          <w:rFonts w:hint="eastAsia" w:ascii="仿宋_GB2312" w:hAnsi="仿宋" w:eastAsia="仿宋_GB2312"/>
          <w:sz w:val="32"/>
          <w:szCs w:val="32"/>
          <w:lang w:eastAsia="zh-CN"/>
        </w:rPr>
        <w:t>。</w:t>
      </w:r>
    </w:p>
    <w:p>
      <w:pPr>
        <w:spacing w:line="580" w:lineRule="exact"/>
        <w:ind w:firstLine="632" w:firstLineChars="200"/>
        <w:rPr>
          <w:rFonts w:hint="eastAsia" w:ascii="黑体" w:hAnsi="黑体" w:eastAsia="黑体"/>
        </w:rPr>
      </w:pPr>
      <w:r>
        <w:rPr>
          <w:rFonts w:hint="eastAsia" w:ascii="黑体" w:hAnsi="黑体" w:eastAsia="黑体"/>
        </w:rPr>
        <w:t>二、机构设置</w:t>
      </w:r>
    </w:p>
    <w:p>
      <w:pPr>
        <w:adjustRightInd w:val="0"/>
        <w:snapToGrid w:val="0"/>
        <w:spacing w:line="580" w:lineRule="exact"/>
        <w:ind w:firstLine="632" w:firstLineChars="200"/>
        <w:jc w:val="left"/>
        <w:rPr>
          <w:rFonts w:hint="eastAsia" w:ascii="仿宋_GB2312" w:hAnsi="仿宋" w:eastAsia="仿宋_GB2312"/>
          <w:sz w:val="32"/>
          <w:szCs w:val="32"/>
        </w:rPr>
      </w:pPr>
      <w:r>
        <w:rPr>
          <w:rFonts w:hint="eastAsia" w:ascii="仿宋_GB2312" w:hAnsi="仿宋" w:eastAsia="仿宋_GB2312"/>
          <w:sz w:val="32"/>
          <w:szCs w:val="32"/>
        </w:rPr>
        <w:t>纳入</w:t>
      </w:r>
      <w:r>
        <w:rPr>
          <w:rFonts w:hint="eastAsia" w:ascii="仿宋_GB2312" w:hAnsi="仿宋" w:eastAsia="仿宋_GB2312"/>
          <w:sz w:val="32"/>
          <w:szCs w:val="32"/>
          <w:lang w:eastAsia="zh-CN"/>
        </w:rPr>
        <w:t>潮海街道</w:t>
      </w:r>
      <w:r>
        <w:rPr>
          <w:rFonts w:hint="eastAsia" w:ascii="仿宋_GB2312" w:hAnsi="仿宋" w:eastAsia="仿宋_GB2312"/>
          <w:sz w:val="32"/>
          <w:szCs w:val="32"/>
        </w:rPr>
        <w:t xml:space="preserve"> 2021 年度</w:t>
      </w:r>
      <w:r>
        <w:rPr>
          <w:rFonts w:hint="eastAsia" w:ascii="仿宋_GB2312" w:hAnsi="仿宋" w:eastAsia="仿宋_GB2312"/>
          <w:sz w:val="32"/>
          <w:szCs w:val="32"/>
          <w:lang w:eastAsia="zh-CN"/>
        </w:rPr>
        <w:t>单位</w:t>
      </w:r>
      <w:r>
        <w:rPr>
          <w:rFonts w:hint="eastAsia" w:ascii="仿宋_GB2312" w:hAnsi="仿宋" w:eastAsia="仿宋_GB2312"/>
          <w:sz w:val="32"/>
          <w:szCs w:val="32"/>
        </w:rPr>
        <w:t>决算汇编范围的单位共1个包括:青岛市即墨区</w:t>
      </w:r>
      <w:r>
        <w:rPr>
          <w:rFonts w:hint="eastAsia" w:ascii="仿宋_GB2312" w:hAnsi="仿宋" w:eastAsia="仿宋_GB2312"/>
          <w:sz w:val="32"/>
          <w:szCs w:val="32"/>
          <w:lang w:eastAsia="zh-CN"/>
        </w:rPr>
        <w:t>潮海街道</w:t>
      </w:r>
      <w:r>
        <w:rPr>
          <w:rFonts w:hint="eastAsia" w:ascii="仿宋_GB2312" w:hAnsi="仿宋" w:eastAsia="仿宋_GB2312"/>
          <w:sz w:val="32"/>
          <w:szCs w:val="32"/>
        </w:rPr>
        <w:t>本级。</w:t>
      </w:r>
    </w:p>
    <w:p>
      <w:pPr>
        <w:adjustRightInd w:val="0"/>
        <w:snapToGrid w:val="0"/>
        <w:spacing w:line="580" w:lineRule="exact"/>
        <w:ind w:firstLine="632" w:firstLineChars="200"/>
        <w:jc w:val="left"/>
        <w:rPr>
          <w:rFonts w:hint="eastAsia" w:ascii="文星简仿宋" w:eastAsia="文星简仿宋"/>
          <w:b/>
          <w:sz w:val="30"/>
          <w:szCs w:val="30"/>
          <w:highlight w:val="yellow"/>
        </w:rPr>
      </w:pPr>
      <w:r>
        <w:rPr>
          <w:rFonts w:hint="eastAsia" w:ascii="仿宋_GB2312" w:hAnsi="仿宋" w:eastAsia="仿宋_GB2312"/>
          <w:sz w:val="32"/>
          <w:szCs w:val="32"/>
        </w:rPr>
        <w:t>内设机构:党政办公室、党建办公室、综合行政执法办公室社会事务办公室、应急管理办公室(挂环境保护办公室牌子)、便民服务中心(挂党群服务中心、退役军人服务站牌子)、综合治理中心、经济发展服务中心(挂统计中心牌子)、农业农村服务中心(挂农产品质量安全监管中心牌子)、财税保障中心、经管审计中心、规划建设服务中心。</w:t>
      </w: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pStyle w:val="9"/>
        <w:rPr>
          <w:rFonts w:hint="eastAsia" w:ascii="文星简仿宋" w:eastAsia="文星简仿宋"/>
          <w:b/>
          <w:sz w:val="30"/>
          <w:szCs w:val="30"/>
          <w:highlight w:val="yellow"/>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第二部分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r>
        <w:rPr>
          <w:rFonts w:hint="eastAsia" w:ascii="方正小标宋简体" w:eastAsia="方正小标宋简体"/>
          <w:spacing w:val="60"/>
          <w:sz w:val="48"/>
          <w:lang w:eastAsia="zh-CN"/>
        </w:rPr>
        <w:t>2022</w:t>
      </w:r>
      <w:r>
        <w:rPr>
          <w:rFonts w:hint="eastAsia" w:ascii="方正小标宋简体" w:eastAsia="方正小标宋简体"/>
          <w:spacing w:val="60"/>
          <w:sz w:val="48"/>
        </w:rPr>
        <w:t>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决算表</w:t>
      </w:r>
    </w:p>
    <w:p>
      <w:pPr>
        <w:spacing w:line="520" w:lineRule="exact"/>
        <w:rPr>
          <w:rFonts w:hint="eastAsia" w:ascii="仿宋_GB2312" w:eastAsia="仿宋_GB2312"/>
          <w:b/>
          <w:sz w:val="28"/>
          <w:szCs w:val="28"/>
          <w:highlight w:val="yellow"/>
        </w:rPr>
      </w:pPr>
    </w:p>
    <w:p>
      <w:pPr>
        <w:jc w:val="center"/>
        <w:rPr>
          <w:rFonts w:hint="eastAsia" w:ascii="方正小标宋简体" w:eastAsia="方正小标宋简体"/>
          <w:spacing w:val="60"/>
          <w:sz w:val="42"/>
        </w:rPr>
        <w:sectPr>
          <w:pgSz w:w="11906" w:h="16838"/>
          <w:pgMar w:top="1701" w:right="1531" w:bottom="1701" w:left="153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收入支出决算总表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公开01表</w:t>
      </w:r>
    </w:p>
    <w:p>
      <w:pPr>
        <w:wordWrap w:val="0"/>
        <w:spacing w:line="400" w:lineRule="exact"/>
        <w:jc w:val="both"/>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w:t>
      </w:r>
      <w:r>
        <w:rPr>
          <w:rFonts w:hint="eastAsia" w:ascii="楷体_GB2312" w:eastAsia="楷体_GB2312"/>
          <w:sz w:val="28"/>
          <w:szCs w:val="28"/>
          <w:lang w:val="en-US" w:eastAsia="zh-CN"/>
        </w:rPr>
        <w:t xml:space="preserve">        </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905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45"/>
        <w:gridCol w:w="667"/>
        <w:gridCol w:w="1022"/>
        <w:gridCol w:w="2287"/>
        <w:gridCol w:w="732"/>
        <w:gridCol w:w="13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4734"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收 入</w:t>
            </w:r>
          </w:p>
        </w:tc>
        <w:tc>
          <w:tcPr>
            <w:tcW w:w="4321"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732" w:type="dxa"/>
            <w:tcBorders>
              <w:top w:val="nil"/>
              <w:left w:val="single" w:color="auto" w:sz="4" w:space="0"/>
              <w:bottom w:val="single" w:color="auto" w:sz="4" w:space="0"/>
              <w:right w:val="nil"/>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302"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p>
        </w:tc>
        <w:tc>
          <w:tcPr>
            <w:tcW w:w="102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1</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73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p>
        </w:tc>
        <w:tc>
          <w:tcPr>
            <w:tcW w:w="1302"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5909.99</w:t>
            </w: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一、一般公共服务支出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31</w:t>
            </w:r>
          </w:p>
        </w:tc>
        <w:tc>
          <w:tcPr>
            <w:tcW w:w="1302" w:type="dxa"/>
            <w:tcBorders>
              <w:top w:val="nil"/>
              <w:left w:val="nil"/>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4611.4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二、政府性基金预算财政拨款收入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124.64</w:t>
            </w: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二</w:t>
            </w:r>
            <w:r>
              <w:rPr>
                <w:rFonts w:hint="eastAsia" w:ascii="仿宋_GB2312" w:eastAsia="仿宋_GB2312"/>
                <w:sz w:val="18"/>
                <w:szCs w:val="18"/>
              </w:rPr>
              <w:t>、公共安全支出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32</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三、国有资本经营预算财政拨款收入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三</w:t>
            </w:r>
            <w:r>
              <w:rPr>
                <w:rFonts w:hint="eastAsia" w:ascii="仿宋_GB2312" w:eastAsia="仿宋_GB2312"/>
                <w:sz w:val="18"/>
                <w:szCs w:val="18"/>
              </w:rPr>
              <w:t>、教育支出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33</w:t>
            </w:r>
          </w:p>
        </w:tc>
        <w:tc>
          <w:tcPr>
            <w:tcW w:w="1302" w:type="dxa"/>
            <w:tcBorders>
              <w:top w:val="nil"/>
              <w:left w:val="nil"/>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472.07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2"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四、上级补助收入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四</w:t>
            </w:r>
            <w:r>
              <w:rPr>
                <w:rFonts w:hint="eastAsia" w:ascii="仿宋_GB2312" w:eastAsia="仿宋_GB2312"/>
                <w:sz w:val="18"/>
                <w:szCs w:val="18"/>
              </w:rPr>
              <w:t>、文化旅游体育与传媒支出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34</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五、事业收入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五</w:t>
            </w:r>
            <w:r>
              <w:rPr>
                <w:rFonts w:hint="eastAsia" w:ascii="仿宋_GB2312" w:eastAsia="仿宋_GB2312"/>
                <w:sz w:val="18"/>
                <w:szCs w:val="18"/>
              </w:rPr>
              <w:t>、社会保障和就业支出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35</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六、经营收入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六</w:t>
            </w:r>
            <w:r>
              <w:rPr>
                <w:rFonts w:hint="eastAsia" w:ascii="仿宋_GB2312" w:eastAsia="仿宋_GB2312"/>
                <w:sz w:val="18"/>
                <w:szCs w:val="18"/>
              </w:rPr>
              <w:t>、卫生健康支出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36</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七、附属</w:t>
            </w:r>
            <w:r>
              <w:rPr>
                <w:rFonts w:hint="eastAsia" w:ascii="仿宋_GB2312" w:eastAsia="仿宋_GB2312"/>
                <w:sz w:val="18"/>
                <w:szCs w:val="18"/>
                <w:lang w:eastAsia="zh-CN"/>
              </w:rPr>
              <w:t>单位</w:t>
            </w:r>
            <w:r>
              <w:rPr>
                <w:rFonts w:hint="eastAsia" w:ascii="仿宋_GB2312" w:eastAsia="仿宋_GB2312"/>
                <w:sz w:val="18"/>
                <w:szCs w:val="18"/>
              </w:rPr>
              <w:t>上缴收入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七</w:t>
            </w:r>
            <w:r>
              <w:rPr>
                <w:rFonts w:hint="eastAsia" w:ascii="仿宋_GB2312" w:eastAsia="仿宋_GB2312"/>
                <w:sz w:val="18"/>
                <w:szCs w:val="18"/>
              </w:rPr>
              <w:t>、节能环保支出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37</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35.52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八、其他收入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八</w:t>
            </w:r>
            <w:r>
              <w:rPr>
                <w:rFonts w:hint="eastAsia" w:ascii="仿宋_GB2312" w:eastAsia="仿宋_GB2312"/>
                <w:sz w:val="18"/>
                <w:szCs w:val="18"/>
              </w:rPr>
              <w:t>、城乡社区支出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38</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124.64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lang w:eastAsia="zh-CN"/>
              </w:rPr>
              <w:t>九</w:t>
            </w:r>
            <w:r>
              <w:rPr>
                <w:rFonts w:hint="eastAsia" w:ascii="仿宋_GB2312" w:eastAsia="仿宋_GB2312"/>
                <w:sz w:val="18"/>
                <w:szCs w:val="18"/>
              </w:rPr>
              <w:t>、农林水支出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39</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default" w:ascii="仿宋_GB2312" w:eastAsia="仿宋_GB2312"/>
                <w:sz w:val="18"/>
                <w:szCs w:val="18"/>
                <w:lang w:val="en-US" w:eastAsia="zh-CN"/>
              </w:rPr>
            </w:pPr>
            <w:r>
              <w:rPr>
                <w:rFonts w:hint="eastAsia" w:ascii="仿宋_GB2312" w:eastAsia="仿宋_GB2312"/>
                <w:sz w:val="18"/>
                <w:szCs w:val="18"/>
                <w:lang w:val="en-US" w:eastAsia="zh-CN"/>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十、住房保障支出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40</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十一、国有资本经营预算支出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41</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42</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43</w:t>
            </w:r>
          </w:p>
        </w:tc>
        <w:tc>
          <w:tcPr>
            <w:tcW w:w="1302"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44</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45</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46</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47</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48</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49</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50</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51</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52</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53</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54</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25</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55</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26</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b/>
                <w:bCs/>
                <w:sz w:val="18"/>
                <w:szCs w:val="18"/>
              </w:rPr>
              <w:t>本年收入合计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sz w:val="18"/>
                <w:szCs w:val="18"/>
              </w:rPr>
              <w:t>27</w:t>
            </w:r>
          </w:p>
        </w:tc>
        <w:tc>
          <w:tcPr>
            <w:tcW w:w="1022" w:type="dxa"/>
            <w:tcBorders>
              <w:top w:val="nil"/>
              <w:left w:val="nil"/>
              <w:bottom w:val="single" w:color="auto" w:sz="4" w:space="0"/>
              <w:right w:val="single" w:color="auto" w:sz="4" w:space="0"/>
            </w:tcBorders>
            <w:vAlign w:val="center"/>
          </w:tcPr>
          <w:p>
            <w:pPr>
              <w:spacing w:line="240" w:lineRule="exact"/>
              <w:jc w:val="center"/>
              <w:rPr>
                <w:rFonts w:hint="default" w:ascii="仿宋_GB2312" w:eastAsia="仿宋_GB2312"/>
                <w:b/>
                <w:bCs/>
                <w:sz w:val="18"/>
                <w:szCs w:val="18"/>
                <w:lang w:val="en-US" w:eastAsia="zh-CN"/>
              </w:rPr>
            </w:pPr>
            <w:r>
              <w:rPr>
                <w:rFonts w:hint="eastAsia" w:ascii="仿宋_GB2312" w:eastAsia="仿宋_GB2312"/>
                <w:b/>
                <w:bCs/>
                <w:sz w:val="18"/>
                <w:szCs w:val="18"/>
                <w:lang w:val="en-US" w:eastAsia="zh-CN"/>
              </w:rPr>
              <w:t>6034.63</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b/>
                <w:bCs/>
                <w:sz w:val="18"/>
                <w:szCs w:val="18"/>
              </w:rPr>
            </w:pPr>
            <w:r>
              <w:rPr>
                <w:rFonts w:hint="eastAsia" w:ascii="仿宋_GB2312" w:eastAsia="仿宋_GB2312"/>
                <w:b/>
                <w:bCs/>
                <w:sz w:val="18"/>
                <w:szCs w:val="18"/>
              </w:rPr>
              <w:t>本年支出合计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57</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b/>
                <w:bCs/>
                <w:sz w:val="18"/>
                <w:szCs w:val="18"/>
                <w:lang w:val="en-US" w:eastAsia="zh-CN"/>
              </w:rPr>
              <w:t>6034.63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使用非财政拨款结余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28</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结余分配</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58</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年初结转和结余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29</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年末结转和结余</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59</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b/>
                <w:bCs/>
                <w:sz w:val="18"/>
                <w:szCs w:val="18"/>
              </w:rPr>
              <w:t>总计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30</w:t>
            </w:r>
          </w:p>
        </w:tc>
        <w:tc>
          <w:tcPr>
            <w:tcW w:w="102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b/>
                <w:bCs/>
                <w:sz w:val="18"/>
                <w:szCs w:val="18"/>
                <w:lang w:val="en-US" w:eastAsia="zh-CN"/>
              </w:rPr>
              <w:t>6034.63</w:t>
            </w:r>
          </w:p>
        </w:tc>
        <w:tc>
          <w:tcPr>
            <w:tcW w:w="2287" w:type="dxa"/>
            <w:tcBorders>
              <w:top w:val="nil"/>
              <w:left w:val="nil"/>
              <w:bottom w:val="single" w:color="auto" w:sz="4" w:space="0"/>
              <w:right w:val="single" w:color="auto" w:sz="4" w:space="0"/>
            </w:tcBorders>
            <w:vAlign w:val="center"/>
          </w:tcPr>
          <w:p>
            <w:pPr>
              <w:spacing w:line="240" w:lineRule="exact"/>
              <w:jc w:val="center"/>
              <w:rPr>
                <w:rFonts w:hint="eastAsia" w:ascii="仿宋_GB2312" w:eastAsia="仿宋_GB2312"/>
                <w:sz w:val="18"/>
                <w:szCs w:val="18"/>
              </w:rPr>
            </w:pPr>
            <w:r>
              <w:rPr>
                <w:rFonts w:hint="eastAsia" w:ascii="仿宋_GB2312" w:eastAsia="仿宋_GB2312"/>
                <w:b/>
                <w:bCs/>
                <w:sz w:val="18"/>
                <w:szCs w:val="18"/>
              </w:rPr>
              <w:t>总计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60</w:t>
            </w:r>
          </w:p>
        </w:tc>
        <w:tc>
          <w:tcPr>
            <w:tcW w:w="1302" w:type="dxa"/>
            <w:tcBorders>
              <w:top w:val="nil"/>
              <w:left w:val="nil"/>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b/>
                <w:bCs/>
                <w:sz w:val="18"/>
                <w:szCs w:val="18"/>
                <w:lang w:val="en-US" w:eastAsia="zh-CN"/>
              </w:rPr>
              <w:t>6034.63</w:t>
            </w:r>
          </w:p>
        </w:tc>
      </w:tr>
    </w:tbl>
    <w:p>
      <w:pPr>
        <w:ind w:firstLine="88" w:firstLineChars="50"/>
        <w:rPr>
          <w:rFonts w:ascii="楷体_GB2312" w:eastAsia="楷体_GB2312"/>
          <w:sz w:val="28"/>
          <w:szCs w:val="28"/>
        </w:rPr>
        <w:sectPr>
          <w:pgSz w:w="11906" w:h="16838"/>
          <w:pgMar w:top="1701" w:right="1531" w:bottom="1701" w:left="1531" w:header="0" w:footer="1418" w:gutter="0"/>
          <w:cols w:space="720" w:num="1"/>
          <w:docGrid w:type="linesAndChars" w:linePitch="610" w:charSpace="-849"/>
        </w:sectPr>
      </w:pPr>
      <w:r>
        <w:rPr>
          <w:rFonts w:hint="eastAsia" w:ascii="仿宋_GB2312" w:hAnsi="宋体" w:eastAsia="仿宋_GB2312"/>
          <w:sz w:val="18"/>
          <w:szCs w:val="18"/>
        </w:rPr>
        <w:t>注：1.本表反映</w:t>
      </w:r>
      <w:r>
        <w:rPr>
          <w:rFonts w:hint="eastAsia" w:ascii="仿宋_GB2312" w:hAnsi="宋体" w:eastAsia="仿宋_GB2312"/>
          <w:sz w:val="18"/>
          <w:szCs w:val="18"/>
          <w:lang w:eastAsia="zh-CN"/>
        </w:rPr>
        <w:t>单位</w:t>
      </w:r>
      <w:r>
        <w:rPr>
          <w:rFonts w:hint="eastAsia" w:ascii="仿宋_GB2312" w:hAnsi="宋体" w:eastAsia="仿宋_GB2312"/>
          <w:sz w:val="18"/>
          <w:szCs w:val="18"/>
        </w:rPr>
        <w:t>本年度的总收支和年末结转结余情况。2.本套报表金额</w:t>
      </w:r>
      <w:r>
        <w:rPr>
          <w:rFonts w:hint="eastAsia" w:ascii="仿宋_GB2312" w:hAnsi="宋体" w:eastAsia="仿宋_GB2312"/>
          <w:sz w:val="18"/>
          <w:szCs w:val="18"/>
          <w:lang w:eastAsia="zh-CN"/>
        </w:rPr>
        <w:t>单位</w:t>
      </w:r>
      <w:r>
        <w:rPr>
          <w:rFonts w:hint="eastAsia" w:ascii="仿宋_GB2312" w:hAnsi="宋体" w:eastAsia="仿宋_GB2312"/>
          <w:sz w:val="18"/>
          <w:szCs w:val="18"/>
        </w:rPr>
        <w:t>转换时可能存在尾数误差。</w:t>
      </w:r>
    </w:p>
    <w:p>
      <w:pPr>
        <w:jc w:val="center"/>
        <w:rPr>
          <w:rFonts w:hint="eastAsia" w:ascii="方正小标宋简体" w:eastAsia="方正小标宋简体"/>
          <w:sz w:val="44"/>
          <w:szCs w:val="44"/>
        </w:rPr>
      </w:pPr>
      <w:r>
        <w:rPr>
          <w:rFonts w:hint="eastAsia" w:ascii="方正小标宋简体" w:eastAsia="方正小标宋简体"/>
          <w:sz w:val="44"/>
          <w:szCs w:val="44"/>
        </w:rPr>
        <w:t>收入决算表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公开02表 </w:t>
      </w:r>
    </w:p>
    <w:p>
      <w:pPr>
        <w:tabs>
          <w:tab w:val="left" w:pos="13467"/>
        </w:tabs>
        <w:wordWrap w:val="0"/>
        <w:spacing w:line="400" w:lineRule="exact"/>
        <w:ind w:right="107"/>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321"/>
        <w:gridCol w:w="2319"/>
        <w:gridCol w:w="1395"/>
        <w:gridCol w:w="1470"/>
        <w:gridCol w:w="1470"/>
        <w:gridCol w:w="1395"/>
        <w:gridCol w:w="1335"/>
        <w:gridCol w:w="1515"/>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3725"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39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470"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470"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395" w:type="dxa"/>
            <w:vMerge w:val="restart"/>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33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515" w:type="dxa"/>
            <w:vMerge w:val="restart"/>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附属</w:t>
            </w:r>
            <w:r>
              <w:rPr>
                <w:rFonts w:hint="eastAsia" w:ascii="仿宋_GB2312" w:hAnsi="宋体" w:eastAsia="仿宋_GB2312" w:cs="宋体"/>
                <w:kern w:val="0"/>
                <w:sz w:val="22"/>
                <w:szCs w:val="22"/>
                <w:lang w:eastAsia="zh-CN"/>
              </w:rPr>
              <w:t>单位</w:t>
            </w:r>
            <w:r>
              <w:rPr>
                <w:rFonts w:hint="eastAsia" w:ascii="仿宋_GB2312" w:hAnsi="宋体" w:eastAsia="仿宋_GB2312" w:cs="宋体"/>
                <w:kern w:val="0"/>
                <w:sz w:val="22"/>
                <w:szCs w:val="22"/>
              </w:rPr>
              <w:t xml:space="preserve">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128"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406" w:type="dxa"/>
            <w:gridSpan w:val="2"/>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2319"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39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470"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470"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395" w:type="dxa"/>
            <w:vMerge w:val="continue"/>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33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515" w:type="dxa"/>
            <w:vMerge w:val="continue"/>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128" w:type="dxa"/>
            <w:vMerge w:val="continue"/>
            <w:vAlign w:val="center"/>
          </w:tcPr>
          <w:p>
            <w:pPr>
              <w:widowControl/>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25" w:type="dxa"/>
            <w:gridSpan w:val="3"/>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395"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470"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470"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395"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35"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25" w:type="dxa"/>
            <w:gridSpan w:val="3"/>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395" w:type="dxa"/>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68990.93</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68990.93</w:t>
            </w:r>
          </w:p>
        </w:tc>
        <w:tc>
          <w:tcPr>
            <w:tcW w:w="1470" w:type="dxa"/>
            <w:vAlign w:val="center"/>
          </w:tcPr>
          <w:p>
            <w:pPr>
              <w:spacing w:line="300" w:lineRule="exact"/>
              <w:jc w:val="left"/>
              <w:rPr>
                <w:rFonts w:hint="eastAsia" w:ascii="仿宋_GB2312" w:hAnsi="宋体" w:eastAsia="仿宋_GB2312" w:cs="宋体"/>
                <w:kern w:val="0"/>
                <w:sz w:val="22"/>
                <w:szCs w:val="22"/>
              </w:rPr>
            </w:pPr>
          </w:p>
        </w:tc>
        <w:tc>
          <w:tcPr>
            <w:tcW w:w="1395" w:type="dxa"/>
            <w:vAlign w:val="center"/>
          </w:tcPr>
          <w:p>
            <w:pPr>
              <w:spacing w:line="300" w:lineRule="exact"/>
              <w:jc w:val="left"/>
              <w:rPr>
                <w:rFonts w:hint="eastAsia" w:ascii="仿宋_GB2312" w:hAnsi="宋体" w:eastAsia="仿宋_GB2312" w:cs="宋体"/>
                <w:kern w:val="0"/>
                <w:sz w:val="22"/>
                <w:szCs w:val="22"/>
              </w:rPr>
            </w:pPr>
          </w:p>
        </w:tc>
        <w:tc>
          <w:tcPr>
            <w:tcW w:w="1335" w:type="dxa"/>
            <w:vAlign w:val="center"/>
          </w:tcPr>
          <w:p>
            <w:pPr>
              <w:spacing w:line="300" w:lineRule="exact"/>
              <w:jc w:val="left"/>
              <w:rPr>
                <w:rFonts w:hint="eastAsia" w:ascii="仿宋_GB2312" w:hAnsi="宋体" w:eastAsia="仿宋_GB2312" w:cs="宋体"/>
                <w:kern w:val="0"/>
                <w:sz w:val="22"/>
                <w:szCs w:val="22"/>
              </w:rPr>
            </w:pPr>
          </w:p>
        </w:tc>
        <w:tc>
          <w:tcPr>
            <w:tcW w:w="1515" w:type="dxa"/>
            <w:vAlign w:val="center"/>
          </w:tcPr>
          <w:p>
            <w:pPr>
              <w:widowControl/>
              <w:spacing w:line="300" w:lineRule="exact"/>
              <w:jc w:val="left"/>
              <w:rPr>
                <w:rFonts w:hint="eastAsia" w:ascii="仿宋_GB2312" w:hAnsi="宋体" w:eastAsia="仿宋_GB2312" w:cs="宋体"/>
                <w:kern w:val="0"/>
                <w:sz w:val="22"/>
                <w:szCs w:val="22"/>
              </w:rPr>
            </w:pPr>
          </w:p>
        </w:tc>
        <w:tc>
          <w:tcPr>
            <w:tcW w:w="1128" w:type="dxa"/>
            <w:vAlign w:val="center"/>
          </w:tcPr>
          <w:p>
            <w:pPr>
              <w:widowControl/>
              <w:spacing w:line="300" w:lineRule="exact"/>
              <w:jc w:val="left"/>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一般公共服务支出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4,611.40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4,611.40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p>
        </w:tc>
        <w:tc>
          <w:tcPr>
            <w:tcW w:w="1395" w:type="dxa"/>
            <w:vAlign w:val="center"/>
          </w:tcPr>
          <w:p>
            <w:pPr>
              <w:widowControl/>
              <w:spacing w:line="300" w:lineRule="exact"/>
              <w:jc w:val="center"/>
              <w:rPr>
                <w:rFonts w:hint="eastAsia" w:ascii="仿宋_GB2312" w:hAnsi="宋体" w:eastAsia="仿宋_GB2312" w:cs="宋体"/>
                <w:kern w:val="0"/>
                <w:sz w:val="22"/>
                <w:szCs w:val="22"/>
              </w:rPr>
            </w:pPr>
          </w:p>
        </w:tc>
        <w:tc>
          <w:tcPr>
            <w:tcW w:w="1335" w:type="dxa"/>
            <w:vAlign w:val="center"/>
          </w:tcPr>
          <w:p>
            <w:pPr>
              <w:widowControl/>
              <w:spacing w:line="300" w:lineRule="exact"/>
              <w:jc w:val="center"/>
              <w:rPr>
                <w:rFonts w:hint="eastAsia" w:ascii="仿宋_GB2312" w:hAnsi="宋体" w:eastAsia="仿宋_GB2312" w:cs="宋体"/>
                <w:kern w:val="0"/>
                <w:sz w:val="22"/>
                <w:szCs w:val="22"/>
              </w:rPr>
            </w:pPr>
          </w:p>
        </w:tc>
        <w:tc>
          <w:tcPr>
            <w:tcW w:w="1515" w:type="dxa"/>
            <w:vAlign w:val="center"/>
          </w:tcPr>
          <w:p>
            <w:pPr>
              <w:widowControl/>
              <w:spacing w:line="300" w:lineRule="exact"/>
              <w:jc w:val="center"/>
              <w:rPr>
                <w:rFonts w:hint="eastAsia" w:ascii="仿宋_GB2312" w:hAnsi="宋体" w:eastAsia="仿宋_GB2312" w:cs="宋体"/>
                <w:kern w:val="0"/>
                <w:sz w:val="22"/>
                <w:szCs w:val="22"/>
              </w:rPr>
            </w:pPr>
          </w:p>
        </w:tc>
        <w:tc>
          <w:tcPr>
            <w:tcW w:w="1128" w:type="dxa"/>
            <w:vAlign w:val="center"/>
          </w:tcPr>
          <w:p>
            <w:pPr>
              <w:widowControl/>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政府办公厅（室）及相关机构事务</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p>
        </w:tc>
        <w:tc>
          <w:tcPr>
            <w:tcW w:w="1395" w:type="dxa"/>
            <w:vAlign w:val="center"/>
          </w:tcPr>
          <w:p>
            <w:pPr>
              <w:widowControl/>
              <w:spacing w:line="300" w:lineRule="exact"/>
              <w:jc w:val="center"/>
              <w:rPr>
                <w:rFonts w:hint="eastAsia" w:ascii="仿宋_GB2312" w:hAnsi="宋体" w:eastAsia="仿宋_GB2312" w:cs="宋体"/>
                <w:kern w:val="0"/>
                <w:sz w:val="22"/>
                <w:szCs w:val="22"/>
              </w:rPr>
            </w:pPr>
          </w:p>
        </w:tc>
        <w:tc>
          <w:tcPr>
            <w:tcW w:w="1335" w:type="dxa"/>
            <w:vAlign w:val="center"/>
          </w:tcPr>
          <w:p>
            <w:pPr>
              <w:widowControl/>
              <w:spacing w:line="300" w:lineRule="exact"/>
              <w:jc w:val="center"/>
              <w:rPr>
                <w:rFonts w:hint="eastAsia" w:ascii="仿宋_GB2312" w:hAnsi="宋体" w:eastAsia="仿宋_GB2312" w:cs="宋体"/>
                <w:kern w:val="0"/>
                <w:sz w:val="22"/>
                <w:szCs w:val="22"/>
              </w:rPr>
            </w:pPr>
          </w:p>
        </w:tc>
        <w:tc>
          <w:tcPr>
            <w:tcW w:w="1515" w:type="dxa"/>
            <w:vAlign w:val="center"/>
          </w:tcPr>
          <w:p>
            <w:pPr>
              <w:widowControl/>
              <w:spacing w:line="300" w:lineRule="exact"/>
              <w:jc w:val="center"/>
              <w:rPr>
                <w:rFonts w:hint="eastAsia" w:ascii="仿宋_GB2312" w:hAnsi="宋体" w:eastAsia="仿宋_GB2312" w:cs="宋体"/>
                <w:kern w:val="0"/>
                <w:sz w:val="22"/>
                <w:szCs w:val="22"/>
              </w:rPr>
            </w:pPr>
          </w:p>
        </w:tc>
        <w:tc>
          <w:tcPr>
            <w:tcW w:w="1128" w:type="dxa"/>
            <w:vAlign w:val="center"/>
          </w:tcPr>
          <w:p>
            <w:pPr>
              <w:widowControl/>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2010301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行政运行</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组织事务</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2013299</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其他组织事务支出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教育支出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普通教育</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学前教育</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小学教育</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c>
          <w:tcPr>
            <w:tcW w:w="147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9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3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社会保障和就业支出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民政管理事务</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25" w:type="dxa"/>
            <w:gridSpan w:val="3"/>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项       目</w:t>
            </w:r>
          </w:p>
        </w:tc>
        <w:tc>
          <w:tcPr>
            <w:tcW w:w="1395" w:type="dxa"/>
            <w:vMerge w:val="restart"/>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本年收入合计</w:t>
            </w:r>
          </w:p>
        </w:tc>
        <w:tc>
          <w:tcPr>
            <w:tcW w:w="1470" w:type="dxa"/>
            <w:vMerge w:val="restart"/>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财政拨款收入</w:t>
            </w:r>
          </w:p>
        </w:tc>
        <w:tc>
          <w:tcPr>
            <w:tcW w:w="1470" w:type="dxa"/>
            <w:vMerge w:val="restart"/>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上级补助收入</w:t>
            </w:r>
          </w:p>
        </w:tc>
        <w:tc>
          <w:tcPr>
            <w:tcW w:w="1395" w:type="dxa"/>
            <w:vMerge w:val="restart"/>
            <w:vAlign w:val="center"/>
          </w:tcPr>
          <w:p>
            <w:pPr>
              <w:widowControl/>
              <w:spacing w:line="300" w:lineRule="exact"/>
              <w:ind w:firstLine="216" w:firstLineChars="100"/>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事业收入</w:t>
            </w:r>
          </w:p>
        </w:tc>
        <w:tc>
          <w:tcPr>
            <w:tcW w:w="1335" w:type="dxa"/>
            <w:vMerge w:val="restart"/>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经营收入</w:t>
            </w:r>
          </w:p>
        </w:tc>
        <w:tc>
          <w:tcPr>
            <w:tcW w:w="1515" w:type="dxa"/>
            <w:vMerge w:val="restart"/>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附属</w:t>
            </w:r>
            <w:r>
              <w:rPr>
                <w:rFonts w:hint="eastAsia" w:ascii="仿宋_GB2312" w:hAnsi="宋体" w:eastAsia="仿宋_GB2312" w:cs="宋体"/>
                <w:kern w:val="0"/>
                <w:sz w:val="22"/>
                <w:szCs w:val="22"/>
                <w:lang w:eastAsia="zh-CN"/>
              </w:rPr>
              <w:t>单位</w:t>
            </w:r>
            <w:r>
              <w:rPr>
                <w:rFonts w:hint="eastAsia" w:ascii="仿宋_GB2312" w:hAnsi="宋体" w:eastAsia="仿宋_GB2312" w:cs="宋体"/>
                <w:kern w:val="0"/>
                <w:sz w:val="22"/>
                <w:szCs w:val="22"/>
              </w:rPr>
              <w:t xml:space="preserve">    </w:t>
            </w:r>
          </w:p>
          <w:p>
            <w:pPr>
              <w:widowControl/>
              <w:spacing w:line="300" w:lineRule="exact"/>
              <w:ind w:left="648" w:leftChars="0" w:hanging="648" w:hangingChars="300"/>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上缴收入</w:t>
            </w:r>
          </w:p>
        </w:tc>
        <w:tc>
          <w:tcPr>
            <w:tcW w:w="1128" w:type="dxa"/>
            <w:vMerge w:val="restart"/>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06"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功能分类  科目编码</w:t>
            </w:r>
          </w:p>
        </w:tc>
        <w:tc>
          <w:tcPr>
            <w:tcW w:w="2319"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科目名称</w:t>
            </w:r>
          </w:p>
        </w:tc>
        <w:tc>
          <w:tcPr>
            <w:tcW w:w="1395" w:type="dxa"/>
            <w:vMerge w:val="continue"/>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1470" w:type="dxa"/>
            <w:vMerge w:val="continue"/>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1470"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Merge w:val="continue"/>
            <w:vAlign w:val="center"/>
          </w:tcPr>
          <w:p>
            <w:pPr>
              <w:widowControl/>
              <w:spacing w:line="300" w:lineRule="exact"/>
              <w:ind w:firstLine="216" w:firstLineChars="100"/>
              <w:rPr>
                <w:rFonts w:hint="eastAsia" w:ascii="仿宋_GB2312" w:hAnsi="宋体" w:eastAsia="仿宋_GB2312" w:cs="宋体"/>
                <w:kern w:val="0"/>
                <w:sz w:val="22"/>
                <w:szCs w:val="22"/>
                <w:lang w:val="en-US" w:eastAsia="zh-CN"/>
              </w:rPr>
            </w:pPr>
          </w:p>
        </w:tc>
        <w:tc>
          <w:tcPr>
            <w:tcW w:w="1335"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Merge w:val="continue"/>
            <w:vAlign w:val="center"/>
          </w:tcPr>
          <w:p>
            <w:pPr>
              <w:widowControl/>
              <w:spacing w:line="300" w:lineRule="exact"/>
              <w:ind w:left="648" w:leftChars="0" w:hanging="648" w:hangingChars="300"/>
              <w:jc w:val="center"/>
              <w:rPr>
                <w:rFonts w:hint="eastAsia" w:ascii="仿宋_GB2312" w:hAnsi="宋体" w:eastAsia="仿宋_GB2312" w:cs="宋体"/>
                <w:kern w:val="0"/>
                <w:sz w:val="22"/>
                <w:szCs w:val="22"/>
                <w:lang w:val="en-US" w:eastAsia="zh-CN"/>
              </w:rPr>
            </w:pPr>
          </w:p>
        </w:tc>
        <w:tc>
          <w:tcPr>
            <w:tcW w:w="1128"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2080208</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基层政权建设和社区治理</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节能环保支出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自然生态保护</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2110402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农村环境保护</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城乡社区支出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国有土地使用权出让收入安排的支出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2120804</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农村基础设施建设支出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农林水支出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农村综合改革</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2130705</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对村民委员会和村党支部的补助</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住房保障支出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保障性安居工程支出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2210199</w:t>
            </w:r>
          </w:p>
        </w:tc>
        <w:tc>
          <w:tcPr>
            <w:tcW w:w="26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其他保障性安居工程支出</w:t>
            </w: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7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9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33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1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bl>
    <w:p>
      <w:pPr>
        <w:ind w:firstLine="108" w:firstLineChars="50"/>
        <w:rPr>
          <w:rFonts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本年度取得的各项收入情况。</w: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eastAsia="方正小标宋简体"/>
          <w:sz w:val="44"/>
          <w:szCs w:val="44"/>
        </w:rPr>
        <w:t>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公开03表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ascii="楷体_GB2312" w:eastAsia="楷体_GB2312"/>
          <w:sz w:val="28"/>
          <w:szCs w:val="28"/>
        </w:rPr>
        <w:t xml:space="preserve"> </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269"/>
        <w:gridCol w:w="3571"/>
        <w:gridCol w:w="1815"/>
        <w:gridCol w:w="1425"/>
        <w:gridCol w:w="1485"/>
        <w:gridCol w:w="1290"/>
        <w:gridCol w:w="1110"/>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4972"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81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42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48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290"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110"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281" w:type="dxa"/>
            <w:vMerge w:val="restart"/>
            <w:vAlign w:val="center"/>
          </w:tcPr>
          <w:p>
            <w:pPr>
              <w:widowControl/>
              <w:spacing w:line="300" w:lineRule="exact"/>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对附属</w:t>
            </w:r>
            <w:r>
              <w:rPr>
                <w:rFonts w:hint="eastAsia" w:ascii="仿宋_GB2312" w:hAnsi="宋体" w:eastAsia="仿宋_GB2312" w:cs="宋体"/>
                <w:kern w:val="0"/>
                <w:sz w:val="22"/>
                <w:szCs w:val="22"/>
                <w:lang w:eastAsia="zh-CN"/>
              </w:rPr>
              <w:t>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1401" w:type="dxa"/>
            <w:gridSpan w:val="2"/>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3571"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81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42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48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290"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110"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281" w:type="dxa"/>
            <w:vMerge w:val="continue"/>
            <w:vAlign w:val="center"/>
          </w:tcPr>
          <w:p>
            <w:pPr>
              <w:widowControl/>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4972"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81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42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48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29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11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281"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4972" w:type="dxa"/>
            <w:gridSpan w:val="3"/>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合  计</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6,034.63</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1,706.23</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rPr>
            </w:pPr>
          </w:p>
        </w:tc>
        <w:tc>
          <w:tcPr>
            <w:tcW w:w="1281" w:type="dxa"/>
            <w:vAlign w:val="center"/>
          </w:tcPr>
          <w:p>
            <w:pPr>
              <w:widowControl/>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一般公共服务支出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4,611.40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政府办公厅（室）及相关机构事务</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2010301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行政运行</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组织事务</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2013299</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其他组织事务支出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教育支出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普通教育</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学前教育</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小学教育</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社会保障和就业支出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民政管理事务</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4972" w:type="dxa"/>
            <w:gridSpan w:val="3"/>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项       目</w:t>
            </w:r>
          </w:p>
        </w:tc>
        <w:tc>
          <w:tcPr>
            <w:tcW w:w="1815" w:type="dxa"/>
            <w:vMerge w:val="restart"/>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本年支出合计</w:t>
            </w:r>
          </w:p>
        </w:tc>
        <w:tc>
          <w:tcPr>
            <w:tcW w:w="1425" w:type="dxa"/>
            <w:vMerge w:val="restart"/>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基本支出</w:t>
            </w:r>
          </w:p>
        </w:tc>
        <w:tc>
          <w:tcPr>
            <w:tcW w:w="1485" w:type="dxa"/>
            <w:vMerge w:val="restart"/>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项目支出</w:t>
            </w:r>
          </w:p>
        </w:tc>
        <w:tc>
          <w:tcPr>
            <w:tcW w:w="1290" w:type="dxa"/>
            <w:vMerge w:val="restart"/>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上缴上级支出</w:t>
            </w:r>
          </w:p>
        </w:tc>
        <w:tc>
          <w:tcPr>
            <w:tcW w:w="1110" w:type="dxa"/>
            <w:vMerge w:val="restart"/>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 xml:space="preserve">经营支出    </w:t>
            </w:r>
          </w:p>
        </w:tc>
        <w:tc>
          <w:tcPr>
            <w:tcW w:w="1281" w:type="dxa"/>
            <w:vMerge w:val="restart"/>
            <w:vAlign w:val="center"/>
          </w:tcPr>
          <w:p>
            <w:pPr>
              <w:widowControl/>
              <w:spacing w:line="300" w:lineRule="exact"/>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对附属</w:t>
            </w:r>
            <w:r>
              <w:rPr>
                <w:rFonts w:hint="eastAsia" w:ascii="仿宋_GB2312" w:hAnsi="宋体" w:eastAsia="仿宋_GB2312" w:cs="宋体"/>
                <w:kern w:val="0"/>
                <w:sz w:val="22"/>
                <w:szCs w:val="22"/>
                <w:lang w:eastAsia="zh-CN"/>
              </w:rPr>
              <w:t>单位</w:t>
            </w:r>
          </w:p>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401"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功能分类 科目编码</w:t>
            </w:r>
          </w:p>
        </w:tc>
        <w:tc>
          <w:tcPr>
            <w:tcW w:w="357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科目名称</w:t>
            </w:r>
          </w:p>
        </w:tc>
        <w:tc>
          <w:tcPr>
            <w:tcW w:w="1815" w:type="dxa"/>
            <w:vMerge w:val="continue"/>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1425" w:type="dxa"/>
            <w:vMerge w:val="continue"/>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1485" w:type="dxa"/>
            <w:vMerge w:val="continue"/>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1290"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Merge w:val="continue"/>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2080208</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基层政权建设和社区治理</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节能环保支出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自然生态保护</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2110402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农村环境保护</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城乡社区支出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国有土地使用权出让收入安排的支出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2120804</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农村基础设施建设支出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农林水支出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农村综合改革</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2130705</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对村民委员会和村党支部的补助</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住房保障支出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保障性安居工程支出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13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2210199</w:t>
            </w:r>
          </w:p>
        </w:tc>
        <w:tc>
          <w:tcPr>
            <w:tcW w:w="3840"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其他保障性安居工程支出</w:t>
            </w:r>
          </w:p>
        </w:tc>
        <w:tc>
          <w:tcPr>
            <w:tcW w:w="181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42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8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11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281"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本年度各项支出情况。</w:t>
      </w:r>
    </w:p>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财政拨款收入支出决算总表</w:t>
      </w:r>
    </w:p>
    <w:p>
      <w:pPr>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公开04表</w:t>
      </w:r>
    </w:p>
    <w:p>
      <w:pPr>
        <w:spacing w:line="400" w:lineRule="exact"/>
        <w:jc w:val="lef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w:t>
      </w:r>
      <w:r>
        <w:rPr>
          <w:rFonts w:hint="eastAsia" w:ascii="楷体_GB2312" w:eastAsia="楷体_GB2312"/>
          <w:sz w:val="28"/>
          <w:szCs w:val="28"/>
          <w:lang w:val="en-US" w:eastAsia="zh-CN"/>
        </w:rPr>
        <w:t xml:space="preserve">            </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72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22"/>
        <w:gridCol w:w="540"/>
        <w:gridCol w:w="1512"/>
        <w:gridCol w:w="2628"/>
        <w:gridCol w:w="540"/>
        <w:gridCol w:w="1090"/>
        <w:gridCol w:w="1417"/>
        <w:gridCol w:w="1418"/>
        <w:gridCol w:w="15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074" w:type="dxa"/>
            <w:gridSpan w:val="3"/>
            <w:tcBorders>
              <w:top w:val="single" w:color="auto" w:sz="4" w:space="0"/>
              <w:bottom w:val="single" w:color="auto" w:sz="4" w:space="0"/>
              <w:right w:val="nil"/>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收 入</w:t>
            </w:r>
          </w:p>
        </w:tc>
        <w:tc>
          <w:tcPr>
            <w:tcW w:w="8652" w:type="dxa"/>
            <w:gridSpan w:val="6"/>
            <w:tcBorders>
              <w:top w:val="single" w:color="auto" w:sz="4" w:space="0"/>
              <w:left w:val="nil"/>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金额</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合计</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财政拨款</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政府性基金</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预算财政拨款</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国有资本经营预算财政拨款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ind w:firstLine="1176" w:firstLineChars="6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一、一般公共预算财政拨款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1512" w:type="dxa"/>
            <w:tcBorders>
              <w:top w:val="single" w:color="auto" w:sz="4" w:space="0"/>
              <w:left w:val="single" w:color="auto" w:sz="4" w:space="0"/>
              <w:bottom w:val="single" w:color="auto" w:sz="4" w:space="0"/>
              <w:right w:val="single" w:color="auto" w:sz="4" w:space="0"/>
            </w:tcBorders>
            <w:vAlign w:val="bottom"/>
          </w:tcPr>
          <w:p>
            <w:pPr>
              <w:widowControl/>
              <w:spacing w:line="300" w:lineRule="exact"/>
              <w:jc w:val="center"/>
              <w:rPr>
                <w:rFonts w:hint="default" w:ascii="仿宋_GB2312" w:hAnsi="宋体" w:eastAsia="仿宋_GB2312" w:cs="宋体"/>
                <w:kern w:val="0"/>
                <w:sz w:val="20"/>
                <w:szCs w:val="20"/>
                <w:lang w:val="en-US"/>
              </w:rPr>
            </w:pPr>
            <w:r>
              <w:rPr>
                <w:rFonts w:hint="eastAsia" w:ascii="仿宋_GB2312" w:hAnsi="宋体" w:eastAsia="仿宋_GB2312" w:cs="宋体"/>
                <w:kern w:val="0"/>
                <w:sz w:val="20"/>
                <w:szCs w:val="20"/>
                <w:lang w:val="en-US" w:eastAsia="zh-CN"/>
              </w:rPr>
              <w:t>5909.99</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rPr>
              <w:t>一、一般公共服务支出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18</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rPr>
              <w:t>4611.4</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4852.22　</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二、政府性基金预算财政拨款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512" w:type="dxa"/>
            <w:tcBorders>
              <w:top w:val="single" w:color="auto" w:sz="4" w:space="0"/>
              <w:left w:val="single" w:color="auto" w:sz="4" w:space="0"/>
              <w:bottom w:val="single" w:color="auto" w:sz="4" w:space="0"/>
              <w:right w:val="single" w:color="auto" w:sz="4" w:space="0"/>
            </w:tcBorders>
            <w:vAlign w:val="bottom"/>
          </w:tcPr>
          <w:p>
            <w:pPr>
              <w:widowControl/>
              <w:spacing w:line="300" w:lineRule="exact"/>
              <w:jc w:val="center"/>
              <w:rPr>
                <w:rFonts w:hint="default" w:ascii="仿宋_GB2312" w:hAnsi="宋体" w:eastAsia="仿宋_GB2312" w:cs="宋体"/>
                <w:kern w:val="0"/>
                <w:sz w:val="20"/>
                <w:szCs w:val="20"/>
                <w:lang w:val="en-US"/>
              </w:rPr>
            </w:pPr>
            <w:r>
              <w:rPr>
                <w:rFonts w:hint="eastAsia" w:ascii="仿宋_GB2312" w:hAnsi="宋体" w:eastAsia="仿宋_GB2312" w:cs="宋体"/>
                <w:kern w:val="0"/>
                <w:sz w:val="20"/>
                <w:szCs w:val="20"/>
                <w:lang w:val="en-US" w:eastAsia="zh-CN"/>
              </w:rPr>
              <w:t>124.64</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二</w:t>
            </w:r>
            <w:r>
              <w:rPr>
                <w:rFonts w:hint="eastAsia" w:ascii="仿宋_GB2312" w:eastAsia="仿宋_GB2312"/>
                <w:sz w:val="18"/>
                <w:szCs w:val="18"/>
              </w:rPr>
              <w:t>、公共安全支出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19</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三、国有资本经营预算财政拨款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512" w:type="dxa"/>
            <w:tcBorders>
              <w:top w:val="single" w:color="auto" w:sz="4" w:space="0"/>
              <w:left w:val="single" w:color="auto" w:sz="4" w:space="0"/>
              <w:bottom w:val="single" w:color="auto" w:sz="4" w:space="0"/>
              <w:right w:val="single" w:color="auto" w:sz="4" w:space="0"/>
            </w:tcBorders>
            <w:vAlign w:val="bottom"/>
          </w:tcPr>
          <w:p>
            <w:pPr>
              <w:widowControl/>
              <w:spacing w:line="300" w:lineRule="exact"/>
              <w:jc w:val="center"/>
              <w:rPr>
                <w:rFonts w:hint="eastAsia" w:ascii="仿宋_GB2312" w:hAnsi="宋体" w:eastAsia="仿宋_GB2312" w:cs="宋体"/>
                <w:kern w:val="0"/>
                <w:sz w:val="20"/>
                <w:szCs w:val="20"/>
              </w:rPr>
            </w:pP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三</w:t>
            </w:r>
            <w:r>
              <w:rPr>
                <w:rFonts w:hint="eastAsia" w:ascii="仿宋_GB2312" w:eastAsia="仿宋_GB2312"/>
                <w:sz w:val="18"/>
                <w:szCs w:val="18"/>
              </w:rPr>
              <w:t>、教育支出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20</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472.07</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472.07</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四</w:t>
            </w:r>
            <w:r>
              <w:rPr>
                <w:rFonts w:hint="eastAsia" w:ascii="仿宋_GB2312" w:eastAsia="仿宋_GB2312"/>
                <w:sz w:val="18"/>
                <w:szCs w:val="18"/>
              </w:rPr>
              <w:t>、文化旅游体育与传媒支出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21</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五</w:t>
            </w:r>
            <w:r>
              <w:rPr>
                <w:rFonts w:hint="eastAsia" w:ascii="仿宋_GB2312" w:eastAsia="仿宋_GB2312"/>
                <w:sz w:val="18"/>
                <w:szCs w:val="18"/>
              </w:rPr>
              <w:t>、社会保障和就业支出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22</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196</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196</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六</w:t>
            </w:r>
            <w:r>
              <w:rPr>
                <w:rFonts w:hint="eastAsia" w:ascii="仿宋_GB2312" w:eastAsia="仿宋_GB2312"/>
                <w:sz w:val="18"/>
                <w:szCs w:val="18"/>
              </w:rPr>
              <w:t>、卫生健康支出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2</w:t>
            </w:r>
            <w:r>
              <w:rPr>
                <w:rFonts w:hint="eastAsia" w:ascii="仿宋_GB2312" w:hAnsi="宋体" w:eastAsia="仿宋_GB2312" w:cs="宋体"/>
                <w:kern w:val="0"/>
                <w:sz w:val="20"/>
                <w:szCs w:val="20"/>
                <w:lang w:val="en-US" w:eastAsia="zh-CN"/>
              </w:rPr>
              <w:t>3</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七</w:t>
            </w:r>
            <w:r>
              <w:rPr>
                <w:rFonts w:hint="eastAsia" w:ascii="仿宋_GB2312" w:eastAsia="仿宋_GB2312"/>
                <w:sz w:val="18"/>
                <w:szCs w:val="18"/>
              </w:rPr>
              <w:t>、节能环保支出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2</w:t>
            </w:r>
            <w:r>
              <w:rPr>
                <w:rFonts w:hint="eastAsia" w:ascii="仿宋_GB2312" w:hAnsi="宋体" w:eastAsia="仿宋_GB2312" w:cs="宋体"/>
                <w:kern w:val="0"/>
                <w:sz w:val="20"/>
                <w:szCs w:val="20"/>
                <w:lang w:val="en-US" w:eastAsia="zh-CN"/>
              </w:rPr>
              <w:t>4</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35.52</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35.52</w:t>
            </w:r>
          </w:p>
        </w:tc>
        <w:tc>
          <w:tcPr>
            <w:tcW w:w="1418" w:type="dxa"/>
            <w:tcBorders>
              <w:top w:val="single" w:color="auto" w:sz="4" w:space="0"/>
              <w:left w:val="single" w:color="auto" w:sz="4" w:space="0"/>
              <w:bottom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8</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八</w:t>
            </w:r>
            <w:r>
              <w:rPr>
                <w:rFonts w:hint="eastAsia" w:ascii="仿宋_GB2312" w:eastAsia="仿宋_GB2312"/>
                <w:sz w:val="18"/>
                <w:szCs w:val="18"/>
              </w:rPr>
              <w:t>、城乡社区支出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25</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124.64</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bidi="ar-SA"/>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124.64</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9</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lang w:eastAsia="zh-CN"/>
              </w:rPr>
              <w:t>九</w:t>
            </w:r>
            <w:r>
              <w:rPr>
                <w:rFonts w:hint="eastAsia" w:ascii="仿宋_GB2312" w:eastAsia="仿宋_GB2312"/>
                <w:sz w:val="18"/>
                <w:szCs w:val="18"/>
              </w:rPr>
              <w:t>、农林水支出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26</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330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r>
              <w:rPr>
                <w:rFonts w:hint="eastAsia" w:ascii="仿宋_GB2312" w:hAnsi="宋体" w:eastAsia="仿宋_GB2312" w:cs="宋体"/>
                <w:kern w:val="0"/>
                <w:sz w:val="20"/>
                <w:szCs w:val="20"/>
                <w:lang w:val="en-US" w:eastAsia="zh-CN" w:bidi="ar-SA"/>
              </w:rPr>
              <w:t>330</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10</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rPr>
              <w:t>十、住房保障支出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27</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bidi="ar-SA"/>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11</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hAnsi="宋体" w:eastAsia="仿宋_GB2312" w:cs="宋体"/>
                <w:kern w:val="0"/>
                <w:sz w:val="20"/>
                <w:szCs w:val="20"/>
              </w:rPr>
            </w:pPr>
            <w:r>
              <w:rPr>
                <w:rFonts w:hint="eastAsia" w:ascii="仿宋_GB2312" w:eastAsia="仿宋_GB2312"/>
                <w:sz w:val="18"/>
                <w:szCs w:val="18"/>
              </w:rPr>
              <w:t>十一、国有资本经营预算支出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28</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default" w:ascii="仿宋_GB2312" w:hAnsi="宋体" w:eastAsia="仿宋_GB2312" w:cs="宋体"/>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本年收入合计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12</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b/>
                <w:bCs/>
                <w:kern w:val="0"/>
                <w:sz w:val="20"/>
                <w:szCs w:val="20"/>
                <w:lang w:val="en-US" w:eastAsia="zh-CN"/>
              </w:rPr>
              <w:t>6034.63</w:t>
            </w: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本年支出合计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2</w:t>
            </w:r>
            <w:r>
              <w:rPr>
                <w:rFonts w:hint="eastAsia" w:ascii="仿宋_GB2312" w:hAnsi="宋体" w:eastAsia="仿宋_GB2312" w:cs="宋体"/>
                <w:kern w:val="0"/>
                <w:sz w:val="20"/>
                <w:szCs w:val="20"/>
                <w:lang w:val="en-US" w:eastAsia="zh-CN"/>
              </w:rPr>
              <w:t>9</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lang w:val="en-US" w:eastAsia="zh-CN"/>
              </w:rPr>
              <w:t>6034.63</w:t>
            </w:r>
            <w:r>
              <w:rPr>
                <w:rFonts w:hint="eastAsia" w:ascii="仿宋_GB2312" w:hAnsi="宋体" w:eastAsia="仿宋_GB2312" w:cs="宋体"/>
                <w:b/>
                <w:bCs/>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b/>
                <w:bCs/>
                <w:kern w:val="0"/>
                <w:sz w:val="20"/>
                <w:szCs w:val="20"/>
                <w:lang w:val="en-US" w:eastAsia="zh-CN"/>
              </w:rPr>
            </w:pPr>
            <w:r>
              <w:rPr>
                <w:rFonts w:hint="eastAsia" w:ascii="仿宋_GB2312" w:hAnsi="宋体" w:eastAsia="仿宋_GB2312" w:cs="宋体"/>
                <w:b/>
                <w:bCs/>
                <w:kern w:val="0"/>
                <w:sz w:val="20"/>
                <w:szCs w:val="20"/>
              </w:rPr>
              <w:t>　</w:t>
            </w:r>
            <w:r>
              <w:rPr>
                <w:rFonts w:hint="eastAsia" w:ascii="仿宋_GB2312" w:hAnsi="宋体" w:eastAsia="仿宋_GB2312" w:cs="宋体"/>
                <w:b/>
                <w:bCs/>
                <w:kern w:val="0"/>
                <w:sz w:val="20"/>
                <w:szCs w:val="20"/>
                <w:lang w:val="en-US" w:eastAsia="zh-CN"/>
              </w:rPr>
              <w:t>5909.99</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lang w:val="en-US" w:eastAsia="zh-CN"/>
              </w:rPr>
              <w:t>124.64</w:t>
            </w:r>
            <w:r>
              <w:rPr>
                <w:rFonts w:hint="eastAsia" w:ascii="仿宋_GB2312" w:hAnsi="宋体" w:eastAsia="仿宋_GB2312" w:cs="宋体"/>
                <w:b/>
                <w:bCs/>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年初财政拨款结转和结余</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1</w:t>
            </w:r>
            <w:r>
              <w:rPr>
                <w:rFonts w:hint="eastAsia" w:ascii="仿宋_GB2312" w:hAnsi="宋体" w:eastAsia="仿宋_GB2312" w:cs="宋体"/>
                <w:kern w:val="0"/>
                <w:sz w:val="20"/>
                <w:szCs w:val="20"/>
                <w:lang w:val="en-US" w:eastAsia="zh-CN"/>
              </w:rPr>
              <w:t>3</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年末财政拨款结转和结余</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30</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ind w:firstLine="392" w:firstLineChars="2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1</w:t>
            </w:r>
            <w:r>
              <w:rPr>
                <w:rFonts w:hint="eastAsia" w:ascii="仿宋_GB2312" w:hAnsi="宋体" w:eastAsia="仿宋_GB2312" w:cs="宋体"/>
                <w:kern w:val="0"/>
                <w:sz w:val="20"/>
                <w:szCs w:val="20"/>
                <w:lang w:val="en-US" w:eastAsia="zh-CN"/>
              </w:rPr>
              <w:t>4</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31</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政府性基金预算财政拨款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1</w:t>
            </w:r>
            <w:r>
              <w:rPr>
                <w:rFonts w:hint="eastAsia" w:ascii="仿宋_GB2312" w:hAnsi="宋体" w:eastAsia="仿宋_GB2312" w:cs="宋体"/>
                <w:kern w:val="0"/>
                <w:sz w:val="20"/>
                <w:szCs w:val="20"/>
                <w:lang w:val="en-US" w:eastAsia="zh-CN"/>
              </w:rPr>
              <w:t>5</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32</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5074" w:type="dxa"/>
            <w:gridSpan w:val="3"/>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收 入</w:t>
            </w:r>
          </w:p>
        </w:tc>
        <w:tc>
          <w:tcPr>
            <w:tcW w:w="8652" w:type="dxa"/>
            <w:gridSpan w:val="6"/>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行次</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金额</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rPr>
              <w:t>行次</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合计</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财政拨款</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政府性基金</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预算财政拨款</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国有资本经营预算财政拨款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ind w:firstLine="1176" w:firstLineChars="6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418" w:type="dxa"/>
            <w:tcBorders>
              <w:top w:val="single" w:color="auto" w:sz="4" w:space="0"/>
              <w:left w:val="single" w:color="auto" w:sz="4" w:space="0"/>
              <w:bottom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59" w:type="dxa"/>
            <w:tcBorders>
              <w:top w:val="single" w:color="auto" w:sz="4" w:space="0"/>
              <w:left w:val="single" w:color="auto" w:sz="4" w:space="0"/>
              <w:bottom w:val="single" w:color="auto" w:sz="4" w:space="0"/>
            </w:tcBorders>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国有资本经营预算财政拨款</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16</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33</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17</w:t>
            </w:r>
          </w:p>
        </w:tc>
        <w:tc>
          <w:tcPr>
            <w:tcW w:w="15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b/>
                <w:bCs/>
                <w:kern w:val="0"/>
                <w:sz w:val="20"/>
                <w:szCs w:val="20"/>
                <w:lang w:val="en-US" w:eastAsia="zh-CN"/>
              </w:rPr>
              <w:t>6034.63</w:t>
            </w: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34</w:t>
            </w:r>
          </w:p>
        </w:tc>
        <w:tc>
          <w:tcPr>
            <w:tcW w:w="109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bCs/>
                <w:kern w:val="0"/>
                <w:sz w:val="20"/>
                <w:szCs w:val="20"/>
                <w:lang w:val="en-US" w:eastAsia="zh-CN" w:bidi="ar-SA"/>
              </w:rPr>
            </w:pPr>
            <w:r>
              <w:rPr>
                <w:rFonts w:hint="eastAsia" w:ascii="仿宋_GB2312" w:hAnsi="宋体" w:eastAsia="仿宋_GB2312" w:cs="宋体"/>
                <w:b/>
                <w:bCs/>
                <w:kern w:val="0"/>
                <w:sz w:val="20"/>
                <w:szCs w:val="20"/>
                <w:lang w:val="en-US" w:eastAsia="zh-CN"/>
              </w:rPr>
              <w:t>6034.63</w:t>
            </w:r>
            <w:r>
              <w:rPr>
                <w:rFonts w:hint="eastAsia" w:ascii="仿宋_GB2312" w:hAnsi="宋体" w:eastAsia="仿宋_GB2312" w:cs="宋体"/>
                <w:b/>
                <w:bCs/>
                <w:kern w:val="0"/>
                <w:sz w:val="20"/>
                <w:szCs w:val="20"/>
              </w:rPr>
              <w:t>　</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b/>
                <w:bCs/>
                <w:kern w:val="0"/>
                <w:sz w:val="20"/>
                <w:szCs w:val="20"/>
                <w:lang w:val="en-US" w:eastAsia="zh-CN" w:bidi="ar-SA"/>
              </w:rPr>
            </w:pPr>
            <w:r>
              <w:rPr>
                <w:rFonts w:hint="eastAsia" w:ascii="仿宋_GB2312" w:hAnsi="宋体" w:eastAsia="仿宋_GB2312" w:cs="宋体"/>
                <w:b/>
                <w:bCs/>
                <w:kern w:val="0"/>
                <w:sz w:val="20"/>
                <w:szCs w:val="20"/>
              </w:rPr>
              <w:t>　</w:t>
            </w:r>
            <w:r>
              <w:rPr>
                <w:rFonts w:hint="eastAsia" w:ascii="仿宋_GB2312" w:hAnsi="宋体" w:eastAsia="仿宋_GB2312" w:cs="宋体"/>
                <w:b/>
                <w:bCs/>
                <w:kern w:val="0"/>
                <w:sz w:val="20"/>
                <w:szCs w:val="20"/>
                <w:lang w:val="en-US" w:eastAsia="zh-CN"/>
              </w:rPr>
              <w:t>5909.99</w:t>
            </w:r>
          </w:p>
        </w:tc>
        <w:tc>
          <w:tcPr>
            <w:tcW w:w="1418" w:type="dxa"/>
            <w:tcBorders>
              <w:top w:val="single" w:color="auto" w:sz="4" w:space="0"/>
              <w:left w:val="single" w:color="auto" w:sz="4" w:space="0"/>
              <w:bottom w:val="single" w:color="auto" w:sz="4" w:space="0"/>
            </w:tcBorders>
            <w:vAlign w:val="center"/>
          </w:tcPr>
          <w:p>
            <w:pPr>
              <w:widowControl/>
              <w:spacing w:line="300" w:lineRule="exact"/>
              <w:jc w:val="left"/>
              <w:rPr>
                <w:rFonts w:hint="eastAsia" w:ascii="仿宋_GB2312" w:hAnsi="宋体" w:eastAsia="仿宋_GB2312" w:cs="宋体"/>
                <w:b/>
                <w:bCs/>
                <w:kern w:val="0"/>
                <w:sz w:val="20"/>
                <w:szCs w:val="20"/>
                <w:lang w:val="en-US" w:eastAsia="zh-CN" w:bidi="ar-SA"/>
              </w:rPr>
            </w:pPr>
            <w:r>
              <w:rPr>
                <w:rFonts w:hint="eastAsia" w:ascii="仿宋_GB2312" w:hAnsi="宋体" w:eastAsia="仿宋_GB2312" w:cs="宋体"/>
                <w:b/>
                <w:bCs/>
                <w:kern w:val="0"/>
                <w:sz w:val="20"/>
                <w:szCs w:val="20"/>
                <w:lang w:val="en-US" w:eastAsia="zh-CN"/>
              </w:rPr>
              <w:t>124.64</w:t>
            </w:r>
            <w:r>
              <w:rPr>
                <w:rFonts w:hint="eastAsia" w:ascii="仿宋_GB2312" w:hAnsi="宋体" w:eastAsia="仿宋_GB2312" w:cs="宋体"/>
                <w:b/>
                <w:bCs/>
                <w:kern w:val="0"/>
                <w:sz w:val="20"/>
                <w:szCs w:val="20"/>
              </w:rPr>
              <w:t>　</w:t>
            </w:r>
          </w:p>
        </w:tc>
        <w:tc>
          <w:tcPr>
            <w:tcW w:w="1559" w:type="dxa"/>
            <w:tcBorders>
              <w:top w:val="single" w:color="auto" w:sz="4" w:space="0"/>
              <w:left w:val="single" w:color="auto" w:sz="4" w:space="0"/>
              <w:bottom w:val="single" w:color="auto" w:sz="4" w:space="0"/>
            </w:tcBorders>
            <w:vAlign w:val="top"/>
          </w:tcPr>
          <w:p>
            <w:pPr>
              <w:widowControl/>
              <w:spacing w:line="300" w:lineRule="exact"/>
              <w:jc w:val="left"/>
              <w:rPr>
                <w:rFonts w:hint="eastAsia" w:ascii="仿宋_GB2312" w:hAnsi="宋体" w:eastAsia="仿宋_GB2312" w:cs="宋体"/>
                <w:b/>
                <w:bCs/>
                <w:kern w:val="0"/>
                <w:sz w:val="20"/>
                <w:szCs w:val="20"/>
              </w:rPr>
            </w:pPr>
          </w:p>
        </w:tc>
      </w:tr>
    </w:tbl>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本年度一般公共预算财政拨款、政府性基金预算财政拨款和国有资本经营预算财政拨款的总收支和年末结转结余情况。</w:t>
      </w: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公开05表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lang w:val="en-US" w:eastAsia="zh-CN"/>
        </w:rPr>
        <w:t xml:space="preserve">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1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4358"/>
        <w:gridCol w:w="2805"/>
        <w:gridCol w:w="2160"/>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6059" w:type="dxa"/>
            <w:gridSpan w:val="2"/>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7093"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功能分类</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435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80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160" w:type="dxa"/>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059" w:type="dxa"/>
            <w:gridSpan w:val="2"/>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80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16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128"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059"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合  计</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5,909.99</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1,581.59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一般公共服务支出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4,611.40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政府办公厅（室）及相关机构事务</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2010301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行政运行</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4,328.40</w:t>
            </w: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组织事务</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2013299</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其他组织事务支出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教育支出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普通教育</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472.07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学前教育</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272.07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2050202</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小学教育</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社会保障和就业支出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059"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项       目</w:t>
            </w:r>
          </w:p>
        </w:tc>
        <w:tc>
          <w:tcPr>
            <w:tcW w:w="7093" w:type="dxa"/>
            <w:gridSpan w:val="3"/>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本年支出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功能分类</w:t>
            </w:r>
          </w:p>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科目编码</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科目名称</w:t>
            </w:r>
          </w:p>
        </w:tc>
        <w:tc>
          <w:tcPr>
            <w:tcW w:w="2805" w:type="dxa"/>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小计</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基本支出</w:t>
            </w:r>
          </w:p>
        </w:tc>
        <w:tc>
          <w:tcPr>
            <w:tcW w:w="2128" w:type="dxa"/>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民政管理事务</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2080208</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基层政权建设和社区治理</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节能环保支出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自然生态保护</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2110402</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农村环境保护</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农林水支出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农村综合改革</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2130705</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对村民委员会和村党支部的补助</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住房保障支出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保障性安居工程支出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01"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2210199</w:t>
            </w:r>
          </w:p>
        </w:tc>
        <w:tc>
          <w:tcPr>
            <w:tcW w:w="435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其他保障性安居工程支出</w:t>
            </w:r>
          </w:p>
        </w:tc>
        <w:tc>
          <w:tcPr>
            <w:tcW w:w="280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c>
          <w:tcPr>
            <w:tcW w:w="216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128"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265.00</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本年度一般公共预算财政拨款支出情况。</w:t>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一般公共预算财政拨款基本支出决算表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公开06表</w:t>
      </w:r>
    </w:p>
    <w:p>
      <w:pPr>
        <w:spacing w:line="400" w:lineRule="exact"/>
        <w:ind w:firstLine="138" w:firstLineChars="50"/>
        <w:jc w:val="lef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2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023"/>
        <w:gridCol w:w="847"/>
        <w:gridCol w:w="1138"/>
        <w:gridCol w:w="1984"/>
        <w:gridCol w:w="833"/>
        <w:gridCol w:w="1010"/>
        <w:gridCol w:w="2551"/>
        <w:gridCol w:w="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blHeader/>
          <w:jc w:val="center"/>
        </w:trPr>
        <w:tc>
          <w:tcPr>
            <w:tcW w:w="4878" w:type="dxa"/>
            <w:gridSpan w:val="3"/>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人员经费</w:t>
            </w:r>
          </w:p>
        </w:tc>
        <w:tc>
          <w:tcPr>
            <w:tcW w:w="8397" w:type="dxa"/>
            <w:gridSpan w:val="6"/>
            <w:tcBorders>
              <w:top w:val="single" w:color="auto" w:sz="8" w:space="0"/>
              <w:left w:val="nil"/>
              <w:bottom w:val="single" w:color="auto" w:sz="4" w:space="0"/>
              <w:right w:val="single" w:color="000000" w:sz="8"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blHeader/>
          <w:jc w:val="center"/>
        </w:trPr>
        <w:tc>
          <w:tcPr>
            <w:tcW w:w="1008" w:type="dxa"/>
            <w:vMerge w:val="restart"/>
            <w:tcBorders>
              <w:top w:val="nil"/>
              <w:left w:val="single" w:color="auto" w:sz="8"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3023"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47"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138"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1984"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33"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010"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2551"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81" w:type="dxa"/>
            <w:vMerge w:val="restart"/>
            <w:tcBorders>
              <w:top w:val="nil"/>
              <w:left w:val="single" w:color="auto" w:sz="4" w:space="0"/>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blHeader/>
          <w:jc w:val="center"/>
        </w:trPr>
        <w:tc>
          <w:tcPr>
            <w:tcW w:w="1008" w:type="dxa"/>
            <w:vMerge w:val="continue"/>
            <w:tcBorders>
              <w:top w:val="nil"/>
              <w:left w:val="single" w:color="auto" w:sz="8"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302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4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13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98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3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101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25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color w:val="000000"/>
                <w:kern w:val="0"/>
                <w:sz w:val="22"/>
                <w:szCs w:val="22"/>
              </w:rPr>
            </w:pPr>
          </w:p>
        </w:tc>
        <w:tc>
          <w:tcPr>
            <w:tcW w:w="881" w:type="dxa"/>
            <w:vMerge w:val="continue"/>
            <w:tcBorders>
              <w:top w:val="nil"/>
              <w:left w:val="single" w:color="auto" w:sz="4" w:space="0"/>
              <w:bottom w:val="single" w:color="auto" w:sz="4" w:space="0"/>
              <w:right w:val="single" w:color="auto" w:sz="8" w:space="0"/>
            </w:tcBorders>
            <w:vAlign w:val="center"/>
          </w:tcPr>
          <w:p>
            <w:pPr>
              <w:widowControl/>
              <w:spacing w:line="300" w:lineRule="exact"/>
              <w:jc w:val="left"/>
              <w:rPr>
                <w:rFonts w:hint="eastAsia" w:ascii="仿宋_GB2312" w:hAnsi="宋体" w:eastAsia="仿宋_GB2312" w:cs="宋体"/>
                <w:color w:val="000000"/>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工资福利支出</w:t>
            </w:r>
          </w:p>
        </w:tc>
        <w:tc>
          <w:tcPr>
            <w:tcW w:w="847" w:type="dxa"/>
            <w:tcBorders>
              <w:top w:val="nil"/>
              <w:left w:val="nil"/>
              <w:bottom w:val="single" w:color="auto" w:sz="4" w:space="0"/>
              <w:right w:val="single" w:color="auto" w:sz="4" w:space="0"/>
            </w:tcBorders>
            <w:vAlign w:val="center"/>
          </w:tcPr>
          <w:p>
            <w:pPr>
              <w:widowControl/>
              <w:spacing w:line="300" w:lineRule="exac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3657</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商品和服务支出</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630.3</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债务利息及费用支出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基本工资</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733</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64.3</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国内债务付息</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30102</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津贴补贴</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1238</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印刷费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国外债务付息</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16</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咨询费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30106</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伙食补助费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手续费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0.5</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30704</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30107</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绩效工资</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559</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水费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0.4</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30108</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机关事业</w:t>
            </w:r>
            <w:r>
              <w:rPr>
                <w:rFonts w:hint="eastAsia" w:ascii="仿宋_GB2312" w:hAnsi="宋体" w:eastAsia="仿宋_GB2312" w:cs="宋体"/>
                <w:color w:val="000000"/>
                <w:kern w:val="0"/>
                <w:sz w:val="20"/>
                <w:szCs w:val="20"/>
                <w:lang w:eastAsia="zh-CN"/>
              </w:rPr>
              <w:t>单位</w:t>
            </w:r>
            <w:r>
              <w:rPr>
                <w:rFonts w:hint="eastAsia" w:ascii="仿宋_GB2312" w:hAnsi="宋体" w:eastAsia="仿宋_GB2312" w:cs="宋体"/>
                <w:color w:val="000000"/>
                <w:kern w:val="0"/>
                <w:sz w:val="20"/>
                <w:szCs w:val="20"/>
              </w:rPr>
              <w:t>基本养老保险缴费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355</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78.2</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房屋建筑物购建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职业年金缴费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177</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邮电费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46</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办公设备购置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30110</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职工基本医疗保险缴费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255</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取暖费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21</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专用设备购置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公务员医疗补助缴费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物业管理费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31005</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基础设施建设</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30112</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其他社会保障缴费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18</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差旅费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56.7</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31006</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大型修缮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住房公积金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306</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因公出国（境）费用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31007</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信息网络及软件购置更新</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30114</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维修(护)费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3.1</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31008</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物资储备</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30199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其他工资福利支出</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租赁费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对个人和家庭的补助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41.1</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31010</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安置补助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30301</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离休费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培训费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0.9</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地上附着物和青苗补偿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30302</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退休费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公务接待费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拆迁补偿</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30303</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退职（役）费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专用材料费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30304</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抚恤金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21.3</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被装购置费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其他交通工具购置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30305</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生活补助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14.4</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专用燃料费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文物和陈列品购置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30306</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救济费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劳务费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60</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无形资产购置</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30307</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委托业务费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16.4</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30308</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助学金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工会经费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24</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30309</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奖励金</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福利费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31201</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资本金注入</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30310</w:t>
            </w:r>
          </w:p>
        </w:tc>
        <w:tc>
          <w:tcPr>
            <w:tcW w:w="3023"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个人农业生产补贴</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公务用车运行维护费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50.8</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31203</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政府投资基金股权投资</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代缴社会保险费</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101.7</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31204</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费用补贴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30399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其他对个人和家庭的补助</w:t>
            </w: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5.4</w:t>
            </w: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30240</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税金及附加费用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31205</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利息补贴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30299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其他商品和服务支出</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106.3</w:t>
            </w: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39906</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赠与</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39907</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国家赔偿费用支出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39908</w:t>
            </w:r>
          </w:p>
        </w:tc>
        <w:tc>
          <w:tcPr>
            <w:tcW w:w="2551"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对民间非营利组织和群众性自治组织补贴</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39999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4031"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人员经费合计</w:t>
            </w:r>
          </w:p>
        </w:tc>
        <w:tc>
          <w:tcPr>
            <w:tcW w:w="847" w:type="dxa"/>
            <w:tcBorders>
              <w:top w:val="nil"/>
              <w:left w:val="nil"/>
              <w:bottom w:val="single" w:color="auto" w:sz="8" w:space="0"/>
              <w:right w:val="single" w:color="auto" w:sz="4" w:space="0"/>
            </w:tcBorders>
            <w:vAlign w:val="center"/>
          </w:tcPr>
          <w:p>
            <w:pPr>
              <w:widowControl/>
              <w:spacing w:line="300" w:lineRule="exact"/>
              <w:jc w:val="center"/>
              <w:rPr>
                <w:rFonts w:hint="default" w:ascii="仿宋_GB2312" w:hAnsi="宋体" w:eastAsia="仿宋_GB2312" w:cs="宋体"/>
                <w:b/>
                <w:bCs/>
                <w:color w:val="000000"/>
                <w:kern w:val="0"/>
                <w:sz w:val="20"/>
                <w:szCs w:val="20"/>
                <w:lang w:val="en-US" w:eastAsia="zh-CN"/>
              </w:rPr>
            </w:pPr>
            <w:r>
              <w:rPr>
                <w:rFonts w:hint="eastAsia" w:ascii="仿宋_GB2312" w:hAnsi="宋体" w:eastAsia="仿宋_GB2312" w:cs="宋体"/>
                <w:b/>
                <w:bCs/>
                <w:color w:val="000000"/>
                <w:kern w:val="0"/>
                <w:sz w:val="20"/>
                <w:szCs w:val="20"/>
                <w:lang w:val="en-US" w:eastAsia="zh-CN"/>
              </w:rPr>
              <w:t>3698.1</w:t>
            </w:r>
          </w:p>
        </w:tc>
        <w:tc>
          <w:tcPr>
            <w:tcW w:w="7516" w:type="dxa"/>
            <w:gridSpan w:val="5"/>
            <w:tcBorders>
              <w:top w:val="single" w:color="auto" w:sz="4" w:space="0"/>
              <w:left w:val="nil"/>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公用经费合计</w:t>
            </w:r>
          </w:p>
        </w:tc>
        <w:tc>
          <w:tcPr>
            <w:tcW w:w="881" w:type="dxa"/>
            <w:tcBorders>
              <w:top w:val="nil"/>
              <w:left w:val="nil"/>
              <w:bottom w:val="single" w:color="auto" w:sz="8" w:space="0"/>
              <w:right w:val="single" w:color="auto" w:sz="8" w:space="0"/>
            </w:tcBorders>
            <w:vAlign w:val="center"/>
          </w:tcPr>
          <w:p>
            <w:pPr>
              <w:widowControl/>
              <w:spacing w:line="300" w:lineRule="exact"/>
              <w:jc w:val="center"/>
              <w:rPr>
                <w:rFonts w:hint="default" w:ascii="仿宋_GB2312" w:hAnsi="宋体" w:eastAsia="仿宋_GB2312" w:cs="宋体"/>
                <w:b/>
                <w:bCs/>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630.3</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本年度一般公共预算财政拨款基本支出明细情况。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政府性基金预算财政拨款收入支出决算表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w:t>
      </w:r>
      <w:r>
        <w:rPr>
          <w:rFonts w:hint="eastAsia" w:ascii="楷体_GB2312" w:eastAsia="楷体_GB2312"/>
          <w:sz w:val="28"/>
          <w:szCs w:val="28"/>
          <w:lang w:val="en-US" w:eastAsia="zh-CN"/>
        </w:rPr>
        <w:t>7</w:t>
      </w:r>
      <w:r>
        <w:rPr>
          <w:rFonts w:hint="eastAsia" w:ascii="楷体_GB2312" w:eastAsia="楷体_GB2312"/>
          <w:sz w:val="28"/>
          <w:szCs w:val="28"/>
        </w:rPr>
        <w:t>表</w:t>
      </w:r>
    </w:p>
    <w:p>
      <w:pPr>
        <w:spacing w:line="400" w:lineRule="exact"/>
        <w:ind w:firstLine="138" w:firstLineChars="50"/>
        <w:jc w:val="lef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pPr w:leftFromText="180" w:rightFromText="180" w:vertAnchor="text" w:tblpXSpec="center" w:tblpY="1"/>
        <w:tblOverlap w:val="never"/>
        <w:tblW w:w="13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56"/>
        <w:gridCol w:w="3130"/>
        <w:gridCol w:w="1545"/>
        <w:gridCol w:w="1500"/>
        <w:gridCol w:w="1290"/>
        <w:gridCol w:w="1740"/>
        <w:gridCol w:w="1455"/>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4558"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545" w:type="dxa"/>
            <w:vMerge w:val="restart"/>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年初结转和结余</w:t>
            </w:r>
          </w:p>
        </w:tc>
        <w:tc>
          <w:tcPr>
            <w:tcW w:w="1500" w:type="dxa"/>
            <w:vMerge w:val="restart"/>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w:t>
            </w:r>
          </w:p>
        </w:tc>
        <w:tc>
          <w:tcPr>
            <w:tcW w:w="4485" w:type="dxa"/>
            <w:gridSpan w:val="3"/>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c>
          <w:tcPr>
            <w:tcW w:w="1122" w:type="dxa"/>
            <w:vMerge w:val="restart"/>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428" w:type="dxa"/>
            <w:gridSpan w:val="2"/>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313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545" w:type="dxa"/>
            <w:vMerge w:val="continue"/>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vAlign w:val="center"/>
          </w:tcPr>
          <w:p>
            <w:pPr>
              <w:spacing w:line="300" w:lineRule="exact"/>
              <w:jc w:val="center"/>
              <w:rPr>
                <w:rFonts w:hint="eastAsia" w:ascii="仿宋_GB2312" w:hAnsi="宋体" w:eastAsia="仿宋_GB2312" w:cs="宋体"/>
                <w:kern w:val="0"/>
                <w:sz w:val="22"/>
                <w:szCs w:val="22"/>
              </w:rPr>
            </w:pPr>
          </w:p>
        </w:tc>
        <w:tc>
          <w:tcPr>
            <w:tcW w:w="1290"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740"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455" w:type="dxa"/>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122" w:type="dxa"/>
            <w:vMerge w:val="continue"/>
            <w:vAlign w:val="center"/>
          </w:tcPr>
          <w:p>
            <w:pPr>
              <w:spacing w:line="300" w:lineRule="exact"/>
              <w:jc w:val="center"/>
              <w:rPr>
                <w:rFonts w:hint="eastAsia"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58"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54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29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40"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455"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122" w:type="dxa"/>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58" w:type="dxa"/>
            <w:gridSpan w:val="3"/>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54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0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74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5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122"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w:t>
            </w:r>
          </w:p>
        </w:tc>
        <w:tc>
          <w:tcPr>
            <w:tcW w:w="3186"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城乡社区支出</w:t>
            </w:r>
          </w:p>
        </w:tc>
        <w:tc>
          <w:tcPr>
            <w:tcW w:w="154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0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74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5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12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w:t>
            </w:r>
          </w:p>
        </w:tc>
        <w:tc>
          <w:tcPr>
            <w:tcW w:w="3186"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国有土地使用权出让收入安排的支出</w:t>
            </w:r>
          </w:p>
        </w:tc>
        <w:tc>
          <w:tcPr>
            <w:tcW w:w="154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0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74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5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12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7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2120804</w:t>
            </w:r>
          </w:p>
        </w:tc>
        <w:tc>
          <w:tcPr>
            <w:tcW w:w="3186" w:type="dxa"/>
            <w:gridSpan w:val="2"/>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农村基础设施建设支出</w:t>
            </w:r>
          </w:p>
        </w:tc>
        <w:tc>
          <w:tcPr>
            <w:tcW w:w="1545"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50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290"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740" w:type="dxa"/>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1455"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124.64</w:t>
            </w:r>
          </w:p>
        </w:tc>
        <w:tc>
          <w:tcPr>
            <w:tcW w:w="1122" w:type="dxa"/>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　</w:t>
            </w: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本年度政府性基金预算财政拨款收入、支出及结转和结余情况。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国有资本经营预算财政拨款支出决算表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w:t>
      </w:r>
      <w:r>
        <w:rPr>
          <w:rFonts w:hint="eastAsia" w:ascii="楷体_GB2312" w:eastAsia="楷体_GB2312"/>
          <w:sz w:val="28"/>
          <w:szCs w:val="28"/>
          <w:lang w:val="en-US" w:eastAsia="zh-CN"/>
        </w:rPr>
        <w:t>8</w:t>
      </w:r>
      <w:r>
        <w:rPr>
          <w:rFonts w:hint="eastAsia" w:ascii="楷体_GB2312" w:eastAsia="楷体_GB2312"/>
          <w:sz w:val="28"/>
          <w:szCs w:val="28"/>
        </w:rPr>
        <w:t>表</w:t>
      </w:r>
    </w:p>
    <w:p>
      <w:pPr>
        <w:wordWrap/>
        <w:spacing w:line="400" w:lineRule="exact"/>
        <w:ind w:firstLine="138" w:firstLineChars="50"/>
        <w:jc w:val="lef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金额</w:t>
      </w:r>
      <w:r>
        <w:rPr>
          <w:rFonts w:hint="eastAsia" w:ascii="楷体_GB2312" w:eastAsia="楷体_GB2312"/>
          <w:sz w:val="28"/>
          <w:szCs w:val="28"/>
          <w:lang w:eastAsia="zh-CN"/>
        </w:rPr>
        <w:t>单位</w:t>
      </w:r>
      <w:r>
        <w:rPr>
          <w:rFonts w:hint="eastAsia" w:ascii="楷体_GB2312" w:eastAsia="楷体_GB2312"/>
          <w:sz w:val="28"/>
          <w:szCs w:val="28"/>
        </w:rPr>
        <w:t>：万元</w:t>
      </w:r>
    </w:p>
    <w:tbl>
      <w:tblPr>
        <w:tblW w:w="131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1"/>
        <w:gridCol w:w="3170"/>
        <w:gridCol w:w="2783"/>
        <w:gridCol w:w="2978"/>
        <w:gridCol w:w="2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功能分类</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合  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0</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0</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317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default" w:ascii="仿宋_GB2312" w:hAnsi="宋体" w:eastAsia="仿宋_GB2312" w:cs="宋体"/>
                <w:kern w:val="0"/>
                <w:sz w:val="22"/>
                <w:szCs w:val="22"/>
                <w:lang w:val="en-US" w:eastAsia="zh-CN"/>
              </w:rPr>
            </w:pP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9"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317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317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978"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317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rPr>
            </w:pP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w:t>
      </w:r>
      <w:r>
        <w:rPr>
          <w:rFonts w:hint="eastAsia" w:ascii="仿宋_GB2312" w:hAnsi="宋体" w:eastAsia="仿宋_GB2312"/>
          <w:sz w:val="22"/>
          <w:szCs w:val="22"/>
          <w:lang w:val="en-US" w:eastAsia="zh-CN"/>
        </w:rPr>
        <w:t>1.</w:t>
      </w:r>
      <w:r>
        <w:rPr>
          <w:rFonts w:hint="eastAsia" w:ascii="仿宋_GB2312" w:hAnsi="宋体" w:eastAsia="仿宋_GB2312"/>
          <w:sz w:val="22"/>
          <w:szCs w:val="22"/>
        </w:rPr>
        <w:t>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本年度国有资本经营预算财政拨款支出情况。</w:t>
      </w:r>
    </w:p>
    <w:p>
      <w:pPr>
        <w:spacing w:line="400" w:lineRule="exact"/>
        <w:ind w:firstLine="108" w:firstLineChars="50"/>
        <w:jc w:val="left"/>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2.</w:t>
      </w:r>
      <w:r>
        <w:rPr>
          <w:rFonts w:hint="eastAsia" w:ascii="仿宋_GB2312" w:hAnsi="宋体" w:eastAsia="仿宋_GB2312"/>
          <w:sz w:val="22"/>
          <w:szCs w:val="22"/>
        </w:rPr>
        <w:t>本</w:t>
      </w:r>
      <w:r>
        <w:rPr>
          <w:rFonts w:hint="eastAsia" w:ascii="仿宋_GB2312" w:hAnsi="宋体" w:eastAsia="仿宋_GB2312"/>
          <w:sz w:val="22"/>
          <w:szCs w:val="22"/>
          <w:lang w:eastAsia="zh-CN"/>
        </w:rPr>
        <w:t>单位</w:t>
      </w:r>
      <w:r>
        <w:rPr>
          <w:rFonts w:hint="eastAsia" w:ascii="仿宋_GB2312" w:hAnsi="宋体" w:eastAsia="仿宋_GB2312"/>
          <w:sz w:val="22"/>
          <w:szCs w:val="22"/>
        </w:rPr>
        <w:t>没有使用国有资本经营预算安排的支出，故本表无数据。</w:t>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spacing w:line="400" w:lineRule="exact"/>
        <w:jc w:val="left"/>
        <w:rPr>
          <w:rFonts w:ascii="仿宋_GB2312" w:hAnsi="宋体" w:eastAsia="仿宋_GB2312"/>
          <w:sz w:val="22"/>
          <w:szCs w:val="22"/>
        </w:rPr>
      </w:pP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财政拨款“三公”经费支出决算表</w:t>
      </w:r>
    </w:p>
    <w:p>
      <w:pPr>
        <w:wordWrap w:val="0"/>
        <w:spacing w:line="400" w:lineRule="exact"/>
        <w:jc w:val="right"/>
        <w:rPr>
          <w:rFonts w:hint="eastAsia" w:ascii="楷体_GB2312" w:eastAsia="楷体_GB2312"/>
          <w:sz w:val="28"/>
          <w:szCs w:val="28"/>
        </w:rPr>
      </w:pPr>
      <w:r>
        <w:rPr>
          <w:rFonts w:hint="eastAsia" w:ascii="方正小标宋简体" w:eastAsia="方正小标宋简体"/>
          <w:sz w:val="44"/>
          <w:szCs w:val="44"/>
        </w:rPr>
        <w:t>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公开09表</w:t>
      </w:r>
    </w:p>
    <w:p>
      <w:pPr>
        <w:spacing w:line="400" w:lineRule="exact"/>
        <w:ind w:firstLine="138" w:firstLineChars="50"/>
        <w:jc w:val="lef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w:t>
      </w:r>
      <w:r>
        <w:rPr>
          <w:rFonts w:hint="eastAsia" w:ascii="楷体_GB2312" w:eastAsia="楷体_GB2312"/>
          <w:sz w:val="28"/>
          <w:szCs w:val="28"/>
          <w:lang w:eastAsia="zh-CN"/>
        </w:rPr>
        <w:t>青岛市即墨区潮海街道办事处</w:t>
      </w:r>
      <w:r>
        <w:rPr>
          <w:rFonts w:hint="eastAsia" w:ascii="楷体_GB2312" w:eastAsia="楷体_GB2312"/>
          <w:sz w:val="28"/>
          <w:szCs w:val="28"/>
        </w:rPr>
        <w:t xml:space="preserve">                                                金额单位：万元</w:t>
      </w:r>
    </w:p>
    <w:tbl>
      <w:tblPr>
        <w:tblW w:w="132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79"/>
        <w:gridCol w:w="1195"/>
        <w:gridCol w:w="1180"/>
        <w:gridCol w:w="1180"/>
        <w:gridCol w:w="1272"/>
        <w:gridCol w:w="878"/>
        <w:gridCol w:w="1098"/>
        <w:gridCol w:w="1143"/>
        <w:gridCol w:w="851"/>
        <w:gridCol w:w="1132"/>
        <w:gridCol w:w="1164"/>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2" w:hRule="atLeast"/>
          <w:jc w:val="center"/>
        </w:trPr>
        <w:tc>
          <w:tcPr>
            <w:tcW w:w="6884" w:type="dxa"/>
            <w:gridSpan w:val="6"/>
            <w:tcBorders>
              <w:top w:val="single" w:color="auto" w:sz="8" w:space="0"/>
              <w:left w:val="single" w:color="auto" w:sz="8" w:space="0"/>
              <w:bottom w:val="single" w:color="auto" w:sz="4"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预 算 数</w:t>
            </w:r>
          </w:p>
        </w:tc>
        <w:tc>
          <w:tcPr>
            <w:tcW w:w="6372" w:type="dxa"/>
            <w:gridSpan w:val="6"/>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决 算 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2" w:hRule="atLeast"/>
          <w:jc w:val="center"/>
        </w:trPr>
        <w:tc>
          <w:tcPr>
            <w:tcW w:w="1179" w:type="dxa"/>
            <w:vMerge w:val="restart"/>
            <w:tcBorders>
              <w:top w:val="nil"/>
              <w:left w:val="single" w:color="auto" w:sz="8"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95"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632"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878" w:type="dxa"/>
            <w:vMerge w:val="restart"/>
            <w:tcBorders>
              <w:top w:val="nil"/>
              <w:left w:val="single" w:color="auto" w:sz="4" w:space="0"/>
              <w:bottom w:val="single" w:color="auto" w:sz="4"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c>
          <w:tcPr>
            <w:tcW w:w="1098" w:type="dxa"/>
            <w:vMerge w:val="restart"/>
            <w:tcBorders>
              <w:top w:val="single" w:color="000000" w:sz="8" w:space="0"/>
              <w:left w:val="single" w:color="000000" w:sz="8" w:space="0"/>
              <w:bottom w:val="single" w:color="000000" w:sz="8" w:space="0"/>
              <w:right w:val="single" w:color="000000" w:sz="8" w:space="0"/>
            </w:tcBorders>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4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147" w:type="dxa"/>
            <w:gridSpan w:val="3"/>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984"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2" w:hRule="atLeast"/>
          <w:jc w:val="center"/>
        </w:trPr>
        <w:tc>
          <w:tcPr>
            <w:tcW w:w="1179" w:type="dxa"/>
            <w:vMerge w:val="continue"/>
            <w:tcBorders>
              <w:top w:val="nil"/>
              <w:left w:val="single" w:color="auto" w:sz="8"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19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rPr>
            </w:pPr>
          </w:p>
        </w:tc>
        <w:tc>
          <w:tcPr>
            <w:tcW w:w="118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80"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272" w:type="dxa"/>
            <w:tcBorders>
              <w:top w:val="nil"/>
              <w:left w:val="nil"/>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878" w:type="dxa"/>
            <w:vMerge w:val="continue"/>
            <w:tcBorders>
              <w:top w:val="nil"/>
              <w:left w:val="single" w:color="auto" w:sz="4" w:space="0"/>
              <w:bottom w:val="single" w:color="auto" w:sz="4"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rPr>
            </w:pPr>
          </w:p>
        </w:tc>
        <w:tc>
          <w:tcPr>
            <w:tcW w:w="1098"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left"/>
              <w:rPr>
                <w:rFonts w:hint="eastAsia" w:ascii="仿宋_GB2312" w:hAnsi="宋体" w:eastAsia="仿宋_GB2312" w:cs="宋体"/>
                <w:kern w:val="0"/>
                <w:sz w:val="22"/>
                <w:szCs w:val="22"/>
              </w:rPr>
            </w:pPr>
          </w:p>
        </w:tc>
        <w:tc>
          <w:tcPr>
            <w:tcW w:w="1143" w:type="dxa"/>
            <w:vMerge w:val="continue"/>
            <w:tcBorders>
              <w:top w:val="single" w:color="000000" w:sz="8" w:space="0"/>
              <w:left w:val="single" w:color="000000" w:sz="8" w:space="0"/>
              <w:bottom w:val="single" w:color="000000" w:sz="8" w:space="0"/>
              <w:right w:val="single" w:color="000000" w:sz="8" w:space="0"/>
            </w:tcBorders>
            <w:vAlign w:val="center"/>
          </w:tcPr>
          <w:p>
            <w:pPr>
              <w:spacing w:line="300" w:lineRule="exact"/>
              <w:jc w:val="left"/>
              <w:rPr>
                <w:rFonts w:hint="eastAsia" w:ascii="仿宋_GB2312" w:hAnsi="宋体" w:eastAsia="仿宋_GB2312" w:cs="宋体"/>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164"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984"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3" w:hRule="atLeast"/>
          <w:jc w:val="center"/>
        </w:trPr>
        <w:tc>
          <w:tcPr>
            <w:tcW w:w="1179"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195"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2"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878" w:type="dxa"/>
            <w:tcBorders>
              <w:top w:val="nil"/>
              <w:left w:val="nil"/>
              <w:bottom w:val="single" w:color="auto"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098"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c>
          <w:tcPr>
            <w:tcW w:w="114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8</w:t>
            </w: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10</w:t>
            </w:r>
          </w:p>
        </w:tc>
        <w:tc>
          <w:tcPr>
            <w:tcW w:w="1164"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11</w:t>
            </w:r>
          </w:p>
        </w:tc>
        <w:tc>
          <w:tcPr>
            <w:tcW w:w="984"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6" w:hRule="atLeast"/>
          <w:jc w:val="center"/>
        </w:trPr>
        <w:tc>
          <w:tcPr>
            <w:tcW w:w="1179"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lang w:val="en-US" w:eastAsia="zh-CN"/>
              </w:rPr>
              <w:t>31</w:t>
            </w:r>
          </w:p>
        </w:tc>
        <w:tc>
          <w:tcPr>
            <w:tcW w:w="1195" w:type="dxa"/>
            <w:tcBorders>
              <w:top w:val="nil"/>
              <w:left w:val="nil"/>
              <w:bottom w:val="single" w:color="auto" w:sz="8"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p>
        </w:tc>
        <w:tc>
          <w:tcPr>
            <w:tcW w:w="1180"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lang w:val="en-US" w:eastAsia="zh-CN"/>
              </w:rPr>
              <w:t>31</w:t>
            </w:r>
          </w:p>
        </w:tc>
        <w:tc>
          <w:tcPr>
            <w:tcW w:w="1180" w:type="dxa"/>
            <w:tcBorders>
              <w:top w:val="nil"/>
              <w:left w:val="nil"/>
              <w:bottom w:val="single" w:color="auto" w:sz="8" w:space="0"/>
              <w:right w:val="single" w:color="auto" w:sz="4"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p>
        </w:tc>
        <w:tc>
          <w:tcPr>
            <w:tcW w:w="1272" w:type="dxa"/>
            <w:tcBorders>
              <w:top w:val="nil"/>
              <w:left w:val="nil"/>
              <w:bottom w:val="single" w:color="auto" w:sz="8" w:space="0"/>
              <w:right w:val="single" w:color="auto" w:sz="4" w:space="0"/>
            </w:tcBorders>
            <w:vAlign w:val="center"/>
          </w:tcPr>
          <w:p>
            <w:pPr>
              <w:widowControl/>
              <w:spacing w:line="300" w:lineRule="exact"/>
              <w:jc w:val="center"/>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lang w:val="en-US" w:eastAsia="zh-CN"/>
              </w:rPr>
              <w:t>31</w:t>
            </w:r>
          </w:p>
        </w:tc>
        <w:tc>
          <w:tcPr>
            <w:tcW w:w="878" w:type="dxa"/>
            <w:tcBorders>
              <w:top w:val="nil"/>
              <w:left w:val="nil"/>
              <w:bottom w:val="single" w:color="auto"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p>
        </w:tc>
        <w:tc>
          <w:tcPr>
            <w:tcW w:w="1098"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lang w:val="en-US" w:eastAsia="zh-CN"/>
              </w:rPr>
              <w:t>50.8</w:t>
            </w:r>
          </w:p>
        </w:tc>
        <w:tc>
          <w:tcPr>
            <w:tcW w:w="1143"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p>
        </w:tc>
        <w:tc>
          <w:tcPr>
            <w:tcW w:w="851"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center"/>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lang w:val="en-US" w:eastAsia="zh-CN"/>
              </w:rPr>
              <w:t>50.8</w:t>
            </w:r>
          </w:p>
        </w:tc>
        <w:tc>
          <w:tcPr>
            <w:tcW w:w="1132"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p>
        </w:tc>
        <w:tc>
          <w:tcPr>
            <w:tcW w:w="1164"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r>
              <w:rPr>
                <w:rFonts w:hint="eastAsia" w:ascii="仿宋_GB2312" w:hAnsi="宋体" w:eastAsia="仿宋_GB2312" w:cs="宋体"/>
                <w:kern w:val="0"/>
                <w:sz w:val="22"/>
                <w:szCs w:val="22"/>
                <w:lang w:val="en-US" w:eastAsia="zh-CN"/>
              </w:rPr>
              <w:t>50.8</w:t>
            </w:r>
          </w:p>
        </w:tc>
        <w:tc>
          <w:tcPr>
            <w:tcW w:w="984" w:type="dxa"/>
            <w:tcBorders>
              <w:top w:val="single" w:color="000000" w:sz="8" w:space="0"/>
              <w:left w:val="single" w:color="000000" w:sz="8" w:space="0"/>
              <w:bottom w:val="single" w:color="000000" w:sz="8" w:space="0"/>
              <w:right w:val="single" w:color="000000" w:sz="8" w:space="0"/>
            </w:tcBorders>
            <w:vAlign w:val="center"/>
          </w:tcPr>
          <w:p>
            <w:pPr>
              <w:widowControl/>
              <w:spacing w:line="300" w:lineRule="exact"/>
              <w:jc w:val="left"/>
              <w:rPr>
                <w:rFonts w:hint="eastAsia" w:ascii="仿宋_GB2312" w:hAnsi="宋体" w:eastAsia="仿宋_GB2312" w:cs="宋体"/>
                <w:kern w:val="0"/>
                <w:sz w:val="22"/>
                <w:szCs w:val="22"/>
                <w:lang w:val="en-US" w:eastAsia="zh-CN" w:bidi="ar-SA"/>
              </w:rPr>
            </w:pPr>
            <w:r>
              <w:rPr>
                <w:rFonts w:hint="eastAsia" w:ascii="仿宋_GB2312" w:hAnsi="宋体" w:eastAsia="仿宋_GB2312" w:cs="宋体"/>
                <w:kern w:val="0"/>
                <w:sz w:val="22"/>
                <w:szCs w:val="22"/>
              </w:rPr>
              <w:t>　</w:t>
            </w:r>
          </w:p>
        </w:tc>
      </w:tr>
    </w:tbl>
    <w:p>
      <w:pPr>
        <w:spacing w:line="440" w:lineRule="exact"/>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本年度财政拨款“三公”经费支出预决算情况。其中，预算数为“三公”经费全年预算数，反映按规定程序调整后的预算数；决算数是包括当年财政拨款和以前年度结转资金安排的实际支出。</w:t>
      </w:r>
      <w:r>
        <w:rPr>
          <w:rFonts w:hint="eastAsia" w:ascii="仿宋_GB2312" w:hAnsi="宋体" w:eastAsia="仿宋_GB2312"/>
          <w:sz w:val="22"/>
          <w:szCs w:val="22"/>
        </w:rPr>
        <w:tab/>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ind w:firstLine="108" w:firstLineChars="50"/>
        <w:rPr>
          <w:rFonts w:hint="eastAsia" w:ascii="仿宋_GB2312" w:hAnsi="宋体" w:eastAsia="仿宋_GB2312"/>
          <w:sz w:val="22"/>
          <w:szCs w:val="2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第三部分</w:t>
      </w:r>
    </w:p>
    <w:p>
      <w:pPr>
        <w:spacing w:line="800" w:lineRule="exact"/>
        <w:jc w:val="center"/>
        <w:rPr>
          <w:rFonts w:hint="eastAsia" w:ascii="方正小标宋简体" w:eastAsia="方正小标宋简体"/>
          <w:spacing w:val="60"/>
          <w:sz w:val="48"/>
        </w:rPr>
      </w:pPr>
    </w:p>
    <w:p>
      <w:pPr>
        <w:spacing w:line="800" w:lineRule="exact"/>
        <w:jc w:val="center"/>
        <w:rPr>
          <w:rFonts w:hint="eastAsia" w:ascii="方正小标宋简体" w:eastAsia="方正小标宋简体"/>
          <w:spacing w:val="60"/>
          <w:sz w:val="48"/>
        </w:rPr>
      </w:pPr>
    </w:p>
    <w:p>
      <w:pPr>
        <w:spacing w:line="800" w:lineRule="exact"/>
        <w:jc w:val="center"/>
        <w:rPr>
          <w:rFonts w:ascii="方正小标宋简体" w:eastAsia="方正小标宋简体"/>
          <w:spacing w:val="60"/>
          <w:sz w:val="48"/>
        </w:rPr>
        <w:sectPr>
          <w:pgSz w:w="11906" w:h="16838"/>
          <w:pgMar w:top="1701" w:right="1531" w:bottom="1701" w:left="1531" w:header="0" w:footer="1418" w:gutter="0"/>
          <w:cols w:space="720" w:num="1"/>
          <w:docGrid w:type="linesAndChars" w:linePitch="610" w:charSpace="-849"/>
        </w:sectPr>
      </w:pPr>
      <w:r>
        <w:rPr>
          <w:rFonts w:hint="eastAsia" w:ascii="方正小标宋简体" w:eastAsia="方正小标宋简体"/>
          <w:spacing w:val="60"/>
          <w:sz w:val="48"/>
          <w:lang w:eastAsia="zh-CN"/>
        </w:rPr>
        <w:t>2022</w:t>
      </w:r>
      <w:r>
        <w:rPr>
          <w:rFonts w:hint="eastAsia" w:ascii="方正小标宋简体" w:eastAsia="方正小标宋简体"/>
          <w:spacing w:val="60"/>
          <w:sz w:val="48"/>
        </w:rPr>
        <w:t>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决算情况说明</w:t>
      </w:r>
    </w:p>
    <w:p>
      <w:pPr>
        <w:spacing w:line="580" w:lineRule="exact"/>
        <w:ind w:firstLine="640" w:firstLineChars="200"/>
        <w:rPr>
          <w:rFonts w:hint="eastAsia" w:ascii="黑体" w:hAnsi="黑体" w:eastAsia="黑体"/>
          <w:szCs w:val="32"/>
        </w:rPr>
      </w:pPr>
      <w:r>
        <w:rPr>
          <w:rFonts w:hint="eastAsia" w:ascii="黑体" w:hAnsi="黑体" w:eastAsia="黑体"/>
          <w:szCs w:val="32"/>
        </w:rPr>
        <w:t>一、收入支出决算总体情况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年度收、支总计</w:t>
      </w:r>
      <w:r>
        <w:rPr>
          <w:rFonts w:hint="eastAsia" w:ascii="仿宋_GB2312" w:hAnsi="仿宋" w:eastAsia="仿宋_GB2312"/>
          <w:sz w:val="32"/>
          <w:szCs w:val="32"/>
          <w:lang w:val="en-US" w:eastAsia="zh-CN"/>
        </w:rPr>
        <w:t>6034.63万元</w:t>
      </w:r>
      <w:r>
        <w:rPr>
          <w:rFonts w:hint="eastAsia" w:ascii="仿宋_GB2312" w:eastAsia="仿宋_GB2312"/>
          <w:szCs w:val="32"/>
        </w:rPr>
        <w:t>。与202</w:t>
      </w:r>
      <w:r>
        <w:rPr>
          <w:rFonts w:hint="eastAsia" w:ascii="仿宋_GB2312" w:eastAsia="仿宋_GB2312"/>
          <w:szCs w:val="32"/>
          <w:lang w:val="en-US" w:eastAsia="zh-CN"/>
        </w:rPr>
        <w:t>1</w:t>
      </w:r>
      <w:r>
        <w:rPr>
          <w:rFonts w:hint="eastAsia" w:ascii="仿宋_GB2312" w:eastAsia="仿宋_GB2312"/>
          <w:szCs w:val="32"/>
        </w:rPr>
        <w:t>年度相比，收、支总计各减少</w:t>
      </w:r>
      <w:r>
        <w:rPr>
          <w:rFonts w:hint="eastAsia" w:ascii="仿宋_GB2312" w:eastAsia="仿宋_GB2312"/>
          <w:szCs w:val="32"/>
          <w:lang w:val="en-US" w:eastAsia="zh-CN"/>
        </w:rPr>
        <w:t>62956.3</w:t>
      </w:r>
      <w:r>
        <w:rPr>
          <w:rFonts w:hint="eastAsia" w:ascii="仿宋_GB2312" w:eastAsia="仿宋_GB2312"/>
          <w:szCs w:val="32"/>
        </w:rPr>
        <w:t>万元，下降</w:t>
      </w:r>
      <w:r>
        <w:rPr>
          <w:rFonts w:hint="eastAsia" w:ascii="仿宋_GB2312" w:eastAsia="仿宋_GB2312"/>
          <w:szCs w:val="32"/>
          <w:lang w:val="en-US" w:eastAsia="zh-CN"/>
        </w:rPr>
        <w:t>91.25</w:t>
      </w:r>
      <w:r>
        <w:rPr>
          <w:rFonts w:hint="eastAsia" w:ascii="仿宋_GB2312" w:eastAsia="仿宋_GB2312"/>
          <w:szCs w:val="32"/>
        </w:rPr>
        <w:t xml:space="preserve"> %。主要是</w:t>
      </w:r>
      <w:r>
        <w:rPr>
          <w:rFonts w:hint="eastAsia" w:ascii="仿宋_GB2312" w:eastAsia="仿宋_GB2312"/>
          <w:szCs w:val="32"/>
          <w:lang w:eastAsia="zh-CN"/>
        </w:rPr>
        <w:t>较</w:t>
      </w:r>
      <w:r>
        <w:rPr>
          <w:rFonts w:hint="eastAsia" w:ascii="仿宋_GB2312" w:eastAsia="仿宋_GB2312"/>
          <w:szCs w:val="32"/>
          <w:lang w:val="en-US" w:eastAsia="zh-CN"/>
        </w:rPr>
        <w:t>2021年减少4亿元棚改债，且受疫情影响税收减少</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ascii="Times New Roman" w:hAnsi="Times New Roman" w:eastAsia="宋体" w:cs="Times New Roman"/>
          <w:kern w:val="2"/>
          <w:sz w:val="32"/>
          <w:szCs w:val="24"/>
          <w:lang w:val="en-US" w:eastAsia="zh-CN" w:bidi="ar-SA"/>
        </w:rPr>
        <w:pict>
          <v:shape id="图片 1" o:spid="_x0000_s1027" type="#_x0000_t75" style="position:absolute;left:0;margin-left:18.35pt;margin-top:8.35pt;height:216pt;width:379.5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二、收入决算情况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本年收入合计</w:t>
      </w:r>
      <w:r>
        <w:rPr>
          <w:rFonts w:hint="eastAsia" w:ascii="仿宋_GB2312" w:hAnsi="仿宋" w:eastAsia="仿宋_GB2312"/>
          <w:sz w:val="32"/>
          <w:szCs w:val="32"/>
          <w:lang w:val="en-US" w:eastAsia="zh-CN"/>
        </w:rPr>
        <w:t>6034.63</w:t>
      </w:r>
      <w:r>
        <w:rPr>
          <w:rFonts w:hint="eastAsia" w:ascii="仿宋_GB2312" w:eastAsia="仿宋_GB2312"/>
          <w:szCs w:val="32"/>
        </w:rPr>
        <w:t>万元，其中：财政拨款收入</w:t>
      </w:r>
      <w:r>
        <w:rPr>
          <w:rFonts w:hint="eastAsia" w:ascii="仿宋_GB2312" w:hAnsi="仿宋" w:eastAsia="仿宋_GB2312"/>
          <w:sz w:val="32"/>
          <w:szCs w:val="32"/>
          <w:lang w:val="en-US" w:eastAsia="zh-CN"/>
        </w:rPr>
        <w:t>6034.63</w:t>
      </w:r>
      <w:r>
        <w:rPr>
          <w:rFonts w:hint="eastAsia" w:ascii="仿宋_GB2312" w:eastAsia="仿宋_GB2312"/>
          <w:szCs w:val="32"/>
        </w:rPr>
        <w:t>万元，占</w:t>
      </w:r>
      <w:r>
        <w:rPr>
          <w:rFonts w:hint="eastAsia" w:ascii="仿宋_GB2312" w:eastAsia="仿宋_GB2312"/>
          <w:szCs w:val="32"/>
          <w:lang w:val="en-US" w:eastAsia="zh-CN"/>
        </w:rPr>
        <w:t>100</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ascii="Times New Roman" w:hAnsi="Times New Roman" w:eastAsia="宋体" w:cs="Times New Roman"/>
          <w:kern w:val="2"/>
          <w:sz w:val="32"/>
          <w:szCs w:val="24"/>
          <w:lang w:val="en-US" w:eastAsia="zh-CN" w:bidi="ar-SA"/>
        </w:rPr>
        <w:pict>
          <v:shape id="图片 2" o:spid="_x0000_s1028" type="#_x0000_t75" style="position:absolute;left:0;margin-left:25.85pt;margin-top:11.1pt;height:216pt;width:379.5pt;rotation:0f;z-index:251659264;"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三、支出决算情况</w:t>
      </w:r>
    </w:p>
    <w:p>
      <w:pPr>
        <w:spacing w:line="580" w:lineRule="exact"/>
        <w:ind w:firstLine="640" w:firstLineChars="200"/>
        <w:rPr>
          <w:rFonts w:hint="eastAsia" w:ascii="黑体" w:hAnsi="黑体" w:eastAsia="黑体"/>
          <w:szCs w:val="32"/>
        </w:rPr>
      </w:pPr>
      <w:r>
        <w:rPr>
          <w:rFonts w:hint="eastAsia" w:ascii="黑体" w:hAnsi="黑体" w:eastAsia="黑体"/>
          <w:szCs w:val="32"/>
        </w:rPr>
        <w:t>三、支出决算情况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本年支出合计</w:t>
      </w:r>
      <w:r>
        <w:rPr>
          <w:rFonts w:hint="eastAsia" w:ascii="仿宋_GB2312" w:hAnsi="仿宋" w:eastAsia="仿宋_GB2312"/>
          <w:sz w:val="32"/>
          <w:szCs w:val="32"/>
          <w:lang w:val="en-US" w:eastAsia="zh-CN"/>
        </w:rPr>
        <w:t>6034.63</w:t>
      </w:r>
      <w:r>
        <w:rPr>
          <w:rFonts w:hint="eastAsia" w:ascii="仿宋_GB2312" w:eastAsia="仿宋_GB2312"/>
          <w:szCs w:val="32"/>
        </w:rPr>
        <w:t>万元，其中：基本支出</w:t>
      </w:r>
      <w:r>
        <w:rPr>
          <w:rFonts w:hint="eastAsia" w:ascii="仿宋_GB2312" w:eastAsia="仿宋_GB2312"/>
          <w:szCs w:val="32"/>
          <w:lang w:val="en-US" w:eastAsia="zh-CN"/>
        </w:rPr>
        <w:t>4328.4</w:t>
      </w:r>
      <w:r>
        <w:rPr>
          <w:rFonts w:hint="eastAsia" w:ascii="仿宋_GB2312" w:eastAsia="仿宋_GB2312"/>
          <w:szCs w:val="32"/>
        </w:rPr>
        <w:t>万元，占</w:t>
      </w:r>
      <w:r>
        <w:rPr>
          <w:rFonts w:hint="eastAsia" w:ascii="仿宋_GB2312" w:eastAsia="仿宋_GB2312"/>
          <w:szCs w:val="32"/>
          <w:lang w:val="en-US" w:eastAsia="zh-CN"/>
        </w:rPr>
        <w:t>71.73</w:t>
      </w:r>
      <w:r>
        <w:rPr>
          <w:rFonts w:hint="eastAsia" w:ascii="仿宋_GB2312" w:eastAsia="仿宋_GB2312"/>
          <w:szCs w:val="32"/>
        </w:rPr>
        <w:t>%；项目支出</w:t>
      </w:r>
      <w:r>
        <w:rPr>
          <w:rFonts w:hint="eastAsia" w:ascii="仿宋_GB2312" w:eastAsia="仿宋_GB2312"/>
          <w:szCs w:val="32"/>
          <w:lang w:val="en-US" w:eastAsia="zh-CN"/>
        </w:rPr>
        <w:t>1706.23</w:t>
      </w:r>
      <w:r>
        <w:rPr>
          <w:rFonts w:hint="eastAsia" w:ascii="仿宋_GB2312" w:eastAsia="仿宋_GB2312"/>
          <w:szCs w:val="32"/>
        </w:rPr>
        <w:t>万元，占</w:t>
      </w:r>
      <w:r>
        <w:rPr>
          <w:rFonts w:hint="eastAsia" w:ascii="仿宋_GB2312" w:eastAsia="仿宋_GB2312"/>
          <w:szCs w:val="32"/>
          <w:lang w:val="en-US" w:eastAsia="zh-CN"/>
        </w:rPr>
        <w:t>28.27</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ascii="Times New Roman" w:hAnsi="Times New Roman" w:eastAsia="宋体" w:cs="Times New Roman"/>
          <w:kern w:val="2"/>
          <w:sz w:val="32"/>
          <w:szCs w:val="24"/>
          <w:lang w:val="en-US" w:eastAsia="zh-CN" w:bidi="ar-SA"/>
        </w:rPr>
        <w:pict>
          <v:shape id="图片 3" o:spid="_x0000_s1029" type="#_x0000_t75" style="position:absolute;left:0;margin-left:18.35pt;margin-top:18.6pt;height:215.25pt;width:381pt;rotation:0f;z-index:251660288;"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四、财政拨款收入支出决算总体情况</w:t>
      </w:r>
    </w:p>
    <w:p>
      <w:pPr>
        <w:widowControl w:val="0"/>
        <w:wordWrap/>
        <w:adjustRightInd/>
        <w:snapToGrid/>
        <w:spacing w:line="580" w:lineRule="exact"/>
        <w:ind w:firstLine="640" w:firstLineChars="200"/>
        <w:textAlignment w:val="auto"/>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年度财政拨款收、支总计</w:t>
      </w:r>
      <w:r>
        <w:rPr>
          <w:rFonts w:hint="eastAsia" w:ascii="仿宋_GB2312" w:hAnsi="仿宋" w:eastAsia="仿宋_GB2312"/>
          <w:sz w:val="32"/>
          <w:szCs w:val="32"/>
          <w:lang w:val="en-US" w:eastAsia="zh-CN"/>
        </w:rPr>
        <w:t>6034.63</w:t>
      </w:r>
      <w:r>
        <w:rPr>
          <w:rFonts w:hint="eastAsia" w:ascii="仿宋_GB2312" w:eastAsia="仿宋_GB2312"/>
          <w:szCs w:val="32"/>
        </w:rPr>
        <w:t>万元。与202</w:t>
      </w:r>
      <w:r>
        <w:rPr>
          <w:rFonts w:hint="eastAsia" w:ascii="仿宋_GB2312" w:eastAsia="仿宋_GB2312"/>
          <w:szCs w:val="32"/>
          <w:lang w:val="en-US" w:eastAsia="zh-CN"/>
        </w:rPr>
        <w:t>1</w:t>
      </w:r>
      <w:r>
        <w:rPr>
          <w:rFonts w:hint="eastAsia" w:ascii="仿宋_GB2312" w:eastAsia="仿宋_GB2312"/>
          <w:szCs w:val="32"/>
        </w:rPr>
        <w:t>年度相比，收、支总计各减少</w:t>
      </w:r>
      <w:r>
        <w:rPr>
          <w:rFonts w:hint="eastAsia" w:ascii="仿宋_GB2312" w:eastAsia="仿宋_GB2312"/>
          <w:szCs w:val="32"/>
          <w:lang w:val="en-US" w:eastAsia="zh-CN"/>
        </w:rPr>
        <w:t>62956.3</w:t>
      </w:r>
      <w:r>
        <w:rPr>
          <w:rFonts w:hint="eastAsia" w:ascii="仿宋_GB2312" w:eastAsia="仿宋_GB2312"/>
          <w:szCs w:val="32"/>
        </w:rPr>
        <w:t>万元，下降</w:t>
      </w:r>
      <w:r>
        <w:rPr>
          <w:rFonts w:hint="eastAsia" w:ascii="仿宋_GB2312" w:eastAsia="仿宋_GB2312"/>
          <w:szCs w:val="32"/>
          <w:lang w:val="en-US" w:eastAsia="zh-CN"/>
        </w:rPr>
        <w:t>91.25</w:t>
      </w:r>
      <w:r>
        <w:rPr>
          <w:rFonts w:hint="eastAsia" w:ascii="仿宋_GB2312" w:eastAsia="仿宋_GB2312"/>
          <w:szCs w:val="32"/>
        </w:rPr>
        <w:t xml:space="preserve"> %。主要是</w:t>
      </w:r>
      <w:r>
        <w:rPr>
          <w:rFonts w:hint="eastAsia" w:ascii="仿宋_GB2312" w:eastAsia="仿宋_GB2312"/>
          <w:szCs w:val="32"/>
          <w:lang w:eastAsia="zh-CN"/>
        </w:rPr>
        <w:t>较</w:t>
      </w:r>
      <w:r>
        <w:rPr>
          <w:rFonts w:hint="eastAsia" w:ascii="仿宋_GB2312" w:eastAsia="仿宋_GB2312"/>
          <w:szCs w:val="32"/>
          <w:lang w:val="en-US" w:eastAsia="zh-CN"/>
        </w:rPr>
        <w:t>2021年减少4亿元棚改债，且受疫情影响税收减少</w:t>
      </w:r>
      <w:r>
        <w:rPr>
          <w:rFonts w:hint="eastAsia" w:ascii="仿宋_GB2312" w:eastAsia="仿宋_GB2312"/>
          <w:szCs w:val="32"/>
        </w:rPr>
        <w:t>。</w:t>
      </w:r>
    </w:p>
    <w:p>
      <w:pPr>
        <w:widowControl w:val="0"/>
        <w:wordWrap/>
        <w:adjustRightInd/>
        <w:snapToGrid/>
        <w:spacing w:line="580" w:lineRule="exact"/>
        <w:ind w:firstLine="640" w:firstLineChars="200"/>
        <w:textAlignment w:val="auto"/>
        <w:rPr>
          <w:rFonts w:hint="eastAsia" w:ascii="仿宋_GB2312" w:eastAsia="仿宋_GB2312"/>
          <w:szCs w:val="32"/>
        </w:rPr>
      </w:pPr>
      <w:r>
        <w:rPr>
          <w:rFonts w:ascii="Times New Roman" w:hAnsi="Times New Roman" w:eastAsia="宋体" w:cs="Times New Roman"/>
          <w:kern w:val="2"/>
          <w:sz w:val="32"/>
          <w:szCs w:val="24"/>
          <w:lang w:val="en-US" w:eastAsia="zh-CN" w:bidi="ar-SA"/>
        </w:rPr>
        <w:pict>
          <v:shape id="图片 5" o:spid="_x0000_s1030" type="#_x0000_t75" style="position:absolute;left:0;margin-left:19.05pt;margin-top:7.8pt;height:216pt;width:379.5pt;rotation:0f;z-index:251661312;"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p>
    <w:p>
      <w:pPr>
        <w:widowControl w:val="0"/>
        <w:wordWrap/>
        <w:adjustRightInd/>
        <w:snapToGrid/>
        <w:spacing w:line="580" w:lineRule="exact"/>
        <w:ind w:firstLine="640" w:firstLineChars="200"/>
        <w:textAlignment w:val="auto"/>
        <w:rPr>
          <w:rFonts w:hint="eastAsia" w:ascii="仿宋_GB2312" w:eastAsia="仿宋_GB2312"/>
          <w:szCs w:val="32"/>
        </w:rPr>
      </w:pPr>
    </w:p>
    <w:p>
      <w:pPr>
        <w:widowControl w:val="0"/>
        <w:wordWrap/>
        <w:adjustRightInd/>
        <w:snapToGrid/>
        <w:spacing w:line="580" w:lineRule="exact"/>
        <w:ind w:firstLine="640" w:firstLineChars="200"/>
        <w:textAlignment w:val="auto"/>
        <w:rPr>
          <w:rFonts w:hint="eastAsia" w:ascii="仿宋_GB2312" w:eastAsia="仿宋_GB2312"/>
          <w:szCs w:val="32"/>
        </w:rPr>
      </w:pPr>
    </w:p>
    <w:p>
      <w:pPr>
        <w:widowControl w:val="0"/>
        <w:wordWrap/>
        <w:adjustRightInd/>
        <w:snapToGrid/>
        <w:spacing w:line="580" w:lineRule="exact"/>
        <w:ind w:firstLine="640" w:firstLineChars="200"/>
        <w:textAlignment w:val="auto"/>
        <w:rPr>
          <w:rFonts w:hint="eastAsia" w:ascii="仿宋_GB2312" w:eastAsia="仿宋_GB2312"/>
          <w:szCs w:val="32"/>
        </w:rPr>
      </w:pPr>
    </w:p>
    <w:p>
      <w:pPr>
        <w:widowControl w:val="0"/>
        <w:wordWrap/>
        <w:adjustRightInd/>
        <w:snapToGrid/>
        <w:spacing w:line="580" w:lineRule="exact"/>
        <w:ind w:firstLine="640" w:firstLineChars="200"/>
        <w:textAlignment w:val="auto"/>
        <w:rPr>
          <w:rFonts w:hint="eastAsia" w:ascii="仿宋_GB2312" w:eastAsia="仿宋_GB2312"/>
          <w:szCs w:val="32"/>
        </w:rPr>
      </w:pPr>
    </w:p>
    <w:p>
      <w:pPr>
        <w:widowControl w:val="0"/>
        <w:wordWrap/>
        <w:adjustRightInd/>
        <w:snapToGrid/>
        <w:spacing w:line="580" w:lineRule="exact"/>
        <w:ind w:firstLine="640" w:firstLineChars="200"/>
        <w:textAlignment w:val="auto"/>
        <w:rPr>
          <w:rFonts w:hint="eastAsia" w:ascii="仿宋_GB2312" w:eastAsia="仿宋_GB2312"/>
          <w:szCs w:val="32"/>
          <w:lang w:val="en-US" w:eastAsia="zh-CN"/>
        </w:rPr>
      </w:pPr>
      <w:r>
        <w:rPr>
          <w:rFonts w:hint="eastAsia" w:ascii="仿宋_GB2312" w:eastAsia="仿宋_GB2312"/>
          <w:szCs w:val="32"/>
          <w:lang w:val="en-US" w:eastAsia="zh-CN"/>
        </w:rPr>
        <w:t xml:space="preserve"> </w:t>
      </w:r>
    </w:p>
    <w:p>
      <w:pPr>
        <w:widowControl w:val="0"/>
        <w:wordWrap/>
        <w:adjustRightInd/>
        <w:snapToGrid/>
        <w:spacing w:line="580" w:lineRule="exact"/>
        <w:ind w:firstLine="640" w:firstLineChars="200"/>
        <w:textAlignment w:val="auto"/>
        <w:rPr>
          <w:rFonts w:hint="eastAsia" w:ascii="黑体" w:hAnsi="黑体" w:eastAsia="黑体"/>
          <w:szCs w:val="32"/>
        </w:rPr>
      </w:pPr>
      <w:r>
        <w:rPr>
          <w:rFonts w:hint="eastAsia" w:ascii="黑体" w:hAnsi="黑体" w:eastAsia="黑体"/>
          <w:szCs w:val="32"/>
        </w:rPr>
        <w:t>五、一般公共预算财政拨款支出决算情况</w:t>
      </w:r>
    </w:p>
    <w:p>
      <w:pPr>
        <w:spacing w:line="580" w:lineRule="exact"/>
        <w:ind w:firstLine="640" w:firstLineChars="200"/>
        <w:rPr>
          <w:rFonts w:hint="eastAsia" w:ascii="黑体" w:hAnsi="黑体" w:eastAsia="黑体"/>
          <w:szCs w:val="32"/>
        </w:rPr>
      </w:pPr>
      <w:r>
        <w:rPr>
          <w:rFonts w:hint="eastAsia" w:ascii="黑体" w:hAnsi="黑体" w:eastAsia="黑体"/>
          <w:szCs w:val="32"/>
        </w:rPr>
        <w:t>五、一般公共预算财政拨款支出决算情况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（一）一般公共预算财政拨款支出决算总体情况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年度一般公共预算财政拨款支出</w:t>
      </w:r>
      <w:r>
        <w:rPr>
          <w:rFonts w:hint="eastAsia" w:ascii="仿宋_GB2312" w:eastAsia="仿宋_GB2312"/>
          <w:szCs w:val="32"/>
          <w:lang w:val="en-US" w:eastAsia="zh-CN"/>
        </w:rPr>
        <w:t>5909.99</w:t>
      </w:r>
      <w:r>
        <w:rPr>
          <w:rFonts w:hint="eastAsia" w:ascii="仿宋_GB2312" w:eastAsia="仿宋_GB2312"/>
          <w:szCs w:val="32"/>
        </w:rPr>
        <w:t>万元，占本年支出合计的</w:t>
      </w:r>
      <w:r>
        <w:rPr>
          <w:rFonts w:hint="eastAsia" w:ascii="仿宋_GB2312" w:eastAsia="仿宋_GB2312"/>
          <w:szCs w:val="32"/>
          <w:lang w:val="en-US" w:eastAsia="zh-CN"/>
        </w:rPr>
        <w:t>97.93</w:t>
      </w:r>
      <w:r>
        <w:rPr>
          <w:rFonts w:hint="eastAsia" w:ascii="仿宋_GB2312" w:eastAsia="仿宋_GB2312"/>
          <w:szCs w:val="32"/>
        </w:rPr>
        <w:t>%。与202</w:t>
      </w:r>
      <w:r>
        <w:rPr>
          <w:rFonts w:hint="eastAsia" w:ascii="仿宋_GB2312" w:eastAsia="仿宋_GB2312"/>
          <w:szCs w:val="32"/>
          <w:lang w:val="en-US" w:eastAsia="zh-CN"/>
        </w:rPr>
        <w:t>1</w:t>
      </w:r>
      <w:r>
        <w:rPr>
          <w:rFonts w:hint="eastAsia" w:ascii="仿宋_GB2312" w:eastAsia="仿宋_GB2312"/>
          <w:szCs w:val="32"/>
        </w:rPr>
        <w:t>年度相比，一般公共预算财政拨款支出</w:t>
      </w:r>
      <w:r>
        <w:rPr>
          <w:rFonts w:hint="eastAsia" w:ascii="仿宋_GB2312" w:eastAsia="仿宋_GB2312"/>
          <w:szCs w:val="32"/>
          <w:lang w:eastAsia="zh-CN"/>
        </w:rPr>
        <w:t>减少</w:t>
      </w:r>
      <w:r>
        <w:rPr>
          <w:rFonts w:hint="eastAsia" w:ascii="仿宋_GB2312" w:eastAsia="仿宋_GB2312"/>
          <w:szCs w:val="32"/>
          <w:lang w:val="en-US" w:eastAsia="zh-CN"/>
        </w:rPr>
        <w:t>22326.53</w:t>
      </w:r>
      <w:r>
        <w:rPr>
          <w:rFonts w:hint="eastAsia" w:ascii="仿宋_GB2312" w:eastAsia="仿宋_GB2312"/>
          <w:szCs w:val="32"/>
        </w:rPr>
        <w:t>万元，</w:t>
      </w:r>
      <w:r>
        <w:rPr>
          <w:rFonts w:hint="eastAsia" w:ascii="仿宋_GB2312" w:eastAsia="仿宋_GB2312"/>
          <w:szCs w:val="32"/>
          <w:lang w:eastAsia="zh-CN"/>
        </w:rPr>
        <w:t>减少</w:t>
      </w:r>
      <w:r>
        <w:rPr>
          <w:rFonts w:hint="eastAsia" w:ascii="仿宋_GB2312" w:eastAsia="仿宋_GB2312"/>
          <w:szCs w:val="32"/>
          <w:lang w:val="en-US" w:eastAsia="zh-CN"/>
        </w:rPr>
        <w:t>79.07</w:t>
      </w:r>
      <w:r>
        <w:rPr>
          <w:rFonts w:hint="eastAsia" w:ascii="仿宋_GB2312" w:eastAsia="仿宋_GB2312"/>
          <w:szCs w:val="32"/>
        </w:rPr>
        <w:t xml:space="preserve"> %。主要是</w:t>
      </w:r>
      <w:r>
        <w:rPr>
          <w:rFonts w:hint="eastAsia" w:ascii="仿宋_GB2312" w:eastAsia="仿宋_GB2312"/>
          <w:szCs w:val="32"/>
          <w:lang w:val="en-US" w:eastAsia="zh-CN"/>
        </w:rPr>
        <w:t>受疫情影响税收减少</w:t>
      </w:r>
      <w:r>
        <w:rPr>
          <w:rFonts w:hint="eastAsia" w:ascii="仿宋_GB2312" w:eastAsia="仿宋_GB2312"/>
          <w:szCs w:val="32"/>
        </w:rPr>
        <w:t>。</w:t>
      </w:r>
    </w:p>
    <w:p>
      <w:pPr>
        <w:spacing w:line="580" w:lineRule="exact"/>
        <w:ind w:firstLine="640" w:firstLineChars="200"/>
        <w:rPr>
          <w:rFonts w:hint="eastAsia" w:ascii="仿宋_GB2312" w:eastAsia="仿宋_GB2312"/>
          <w:szCs w:val="32"/>
        </w:rPr>
      </w:pPr>
      <w:r>
        <w:rPr>
          <w:rFonts w:ascii="Times New Roman" w:hAnsi="Times New Roman" w:eastAsia="宋体" w:cs="Times New Roman"/>
          <w:kern w:val="2"/>
          <w:sz w:val="32"/>
          <w:szCs w:val="24"/>
          <w:lang w:val="en-US" w:eastAsia="zh-CN" w:bidi="ar-SA"/>
        </w:rPr>
        <w:pict>
          <v:shape id="图片 5" o:spid="_x0000_s1031" type="#_x0000_t75" style="position:absolute;left:0;margin-left:30.7pt;margin-top:9.6pt;height:216.75pt;width:378.75pt;rotation:0f;z-index:251662336;" o:ole="f" fillcolor="#FFFFFF" filled="f" o:preferrelative="t" stroked="f" coordorigin="0,0" coordsize="21600,21600">
            <v:fill on="f" color2="#FFFFFF" focus="0%"/>
            <v:imagedata gain="65536f" blacklevel="0f" gamma="0" o:title="" r:id="rId13"/>
            <o:lock v:ext="edit" position="f" selection="f" grouping="f" rotation="f" cropping="f" text="f" aspectratio="t"/>
          </v:shape>
        </w:pict>
      </w: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仿宋_GB2312" w:eastAsia="仿宋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r>
        <w:rPr>
          <w:rFonts w:hint="eastAsia" w:ascii="楷体_GB2312" w:eastAsia="楷体_GB2312"/>
          <w:szCs w:val="32"/>
        </w:rPr>
        <w:t>（二）一般公共预算财政拨款支出决算结构情况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年度一般公共预算财政拨款支出</w:t>
      </w:r>
      <w:r>
        <w:rPr>
          <w:rFonts w:hint="eastAsia" w:ascii="仿宋_GB2312" w:eastAsia="仿宋_GB2312"/>
          <w:szCs w:val="32"/>
          <w:lang w:val="en-US" w:eastAsia="zh-CN"/>
        </w:rPr>
        <w:t>5909.99</w:t>
      </w:r>
      <w:r>
        <w:rPr>
          <w:rFonts w:hint="eastAsia" w:ascii="仿宋_GB2312" w:eastAsia="仿宋_GB2312"/>
          <w:szCs w:val="32"/>
        </w:rPr>
        <w:t>万元，主要用于以下方面：一般公共服务（类）支出</w:t>
      </w:r>
      <w:r>
        <w:rPr>
          <w:rFonts w:hint="eastAsia" w:ascii="仿宋_GB2312" w:eastAsia="仿宋_GB2312"/>
          <w:szCs w:val="32"/>
          <w:lang w:val="en-US" w:eastAsia="zh-CN"/>
        </w:rPr>
        <w:t>4611.4</w:t>
      </w:r>
      <w:r>
        <w:rPr>
          <w:rFonts w:hint="eastAsia" w:ascii="仿宋_GB2312" w:eastAsia="仿宋_GB2312"/>
          <w:szCs w:val="32"/>
        </w:rPr>
        <w:t>万元，占</w:t>
      </w:r>
      <w:r>
        <w:rPr>
          <w:rFonts w:hint="eastAsia" w:ascii="仿宋_GB2312" w:eastAsia="仿宋_GB2312"/>
          <w:szCs w:val="32"/>
          <w:lang w:val="en-US" w:eastAsia="zh-CN"/>
        </w:rPr>
        <w:t>78.03</w:t>
      </w:r>
      <w:r>
        <w:rPr>
          <w:rFonts w:hint="eastAsia" w:ascii="仿宋_GB2312" w:eastAsia="仿宋_GB2312"/>
          <w:szCs w:val="32"/>
        </w:rPr>
        <w:t>%；教育（类）支出</w:t>
      </w:r>
      <w:r>
        <w:rPr>
          <w:rFonts w:hint="eastAsia" w:ascii="仿宋_GB2312" w:eastAsia="仿宋_GB2312"/>
          <w:szCs w:val="32"/>
          <w:lang w:val="en-US" w:eastAsia="zh-CN"/>
        </w:rPr>
        <w:t>472.07</w:t>
      </w:r>
      <w:r>
        <w:rPr>
          <w:rFonts w:hint="eastAsia" w:ascii="仿宋_GB2312" w:eastAsia="仿宋_GB2312"/>
          <w:szCs w:val="32"/>
        </w:rPr>
        <w:t>万元，占</w:t>
      </w:r>
      <w:r>
        <w:rPr>
          <w:rFonts w:hint="eastAsia" w:ascii="仿宋_GB2312" w:eastAsia="仿宋_GB2312"/>
          <w:szCs w:val="32"/>
          <w:lang w:val="en-US" w:eastAsia="zh-CN"/>
        </w:rPr>
        <w:t>7.99</w:t>
      </w:r>
      <w:r>
        <w:rPr>
          <w:rFonts w:hint="eastAsia" w:ascii="仿宋_GB2312" w:eastAsia="仿宋_GB2312"/>
          <w:szCs w:val="32"/>
        </w:rPr>
        <w:t>%；</w:t>
      </w:r>
      <w:r>
        <w:rPr>
          <w:rFonts w:hint="eastAsia" w:ascii="仿宋_GB2312" w:eastAsia="仿宋_GB2312"/>
          <w:szCs w:val="32"/>
          <w:lang w:val="en-US" w:eastAsia="zh-CN"/>
        </w:rPr>
        <w:t>社会保障和就业（类）支出196万元，占3.32%；节能环保（类）支出35.52万元，占0.6%；农林水（类）支出330万元，占5.58%；住房保障（类）支出265万元，占4.48%</w:t>
      </w:r>
      <w:r>
        <w:rPr>
          <w:rFonts w:hint="eastAsia" w:ascii="仿宋_GB2312" w:eastAsia="仿宋_GB2312"/>
          <w:szCs w:val="32"/>
        </w:rPr>
        <w:t>。</w:t>
      </w: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r>
        <w:rPr>
          <w:rFonts w:ascii="Times New Roman" w:hAnsi="Times New Roman" w:eastAsia="宋体" w:cs="Times New Roman"/>
          <w:kern w:val="2"/>
          <w:sz w:val="32"/>
          <w:szCs w:val="24"/>
          <w:lang w:val="en-US" w:eastAsia="zh-CN" w:bidi="ar-SA"/>
        </w:rPr>
        <w:pict>
          <v:shape id="图片 6" o:spid="_x0000_s1032" type="#_x0000_t75" style="position:absolute;left:0;margin-left:16.3pt;margin-top:10.05pt;height:212.25pt;width:384pt;rotation:0f;z-index:251663360;" o:ole="f" fillcolor="#FFFFFF" filled="f" o:preferrelative="t" stroked="f" coordorigin="0,0" coordsize="21600,21600">
            <v:fill on="f" color2="#FFFFFF" focus="0%"/>
            <v:imagedata gain="65536f" blacklevel="0f" gamma="0" o:title="" r:id="rId14"/>
            <o:lock v:ext="edit" position="f" selection="f" grouping="f" rotation="f" cropping="f" text="f" aspectratio="t"/>
          </v:shape>
        </w:pict>
      </w: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r>
        <w:rPr>
          <w:rFonts w:hint="eastAsia" w:ascii="楷体_GB2312" w:eastAsia="楷体_GB2312"/>
          <w:szCs w:val="32"/>
        </w:rPr>
        <w:t>（三）一般公共预算财政拨款支出决算具体情况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2022年度一般公共预算财政拨款支出年初预算为</w:t>
      </w:r>
      <w:r>
        <w:rPr>
          <w:rFonts w:hint="eastAsia" w:ascii="仿宋_GB2312" w:eastAsia="仿宋_GB2312"/>
          <w:szCs w:val="32"/>
          <w:lang w:val="en-US" w:eastAsia="zh-CN"/>
        </w:rPr>
        <w:t>7593.08</w:t>
      </w:r>
      <w:r>
        <w:rPr>
          <w:rFonts w:hint="eastAsia" w:ascii="仿宋_GB2312" w:eastAsia="仿宋_GB2312"/>
          <w:szCs w:val="32"/>
        </w:rPr>
        <w:t>万元，支出决算为</w:t>
      </w:r>
      <w:r>
        <w:rPr>
          <w:rFonts w:hint="eastAsia" w:ascii="仿宋_GB2312" w:eastAsia="仿宋_GB2312"/>
          <w:szCs w:val="32"/>
          <w:lang w:val="en-US" w:eastAsia="zh-CN"/>
        </w:rPr>
        <w:t>5909.99</w:t>
      </w:r>
      <w:r>
        <w:rPr>
          <w:rFonts w:hint="eastAsia" w:ascii="仿宋_GB2312" w:eastAsia="仿宋_GB2312"/>
          <w:szCs w:val="32"/>
        </w:rPr>
        <w:t>万元，完成年初预算的</w:t>
      </w:r>
      <w:r>
        <w:rPr>
          <w:rFonts w:hint="eastAsia" w:ascii="仿宋_GB2312" w:eastAsia="仿宋_GB2312"/>
          <w:szCs w:val="32"/>
          <w:lang w:val="en-US" w:eastAsia="zh-CN"/>
        </w:rPr>
        <w:t>77.83</w:t>
      </w:r>
      <w:r>
        <w:rPr>
          <w:rFonts w:hint="eastAsia" w:ascii="仿宋_GB2312" w:eastAsia="仿宋_GB2312"/>
          <w:szCs w:val="32"/>
        </w:rPr>
        <w:t>%。决算数小于年初预算数的主要原因是</w:t>
      </w:r>
      <w:r>
        <w:rPr>
          <w:rFonts w:hint="eastAsia" w:ascii="仿宋_GB2312" w:eastAsia="仿宋_GB2312"/>
          <w:szCs w:val="32"/>
          <w:lang w:eastAsia="zh-CN"/>
        </w:rPr>
        <w:t>受疫情影响税收减少</w:t>
      </w:r>
      <w:r>
        <w:rPr>
          <w:rFonts w:hint="eastAsia" w:ascii="仿宋_GB2312" w:eastAsia="仿宋_GB2312"/>
          <w:szCs w:val="32"/>
        </w:rPr>
        <w:t>。其中：</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1.</w:t>
      </w:r>
      <w:r>
        <w:rPr>
          <w:rFonts w:hint="eastAsia" w:ascii="仿宋_GB2312" w:eastAsia="仿宋_GB2312"/>
          <w:szCs w:val="32"/>
        </w:rPr>
        <w:t>一般公共服务支出（类）政府办公厅（室）及相关机构事务（款）行政运行（项）。年初预算为6627.79万元，支出决算为4,611.40万元，完成年初预算的</w:t>
      </w:r>
      <w:r>
        <w:rPr>
          <w:rFonts w:hint="eastAsia" w:ascii="仿宋_GB2312" w:eastAsia="仿宋_GB2312"/>
          <w:szCs w:val="32"/>
          <w:lang w:val="en-US" w:eastAsia="zh-CN"/>
        </w:rPr>
        <w:t>69.58</w:t>
      </w:r>
      <w:r>
        <w:rPr>
          <w:rFonts w:hint="eastAsia" w:ascii="仿宋_GB2312" w:eastAsia="仿宋_GB2312"/>
          <w:szCs w:val="32"/>
        </w:rPr>
        <w:t>%。决算数小于年初预算数的主要原因是</w:t>
      </w:r>
      <w:r>
        <w:rPr>
          <w:rFonts w:hint="eastAsia" w:ascii="仿宋_GB2312" w:eastAsia="仿宋_GB2312"/>
          <w:szCs w:val="32"/>
          <w:lang w:eastAsia="zh-CN"/>
        </w:rPr>
        <w:t>受疫情影响税收减少。</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2.</w:t>
      </w:r>
      <w:r>
        <w:rPr>
          <w:rFonts w:hint="eastAsia" w:ascii="仿宋_GB2312" w:eastAsia="仿宋_GB2312"/>
          <w:szCs w:val="32"/>
        </w:rPr>
        <w:t>一般公共服务支出（类）组织事务（款）其他组织事务支出（项）。年初预算为</w:t>
      </w:r>
      <w:r>
        <w:rPr>
          <w:rFonts w:hint="eastAsia" w:ascii="仿宋_GB2312" w:eastAsia="仿宋_GB2312"/>
          <w:szCs w:val="32"/>
          <w:lang w:val="en-US" w:eastAsia="zh-CN"/>
        </w:rPr>
        <w:t>0</w:t>
      </w:r>
      <w:r>
        <w:rPr>
          <w:rFonts w:hint="eastAsia" w:ascii="仿宋_GB2312" w:eastAsia="仿宋_GB2312"/>
          <w:szCs w:val="32"/>
        </w:rPr>
        <w:t>万元，支出决算为283万元。决算数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此项目为临时追加项目，未做年初预算。</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3.</w:t>
      </w:r>
      <w:r>
        <w:rPr>
          <w:rFonts w:hint="eastAsia" w:ascii="仿宋_GB2312" w:eastAsia="仿宋_GB2312"/>
          <w:szCs w:val="32"/>
        </w:rPr>
        <w:t>教育支出（类）普通教育（款）学前教育（项）。年初预算为231.75万元，支出决算为272.07万元，完成年初预算的</w:t>
      </w:r>
      <w:r>
        <w:rPr>
          <w:rFonts w:hint="eastAsia" w:ascii="仿宋_GB2312" w:eastAsia="仿宋_GB2312"/>
          <w:szCs w:val="32"/>
          <w:lang w:val="en-US" w:eastAsia="zh-CN"/>
        </w:rPr>
        <w:t>117.4</w:t>
      </w:r>
      <w:r>
        <w:rPr>
          <w:rFonts w:hint="eastAsia" w:ascii="仿宋_GB2312" w:eastAsia="仿宋_GB2312"/>
          <w:szCs w:val="32"/>
        </w:rPr>
        <w:t>%。决算数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非公办幼师人数增加。</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4.</w:t>
      </w:r>
      <w:r>
        <w:rPr>
          <w:rFonts w:hint="eastAsia" w:ascii="仿宋_GB2312" w:eastAsia="仿宋_GB2312"/>
          <w:szCs w:val="32"/>
        </w:rPr>
        <w:t>教育支出（类）普通教育（款）</w:t>
      </w:r>
      <w:r>
        <w:rPr>
          <w:rFonts w:hint="eastAsia" w:ascii="仿宋_GB2312" w:eastAsia="仿宋_GB2312"/>
          <w:szCs w:val="32"/>
          <w:lang w:eastAsia="zh-CN"/>
        </w:rPr>
        <w:t>小学</w:t>
      </w:r>
      <w:r>
        <w:rPr>
          <w:rFonts w:hint="eastAsia" w:ascii="仿宋_GB2312" w:eastAsia="仿宋_GB2312"/>
          <w:szCs w:val="32"/>
        </w:rPr>
        <w:t>教育（项）。年初预算为</w:t>
      </w:r>
      <w:r>
        <w:rPr>
          <w:rFonts w:hint="eastAsia" w:ascii="仿宋_GB2312" w:eastAsia="仿宋_GB2312"/>
          <w:szCs w:val="32"/>
          <w:lang w:val="en-US" w:eastAsia="zh-CN"/>
        </w:rPr>
        <w:t>0</w:t>
      </w:r>
      <w:r>
        <w:rPr>
          <w:rFonts w:hint="eastAsia" w:ascii="仿宋_GB2312" w:eastAsia="仿宋_GB2312"/>
          <w:szCs w:val="32"/>
        </w:rPr>
        <w:t>万元，支出决算为200万元，决算数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此项目为临时追加项目，未做年初预算。</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5.</w:t>
      </w:r>
      <w:r>
        <w:rPr>
          <w:rFonts w:hint="eastAsia" w:ascii="仿宋_GB2312" w:eastAsia="仿宋_GB2312"/>
          <w:szCs w:val="32"/>
        </w:rPr>
        <w:t>社会保障和就业支出（类）民政管理事务（款）</w:t>
      </w:r>
      <w:r>
        <w:rPr>
          <w:rFonts w:hint="eastAsia" w:ascii="仿宋_GB2312" w:eastAsia="仿宋_GB2312"/>
          <w:szCs w:val="32"/>
          <w:lang w:eastAsia="zh-CN"/>
        </w:rPr>
        <w:t>基层政权建设和社区治理</w:t>
      </w:r>
      <w:r>
        <w:rPr>
          <w:rFonts w:hint="eastAsia" w:ascii="仿宋_GB2312" w:eastAsia="仿宋_GB2312"/>
          <w:szCs w:val="32"/>
        </w:rPr>
        <w:t>（项）。年初预算为</w:t>
      </w:r>
      <w:r>
        <w:rPr>
          <w:rFonts w:hint="eastAsia" w:ascii="仿宋_GB2312" w:eastAsia="仿宋_GB2312"/>
          <w:szCs w:val="32"/>
          <w:lang w:val="en-US" w:eastAsia="zh-CN"/>
        </w:rPr>
        <w:t>0</w:t>
      </w:r>
      <w:r>
        <w:rPr>
          <w:rFonts w:hint="eastAsia" w:ascii="仿宋_GB2312" w:eastAsia="仿宋_GB2312"/>
          <w:szCs w:val="32"/>
        </w:rPr>
        <w:t>万元，支出决算为196万元，决算数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此项目为临时追加项目，未做年初预算。</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6.</w:t>
      </w:r>
      <w:r>
        <w:rPr>
          <w:rFonts w:hint="eastAsia" w:ascii="仿宋_GB2312" w:eastAsia="仿宋_GB2312"/>
          <w:szCs w:val="32"/>
        </w:rPr>
        <w:t>节能环保支出（类）自然生态保护（款）</w:t>
      </w:r>
      <w:r>
        <w:rPr>
          <w:rFonts w:hint="eastAsia" w:ascii="仿宋_GB2312" w:eastAsia="仿宋_GB2312"/>
          <w:szCs w:val="32"/>
          <w:lang w:eastAsia="zh-CN"/>
        </w:rPr>
        <w:t>农村环境保护</w:t>
      </w:r>
      <w:r>
        <w:rPr>
          <w:rFonts w:hint="eastAsia" w:ascii="仿宋_GB2312" w:eastAsia="仿宋_GB2312"/>
          <w:szCs w:val="32"/>
        </w:rPr>
        <w:t>（项）。年初预算为</w:t>
      </w:r>
      <w:r>
        <w:rPr>
          <w:rFonts w:hint="eastAsia" w:ascii="仿宋_GB2312" w:eastAsia="仿宋_GB2312"/>
          <w:szCs w:val="32"/>
          <w:lang w:val="en-US" w:eastAsia="zh-CN"/>
        </w:rPr>
        <w:t>0</w:t>
      </w:r>
      <w:r>
        <w:rPr>
          <w:rFonts w:hint="eastAsia" w:ascii="仿宋_GB2312" w:eastAsia="仿宋_GB2312"/>
          <w:szCs w:val="32"/>
        </w:rPr>
        <w:t>万元，支出决算为35.52万元，决算数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此项目为临时追加项目，未做年初预算。</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7.</w:t>
      </w:r>
      <w:r>
        <w:rPr>
          <w:rFonts w:hint="eastAsia" w:ascii="仿宋_GB2312" w:eastAsia="仿宋_GB2312"/>
          <w:szCs w:val="32"/>
        </w:rPr>
        <w:t>农林水支出（类）农村综合改革（款）</w:t>
      </w:r>
      <w:r>
        <w:rPr>
          <w:rFonts w:hint="eastAsia" w:ascii="仿宋_GB2312" w:eastAsia="仿宋_GB2312"/>
          <w:szCs w:val="32"/>
          <w:lang w:eastAsia="zh-CN"/>
        </w:rPr>
        <w:t>对村民委员会和村党支部的补助</w:t>
      </w:r>
      <w:r>
        <w:rPr>
          <w:rFonts w:hint="eastAsia" w:ascii="仿宋_GB2312" w:eastAsia="仿宋_GB2312"/>
          <w:szCs w:val="32"/>
        </w:rPr>
        <w:t>（项）。年初预算为</w:t>
      </w:r>
      <w:r>
        <w:rPr>
          <w:rFonts w:hint="eastAsia" w:ascii="仿宋_GB2312" w:eastAsia="仿宋_GB2312"/>
          <w:szCs w:val="32"/>
          <w:lang w:val="en-US" w:eastAsia="zh-CN"/>
        </w:rPr>
        <w:t>60</w:t>
      </w:r>
      <w:r>
        <w:rPr>
          <w:rFonts w:hint="eastAsia" w:ascii="仿宋_GB2312" w:eastAsia="仿宋_GB2312"/>
          <w:szCs w:val="32"/>
        </w:rPr>
        <w:t>万元，支出决算为330万元，决算数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受疫情影响对村庄补助增大。</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8.</w:t>
      </w:r>
      <w:r>
        <w:rPr>
          <w:rFonts w:hint="eastAsia" w:ascii="仿宋_GB2312" w:eastAsia="仿宋_GB2312"/>
          <w:szCs w:val="32"/>
        </w:rPr>
        <w:t>住房保障支出（类）保障性安居工程支出（款）</w:t>
      </w:r>
      <w:r>
        <w:rPr>
          <w:rFonts w:hint="eastAsia" w:ascii="仿宋_GB2312" w:eastAsia="仿宋_GB2312"/>
          <w:szCs w:val="32"/>
          <w:lang w:eastAsia="zh-CN"/>
        </w:rPr>
        <w:t>其他保障性安居工程支出</w:t>
      </w:r>
      <w:r>
        <w:rPr>
          <w:rFonts w:hint="eastAsia" w:ascii="仿宋_GB2312" w:eastAsia="仿宋_GB2312"/>
          <w:szCs w:val="32"/>
        </w:rPr>
        <w:t>（项）。年初预算为</w:t>
      </w:r>
      <w:r>
        <w:rPr>
          <w:rFonts w:hint="eastAsia" w:ascii="仿宋_GB2312" w:eastAsia="仿宋_GB2312"/>
          <w:szCs w:val="32"/>
          <w:lang w:val="en-US" w:eastAsia="zh-CN"/>
        </w:rPr>
        <w:t>0</w:t>
      </w:r>
      <w:r>
        <w:rPr>
          <w:rFonts w:hint="eastAsia" w:ascii="仿宋_GB2312" w:eastAsia="仿宋_GB2312"/>
          <w:szCs w:val="32"/>
        </w:rPr>
        <w:t>万元，支出决算为265万元，决算数</w:t>
      </w:r>
      <w:r>
        <w:rPr>
          <w:rFonts w:hint="eastAsia" w:ascii="仿宋_GB2312" w:eastAsia="仿宋_GB2312"/>
          <w:szCs w:val="32"/>
          <w:lang w:eastAsia="zh-CN"/>
        </w:rPr>
        <w:t>大于</w:t>
      </w:r>
      <w:r>
        <w:rPr>
          <w:rFonts w:hint="eastAsia" w:ascii="仿宋_GB2312" w:eastAsia="仿宋_GB2312"/>
          <w:szCs w:val="32"/>
        </w:rPr>
        <w:t>年初预算数的主要原因是</w:t>
      </w:r>
      <w:r>
        <w:rPr>
          <w:rFonts w:hint="eastAsia" w:ascii="仿宋_GB2312" w:eastAsia="仿宋_GB2312"/>
          <w:szCs w:val="32"/>
          <w:lang w:eastAsia="zh-CN"/>
        </w:rPr>
        <w:t>此项目为临时追加项目，未做年初预算。</w:t>
      </w:r>
    </w:p>
    <w:p>
      <w:pPr>
        <w:spacing w:line="580" w:lineRule="exact"/>
        <w:ind w:firstLine="640" w:firstLineChars="200"/>
        <w:rPr>
          <w:rFonts w:hint="eastAsia" w:ascii="黑体" w:hAnsi="黑体" w:eastAsia="黑体"/>
          <w:szCs w:val="32"/>
        </w:rPr>
      </w:pPr>
      <w:r>
        <w:rPr>
          <w:rFonts w:hint="eastAsia" w:ascii="黑体" w:hAnsi="黑体" w:eastAsia="黑体"/>
          <w:szCs w:val="32"/>
        </w:rPr>
        <w:t>六、一般公共预算财政拨款基本支出决算情况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年度一般公共预算财政拨款基本支出决算</w:t>
      </w:r>
      <w:r>
        <w:rPr>
          <w:rFonts w:hint="eastAsia" w:ascii="仿宋_GB2312" w:eastAsia="仿宋_GB2312"/>
          <w:szCs w:val="32"/>
          <w:lang w:val="en-US" w:eastAsia="zh-CN"/>
        </w:rPr>
        <w:t>4328.4</w:t>
      </w:r>
      <w:r>
        <w:rPr>
          <w:rFonts w:hint="eastAsia" w:ascii="仿宋_GB2312" w:eastAsia="仿宋_GB2312"/>
          <w:szCs w:val="32"/>
        </w:rPr>
        <w:t>万元，包括人员经费和公用经费，支出具体情况如下：</w:t>
      </w:r>
    </w:p>
    <w:p>
      <w:pPr>
        <w:spacing w:line="580" w:lineRule="exact"/>
        <w:ind w:firstLine="640" w:firstLineChars="200"/>
        <w:rPr>
          <w:rFonts w:hint="eastAsia" w:ascii="仿宋_GB2312" w:eastAsia="仿宋_GB2312"/>
          <w:b/>
          <w:szCs w:val="32"/>
        </w:rPr>
      </w:pPr>
      <w:r>
        <w:rPr>
          <w:rFonts w:hint="eastAsia" w:ascii="仿宋_GB2312" w:eastAsia="仿宋_GB2312"/>
          <w:szCs w:val="32"/>
        </w:rPr>
        <w:t>人员经费</w:t>
      </w:r>
      <w:r>
        <w:rPr>
          <w:rFonts w:hint="eastAsia" w:ascii="仿宋_GB2312" w:eastAsia="仿宋_GB2312"/>
          <w:szCs w:val="32"/>
          <w:lang w:val="en-US" w:eastAsia="zh-CN"/>
        </w:rPr>
        <w:t>3698.1</w:t>
      </w:r>
      <w:r>
        <w:rPr>
          <w:rFonts w:hint="eastAsia" w:ascii="仿宋_GB2312" w:eastAsia="仿宋_GB2312"/>
          <w:szCs w:val="32"/>
        </w:rPr>
        <w:t>万元，主要包括：基本工资、津贴补贴、</w:t>
      </w:r>
      <w:r>
        <w:rPr>
          <w:rFonts w:hint="eastAsia" w:ascii="仿宋_GB2312" w:eastAsia="仿宋_GB2312"/>
          <w:szCs w:val="32"/>
          <w:lang w:eastAsia="zh-CN"/>
        </w:rPr>
        <w:t>奖金、绩效工资、机关事业单位基本养老保险缴费、职业年金缴费、职工基本医疗保险缴费、其他社会保险缴费、住房公积金、抚恤金、生活补助、其他对个人和家庭的补助</w:t>
      </w:r>
      <w:r>
        <w:rPr>
          <w:rFonts w:hint="eastAsia" w:ascii="仿宋_GB2312" w:eastAsia="仿宋_GB2312"/>
          <w:szCs w:val="32"/>
        </w:rPr>
        <w:t>。</w:t>
      </w:r>
    </w:p>
    <w:p>
      <w:pPr>
        <w:spacing w:line="580" w:lineRule="exact"/>
        <w:ind w:firstLine="640" w:firstLineChars="200"/>
        <w:rPr>
          <w:rFonts w:hint="eastAsia" w:ascii="仿宋_GB2312" w:eastAsia="仿宋_GB2312"/>
          <w:b/>
          <w:szCs w:val="32"/>
        </w:rPr>
      </w:pPr>
      <w:r>
        <w:rPr>
          <w:rFonts w:hint="eastAsia" w:ascii="仿宋_GB2312" w:eastAsia="仿宋_GB2312"/>
          <w:szCs w:val="32"/>
        </w:rPr>
        <w:t>公用经费</w:t>
      </w:r>
      <w:r>
        <w:rPr>
          <w:rFonts w:hint="eastAsia" w:ascii="仿宋_GB2312" w:eastAsia="仿宋_GB2312"/>
          <w:szCs w:val="32"/>
          <w:lang w:val="en-US" w:eastAsia="zh-CN"/>
        </w:rPr>
        <w:t>630.3</w:t>
      </w:r>
      <w:r>
        <w:rPr>
          <w:rFonts w:hint="eastAsia" w:ascii="仿宋_GB2312" w:eastAsia="仿宋_GB2312"/>
          <w:szCs w:val="32"/>
        </w:rPr>
        <w:t>万元，主要包括：办公费</w:t>
      </w:r>
      <w:r>
        <w:rPr>
          <w:rFonts w:hint="eastAsia" w:ascii="仿宋_GB2312" w:eastAsia="仿宋_GB2312"/>
          <w:szCs w:val="32"/>
          <w:lang w:eastAsia="zh-CN"/>
        </w:rPr>
        <w:t>、手续费、水费、电费、邮电费、取暖费、差旅费、维修（护）费、培训费、劳务费、委托业务费、工会经费、公务用车运行维护费、其他交通费用、其他商品和服务支出</w:t>
      </w:r>
      <w:r>
        <w:rPr>
          <w:rFonts w:hint="eastAsia" w:ascii="仿宋_GB2312" w:eastAsia="仿宋_GB2312"/>
          <w:szCs w:val="32"/>
        </w:rPr>
        <w:t>。</w:t>
      </w:r>
    </w:p>
    <w:p>
      <w:pPr>
        <w:spacing w:line="580" w:lineRule="exact"/>
        <w:ind w:firstLine="640" w:firstLineChars="200"/>
        <w:rPr>
          <w:rFonts w:hint="eastAsia" w:ascii="黑体" w:hAnsi="黑体" w:eastAsia="黑体"/>
          <w:szCs w:val="32"/>
        </w:rPr>
      </w:pPr>
      <w:r>
        <w:rPr>
          <w:rFonts w:hint="eastAsia" w:ascii="黑体" w:hAnsi="黑体" w:eastAsia="黑体"/>
          <w:szCs w:val="32"/>
        </w:rPr>
        <w:t>七、政府性基金预算财政拨款收入支出决算情况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lang w:eastAsia="zh-CN"/>
        </w:rPr>
        <w:t>2022</w:t>
      </w:r>
      <w:r>
        <w:rPr>
          <w:rFonts w:hint="eastAsia" w:ascii="仿宋_GB2312" w:eastAsia="仿宋_GB2312"/>
          <w:szCs w:val="32"/>
        </w:rPr>
        <w:t xml:space="preserve">年度政府性基金预算财政拨款年初结转和结余    </w:t>
      </w:r>
      <w:r>
        <w:rPr>
          <w:rFonts w:hint="eastAsia" w:ascii="仿宋_GB2312" w:eastAsia="仿宋_GB2312"/>
          <w:szCs w:val="32"/>
          <w:lang w:val="en-US" w:eastAsia="zh-CN"/>
        </w:rPr>
        <w:t>0</w:t>
      </w:r>
      <w:r>
        <w:rPr>
          <w:rFonts w:hint="eastAsia" w:ascii="仿宋_GB2312" w:eastAsia="仿宋_GB2312"/>
          <w:szCs w:val="32"/>
        </w:rPr>
        <w:t>万元，本年收入</w:t>
      </w:r>
      <w:r>
        <w:rPr>
          <w:rFonts w:hint="eastAsia" w:ascii="仿宋_GB2312" w:eastAsia="仿宋_GB2312"/>
          <w:szCs w:val="32"/>
          <w:lang w:val="en-US" w:eastAsia="zh-CN"/>
        </w:rPr>
        <w:t>124.64</w:t>
      </w:r>
      <w:r>
        <w:rPr>
          <w:rFonts w:hint="eastAsia" w:ascii="仿宋_GB2312" w:eastAsia="仿宋_GB2312"/>
          <w:szCs w:val="32"/>
        </w:rPr>
        <w:t>万元，本年支出</w:t>
      </w:r>
      <w:r>
        <w:rPr>
          <w:rFonts w:hint="eastAsia" w:ascii="仿宋_GB2312" w:eastAsia="仿宋_GB2312"/>
          <w:szCs w:val="32"/>
          <w:lang w:val="en-US" w:eastAsia="zh-CN"/>
        </w:rPr>
        <w:t>124.64</w:t>
      </w:r>
      <w:r>
        <w:rPr>
          <w:rFonts w:hint="eastAsia" w:ascii="仿宋_GB2312" w:eastAsia="仿宋_GB2312"/>
          <w:szCs w:val="32"/>
        </w:rPr>
        <w:t>万元，年末结转和结余</w:t>
      </w:r>
      <w:r>
        <w:rPr>
          <w:rFonts w:hint="eastAsia" w:ascii="仿宋_GB2312" w:eastAsia="仿宋_GB2312"/>
          <w:szCs w:val="32"/>
          <w:lang w:val="en-US" w:eastAsia="zh-CN"/>
        </w:rPr>
        <w:t>0</w:t>
      </w:r>
      <w:r>
        <w:rPr>
          <w:rFonts w:hint="eastAsia" w:ascii="仿宋_GB2312" w:eastAsia="仿宋_GB2312"/>
          <w:szCs w:val="32"/>
        </w:rPr>
        <w:t>万元。支出具体情况如下：</w:t>
      </w:r>
    </w:p>
    <w:p>
      <w:pPr>
        <w:spacing w:line="580" w:lineRule="exact"/>
        <w:ind w:firstLine="640" w:firstLineChars="200"/>
        <w:rPr>
          <w:rFonts w:hint="eastAsia" w:ascii="仿宋_GB2312" w:eastAsia="仿宋_GB2312"/>
          <w:szCs w:val="32"/>
        </w:rPr>
      </w:pPr>
      <w:r>
        <w:rPr>
          <w:rFonts w:hint="eastAsia" w:ascii="仿宋_GB2312" w:eastAsia="仿宋_GB2312"/>
          <w:szCs w:val="32"/>
        </w:rPr>
        <w:t>（</w:t>
      </w:r>
      <w:r>
        <w:rPr>
          <w:rFonts w:hint="eastAsia" w:ascii="仿宋_GB2312" w:eastAsia="仿宋_GB2312"/>
          <w:szCs w:val="32"/>
          <w:lang w:eastAsia="zh-CN"/>
        </w:rPr>
        <w:t>一</w:t>
      </w:r>
      <w:r>
        <w:rPr>
          <w:rFonts w:hint="eastAsia" w:ascii="仿宋_GB2312" w:eastAsia="仿宋_GB2312"/>
          <w:szCs w:val="32"/>
        </w:rPr>
        <w:t>）</w:t>
      </w:r>
      <w:r>
        <w:rPr>
          <w:rFonts w:hint="eastAsia" w:ascii="仿宋_GB2312" w:hAnsi="宋体" w:eastAsia="仿宋_GB2312" w:cs="Courier New"/>
          <w:szCs w:val="32"/>
        </w:rPr>
        <w:t>城乡社区支出（类）国有土地使用权出让收入安排的支出（款）农村基础设施建设支出（项）。</w:t>
      </w:r>
      <w:r>
        <w:rPr>
          <w:rFonts w:hint="eastAsia" w:ascii="仿宋_GB2312" w:eastAsia="仿宋_GB2312"/>
          <w:szCs w:val="32"/>
        </w:rPr>
        <w:t>年初预算为</w:t>
      </w:r>
      <w:r>
        <w:rPr>
          <w:rFonts w:hint="eastAsia" w:ascii="仿宋_GB2312" w:eastAsia="仿宋_GB2312"/>
          <w:szCs w:val="32"/>
          <w:lang w:val="en-US" w:eastAsia="zh-CN"/>
        </w:rPr>
        <w:t>124.64</w:t>
      </w:r>
      <w:r>
        <w:rPr>
          <w:rFonts w:hint="eastAsia" w:ascii="仿宋_GB2312" w:eastAsia="仿宋_GB2312"/>
          <w:szCs w:val="32"/>
        </w:rPr>
        <w:t>万元，支出决算为</w:t>
      </w:r>
      <w:r>
        <w:rPr>
          <w:rFonts w:hint="eastAsia" w:ascii="仿宋_GB2312" w:eastAsia="仿宋_GB2312"/>
          <w:szCs w:val="32"/>
          <w:lang w:val="en-US" w:eastAsia="zh-CN"/>
        </w:rPr>
        <w:t>124.64</w:t>
      </w:r>
      <w:r>
        <w:rPr>
          <w:rFonts w:hint="eastAsia" w:ascii="仿宋_GB2312" w:eastAsia="仿宋_GB2312"/>
          <w:szCs w:val="32"/>
        </w:rPr>
        <w:t>万元，完成年初预算的</w:t>
      </w:r>
      <w:r>
        <w:rPr>
          <w:rFonts w:hint="eastAsia" w:ascii="仿宋_GB2312" w:eastAsia="仿宋_GB2312"/>
          <w:szCs w:val="32"/>
          <w:lang w:val="en-US" w:eastAsia="zh-CN"/>
        </w:rPr>
        <w:t>100</w:t>
      </w:r>
      <w:r>
        <w:rPr>
          <w:rFonts w:hint="eastAsia" w:ascii="仿宋_GB2312" w:eastAsia="仿宋_GB2312"/>
          <w:szCs w:val="32"/>
        </w:rPr>
        <w:t>%。决算数与年初预算持平。</w:t>
      </w:r>
    </w:p>
    <w:p>
      <w:pPr>
        <w:spacing w:line="580" w:lineRule="exact"/>
        <w:ind w:firstLine="640" w:firstLineChars="200"/>
        <w:rPr>
          <w:rFonts w:hint="eastAsia" w:ascii="黑体" w:hAnsi="黑体" w:eastAsia="黑体"/>
          <w:szCs w:val="32"/>
        </w:rPr>
      </w:pPr>
      <w:r>
        <w:rPr>
          <w:rFonts w:hint="eastAsia" w:ascii="黑体" w:hAnsi="黑体" w:eastAsia="黑体"/>
          <w:szCs w:val="32"/>
        </w:rPr>
        <w:t>八、国有资本经营预算财政拨款支出决算情况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w:t>
      </w:r>
      <w:r>
        <w:rPr>
          <w:rFonts w:hint="eastAsia" w:ascii="仿宋_GB2312" w:eastAsia="仿宋_GB2312"/>
          <w:szCs w:val="32"/>
          <w:lang w:eastAsia="zh-CN"/>
        </w:rPr>
        <w:t>单位</w:t>
      </w:r>
      <w:r>
        <w:rPr>
          <w:rFonts w:hint="eastAsia" w:ascii="仿宋_GB2312" w:eastAsia="仿宋_GB2312"/>
          <w:szCs w:val="32"/>
        </w:rPr>
        <w:t>没有国有资本经营预算财政拨款支出</w:t>
      </w:r>
    </w:p>
    <w:p>
      <w:pPr>
        <w:spacing w:line="580" w:lineRule="exact"/>
        <w:ind w:firstLine="640" w:firstLineChars="200"/>
        <w:rPr>
          <w:rFonts w:hint="eastAsia" w:ascii="黑体" w:hAnsi="黑体" w:eastAsia="黑体"/>
          <w:szCs w:val="32"/>
        </w:rPr>
      </w:pPr>
      <w:r>
        <w:rPr>
          <w:rFonts w:hint="eastAsia" w:ascii="黑体" w:hAnsi="黑体" w:eastAsia="黑体"/>
          <w:szCs w:val="32"/>
        </w:rPr>
        <w:t>九、财政拨款“三公”经费支出决算情况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（一）“三公”经费支出决算总体情况</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lang w:eastAsia="zh-CN"/>
        </w:rPr>
        <w:t>2022</w:t>
      </w:r>
      <w:r>
        <w:rPr>
          <w:rFonts w:hint="eastAsia" w:ascii="仿宋_GB2312" w:eastAsia="仿宋_GB2312"/>
          <w:szCs w:val="32"/>
        </w:rPr>
        <w:t>年度一般公共预算财政拨款“三公”经费支出年初预算为</w:t>
      </w:r>
      <w:r>
        <w:rPr>
          <w:rFonts w:hint="eastAsia" w:ascii="仿宋_GB2312" w:eastAsia="仿宋_GB2312"/>
          <w:szCs w:val="32"/>
          <w:lang w:val="en-US" w:eastAsia="zh-CN"/>
        </w:rPr>
        <w:t>31</w:t>
      </w:r>
      <w:r>
        <w:rPr>
          <w:rFonts w:hint="eastAsia" w:ascii="仿宋_GB2312" w:eastAsia="仿宋_GB2312"/>
          <w:szCs w:val="32"/>
        </w:rPr>
        <w:t>万元，支出决算为</w:t>
      </w:r>
      <w:r>
        <w:rPr>
          <w:rFonts w:hint="eastAsia" w:ascii="仿宋_GB2312" w:eastAsia="仿宋_GB2312"/>
          <w:szCs w:val="32"/>
          <w:lang w:val="en-US" w:eastAsia="zh-CN"/>
        </w:rPr>
        <w:t>50.8</w:t>
      </w:r>
      <w:r>
        <w:rPr>
          <w:rFonts w:hint="eastAsia" w:ascii="仿宋_GB2312" w:eastAsia="仿宋_GB2312"/>
          <w:szCs w:val="32"/>
        </w:rPr>
        <w:t>万元，比全年预算增加</w:t>
      </w:r>
      <w:r>
        <w:rPr>
          <w:rFonts w:hint="eastAsia" w:ascii="仿宋_GB2312" w:eastAsia="仿宋_GB2312"/>
          <w:szCs w:val="32"/>
          <w:lang w:val="en-US" w:eastAsia="zh-CN"/>
        </w:rPr>
        <w:t>19.8</w:t>
      </w:r>
      <w:r>
        <w:rPr>
          <w:rFonts w:hint="eastAsia" w:ascii="仿宋_GB2312" w:eastAsia="仿宋_GB2312"/>
          <w:szCs w:val="32"/>
        </w:rPr>
        <w:t>万元，完成全年预算的</w:t>
      </w:r>
      <w:r>
        <w:rPr>
          <w:rFonts w:hint="eastAsia" w:ascii="仿宋_GB2312" w:eastAsia="仿宋_GB2312"/>
          <w:szCs w:val="32"/>
          <w:lang w:val="en-US" w:eastAsia="zh-CN"/>
        </w:rPr>
        <w:t>163.87</w:t>
      </w:r>
      <w:r>
        <w:rPr>
          <w:rFonts w:hint="eastAsia" w:ascii="仿宋_GB2312" w:eastAsia="仿宋_GB2312"/>
          <w:szCs w:val="32"/>
        </w:rPr>
        <w:t>%， 决算数大于年初预算数的主要原因是</w:t>
      </w:r>
      <w:r>
        <w:rPr>
          <w:rFonts w:hint="eastAsia" w:ascii="仿宋_GB2312" w:eastAsia="仿宋_GB2312"/>
          <w:szCs w:val="32"/>
          <w:lang w:eastAsia="zh-CN"/>
        </w:rPr>
        <w:t>因疫情影响用车次数明显增加。</w:t>
      </w:r>
    </w:p>
    <w:p>
      <w:pPr>
        <w:spacing w:line="580" w:lineRule="exact"/>
        <w:ind w:firstLine="640" w:firstLineChars="200"/>
        <w:rPr>
          <w:rFonts w:hint="eastAsia" w:ascii="楷体_GB2312" w:eastAsia="楷体_GB2312"/>
          <w:szCs w:val="32"/>
        </w:rPr>
      </w:pPr>
      <w:r>
        <w:rPr>
          <w:rFonts w:hint="eastAsia" w:ascii="楷体_GB2312" w:eastAsia="楷体_GB2312"/>
          <w:szCs w:val="32"/>
        </w:rPr>
        <w:t>（二）“三公”经费支出决算具体情况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1.因公出国（境）费年初预算为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0</w:t>
      </w:r>
      <w:r>
        <w:rPr>
          <w:rFonts w:hint="eastAsia" w:ascii="仿宋_GB2312" w:eastAsia="仿宋_GB2312"/>
          <w:szCs w:val="32"/>
        </w:rPr>
        <w:t>万元，与</w:t>
      </w:r>
      <w:r>
        <w:rPr>
          <w:rFonts w:hint="eastAsia" w:ascii="仿宋_GB2312" w:eastAsia="仿宋_GB2312"/>
          <w:szCs w:val="32"/>
          <w:lang w:eastAsia="zh-CN"/>
        </w:rPr>
        <w:t>2022</w:t>
      </w:r>
      <w:r>
        <w:rPr>
          <w:rFonts w:hint="eastAsia" w:ascii="仿宋_GB2312" w:eastAsia="仿宋_GB2312"/>
          <w:szCs w:val="32"/>
        </w:rPr>
        <w:t>年预算基本持平，完成年初预算的</w:t>
      </w:r>
      <w:r>
        <w:rPr>
          <w:rFonts w:hint="eastAsia" w:ascii="仿宋_GB2312" w:eastAsia="仿宋_GB2312"/>
          <w:szCs w:val="32"/>
          <w:lang w:val="en-US" w:eastAsia="zh-CN"/>
        </w:rPr>
        <w:t>100</w:t>
      </w:r>
      <w:r>
        <w:rPr>
          <w:rFonts w:hint="eastAsia" w:ascii="仿宋_GB2312" w:eastAsia="仿宋_GB2312"/>
          <w:szCs w:val="32"/>
        </w:rPr>
        <w:t>%。</w:t>
      </w:r>
    </w:p>
    <w:p>
      <w:pPr>
        <w:spacing w:line="580" w:lineRule="exact"/>
        <w:ind w:firstLine="640" w:firstLineChars="200"/>
        <w:rPr>
          <w:rFonts w:hint="eastAsia" w:ascii="仿宋_GB2312" w:hAnsi="Times New Roman" w:eastAsia="仿宋_GB2312" w:cs="Times New Roman"/>
          <w:szCs w:val="32"/>
        </w:rPr>
      </w:pPr>
      <w:r>
        <w:rPr>
          <w:rFonts w:hint="eastAsia" w:ascii="仿宋_GB2312" w:hAnsi="Times New Roman" w:eastAsia="仿宋_GB2312" w:cs="Times New Roman"/>
          <w:szCs w:val="32"/>
        </w:rPr>
        <w:t>全年支出涉及因公出国（境）团组</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个,累计</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人次。</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2.</w:t>
      </w:r>
      <w:r>
        <w:rPr>
          <w:rFonts w:hint="eastAsia" w:ascii="仿宋_GB2312" w:eastAsia="仿宋_GB2312"/>
          <w:szCs w:val="32"/>
        </w:rPr>
        <w:t>公务用车购置及运行维护费年初预算为</w:t>
      </w:r>
      <w:r>
        <w:rPr>
          <w:rFonts w:hint="eastAsia" w:ascii="仿宋_GB2312" w:eastAsia="仿宋_GB2312"/>
          <w:szCs w:val="32"/>
          <w:lang w:val="en-US" w:eastAsia="zh-CN"/>
        </w:rPr>
        <w:t>31</w:t>
      </w:r>
      <w:r>
        <w:rPr>
          <w:rFonts w:hint="eastAsia" w:ascii="仿宋_GB2312" w:eastAsia="仿宋_GB2312"/>
          <w:szCs w:val="32"/>
        </w:rPr>
        <w:t>万元，支出决算为</w:t>
      </w:r>
      <w:r>
        <w:rPr>
          <w:rFonts w:hint="eastAsia" w:ascii="仿宋_GB2312" w:eastAsia="仿宋_GB2312"/>
          <w:szCs w:val="32"/>
          <w:lang w:val="en-US" w:eastAsia="zh-CN"/>
        </w:rPr>
        <w:t>50.8</w:t>
      </w:r>
      <w:r>
        <w:rPr>
          <w:rFonts w:hint="eastAsia" w:ascii="仿宋_GB2312" w:eastAsia="仿宋_GB2312"/>
          <w:szCs w:val="32"/>
        </w:rPr>
        <w:t>万元，比全年预算增加</w:t>
      </w:r>
      <w:r>
        <w:rPr>
          <w:rFonts w:hint="eastAsia" w:ascii="仿宋_GB2312" w:eastAsia="仿宋_GB2312"/>
          <w:szCs w:val="32"/>
          <w:lang w:val="en-US" w:eastAsia="zh-CN"/>
        </w:rPr>
        <w:t>19.8</w:t>
      </w:r>
      <w:r>
        <w:rPr>
          <w:rFonts w:hint="eastAsia" w:ascii="仿宋_GB2312" w:eastAsia="仿宋_GB2312"/>
          <w:szCs w:val="32"/>
        </w:rPr>
        <w:t>万元，完成全年预算的</w:t>
      </w:r>
      <w:r>
        <w:rPr>
          <w:rFonts w:hint="eastAsia" w:ascii="仿宋_GB2312" w:eastAsia="仿宋_GB2312"/>
          <w:szCs w:val="32"/>
          <w:lang w:val="en-US" w:eastAsia="zh-CN"/>
        </w:rPr>
        <w:t>163.87</w:t>
      </w:r>
      <w:r>
        <w:rPr>
          <w:rFonts w:hint="eastAsia" w:ascii="仿宋_GB2312" w:eastAsia="仿宋_GB2312"/>
          <w:szCs w:val="32"/>
        </w:rPr>
        <w:t>%， 决算数大于全年预算数的主要原因是</w:t>
      </w:r>
      <w:r>
        <w:rPr>
          <w:rFonts w:hint="eastAsia" w:ascii="仿宋_GB2312" w:eastAsia="仿宋_GB2312"/>
          <w:szCs w:val="32"/>
          <w:lang w:eastAsia="zh-CN"/>
        </w:rPr>
        <w:t>因疫情影响用车次数明显增加。</w:t>
      </w:r>
    </w:p>
    <w:p>
      <w:pPr>
        <w:numPr>
          <w:numId w:val="0"/>
        </w:numPr>
        <w:spacing w:line="580" w:lineRule="exact"/>
        <w:ind w:firstLine="640" w:firstLineChars="200"/>
        <w:rPr>
          <w:rFonts w:hint="eastAsia" w:ascii="仿宋_GB2312" w:eastAsia="仿宋_GB2312"/>
          <w:szCs w:val="32"/>
        </w:rPr>
      </w:pPr>
      <w:r>
        <w:rPr>
          <w:rFonts w:hint="eastAsia" w:ascii="仿宋_GB2312" w:eastAsia="仿宋_GB2312"/>
          <w:szCs w:val="32"/>
        </w:rPr>
        <w:t>其中：公务用车购置费支出</w:t>
      </w:r>
      <w:r>
        <w:rPr>
          <w:rFonts w:hint="eastAsia" w:ascii="仿宋_GB2312" w:eastAsia="仿宋_GB2312"/>
          <w:szCs w:val="32"/>
          <w:lang w:val="en-US" w:eastAsia="zh-CN"/>
        </w:rPr>
        <w:t>0</w:t>
      </w:r>
      <w:r>
        <w:rPr>
          <w:rFonts w:hint="eastAsia" w:ascii="仿宋_GB2312" w:eastAsia="仿宋_GB2312"/>
          <w:szCs w:val="32"/>
        </w:rPr>
        <w:t xml:space="preserve">万元。公务用车运行维护费    </w:t>
      </w:r>
      <w:r>
        <w:rPr>
          <w:rFonts w:hint="eastAsia" w:ascii="仿宋_GB2312" w:eastAsia="仿宋_GB2312"/>
          <w:szCs w:val="32"/>
          <w:lang w:val="en-US" w:eastAsia="zh-CN"/>
        </w:rPr>
        <w:t>50.8</w:t>
      </w:r>
      <w:r>
        <w:rPr>
          <w:rFonts w:hint="eastAsia" w:ascii="仿宋_GB2312" w:eastAsia="仿宋_GB2312"/>
          <w:szCs w:val="32"/>
        </w:rPr>
        <w:t>万元，主要是按规定保留的公务用车的燃料费、维修费</w:t>
      </w:r>
      <w:r>
        <w:rPr>
          <w:rFonts w:hint="eastAsia" w:ascii="仿宋_GB2312" w:eastAsia="仿宋_GB2312"/>
          <w:szCs w:val="32"/>
          <w:lang w:eastAsia="zh-CN"/>
        </w:rPr>
        <w:t>、保险</w:t>
      </w:r>
      <w:r>
        <w:rPr>
          <w:rFonts w:hint="eastAsia" w:ascii="仿宋_GB2312" w:eastAsia="仿宋_GB2312"/>
          <w:szCs w:val="32"/>
        </w:rPr>
        <w:t>等支出。截至</w:t>
      </w:r>
      <w:r>
        <w:rPr>
          <w:rFonts w:hint="eastAsia" w:ascii="仿宋_GB2312" w:eastAsia="仿宋_GB2312"/>
          <w:szCs w:val="32"/>
          <w:lang w:eastAsia="zh-CN"/>
        </w:rPr>
        <w:t>2022</w:t>
      </w:r>
      <w:r>
        <w:rPr>
          <w:rFonts w:hint="eastAsia" w:ascii="仿宋_GB2312" w:eastAsia="仿宋_GB2312"/>
          <w:szCs w:val="32"/>
        </w:rPr>
        <w:t xml:space="preserve">年12月31日， </w:t>
      </w:r>
      <w:r>
        <w:rPr>
          <w:rFonts w:hint="eastAsia" w:ascii="仿宋_GB2312" w:eastAsia="仿宋_GB2312"/>
          <w:szCs w:val="32"/>
          <w:lang w:eastAsia="zh-CN"/>
        </w:rPr>
        <w:t>单位</w:t>
      </w:r>
      <w:r>
        <w:rPr>
          <w:rFonts w:hint="eastAsia" w:ascii="仿宋_GB2312" w:eastAsia="仿宋_GB2312"/>
          <w:szCs w:val="32"/>
        </w:rPr>
        <w:t>财政拨款开支运行维护费的公务用车保有量为</w:t>
      </w:r>
      <w:r>
        <w:rPr>
          <w:rFonts w:hint="eastAsia" w:ascii="仿宋_GB2312" w:eastAsia="仿宋_GB2312"/>
          <w:szCs w:val="32"/>
          <w:lang w:val="en-US" w:eastAsia="zh-CN"/>
        </w:rPr>
        <w:t>8</w:t>
      </w:r>
      <w:r>
        <w:rPr>
          <w:rFonts w:hint="eastAsia" w:ascii="仿宋_GB2312" w:eastAsia="仿宋_GB2312"/>
          <w:szCs w:val="32"/>
        </w:rPr>
        <w:t>辆。</w:t>
      </w:r>
    </w:p>
    <w:p>
      <w:pPr>
        <w:numPr>
          <w:numId w:val="0"/>
        </w:numPr>
        <w:spacing w:line="580" w:lineRule="exact"/>
        <w:ind w:firstLine="640" w:firstLineChars="200"/>
        <w:rPr>
          <w:rFonts w:hint="eastAsia" w:ascii="仿宋_GB2312" w:eastAsia="仿宋_GB2312"/>
          <w:szCs w:val="32"/>
          <w:lang w:eastAsia="zh-CN"/>
        </w:rPr>
      </w:pPr>
      <w:r>
        <w:rPr>
          <w:rFonts w:hint="eastAsia" w:ascii="仿宋_GB2312" w:hAnsi="Times New Roman" w:eastAsia="仿宋_GB2312" w:cs="Times New Roman"/>
          <w:kern w:val="2"/>
          <w:sz w:val="32"/>
          <w:szCs w:val="32"/>
          <w:lang w:val="en-US" w:eastAsia="zh-CN" w:bidi="ar-SA"/>
        </w:rPr>
        <w:t>3.</w:t>
      </w:r>
      <w:r>
        <w:rPr>
          <w:rFonts w:hint="eastAsia" w:ascii="仿宋_GB2312" w:eastAsia="仿宋_GB2312"/>
          <w:szCs w:val="32"/>
        </w:rPr>
        <w:t>公务接待费年初预算为</w:t>
      </w:r>
      <w:r>
        <w:rPr>
          <w:rFonts w:hint="eastAsia" w:ascii="仿宋_GB2312" w:eastAsia="仿宋_GB2312"/>
          <w:szCs w:val="32"/>
          <w:lang w:val="en-US" w:eastAsia="zh-CN"/>
        </w:rPr>
        <w:t>0</w:t>
      </w:r>
      <w:r>
        <w:rPr>
          <w:rFonts w:hint="eastAsia" w:ascii="仿宋_GB2312" w:eastAsia="仿宋_GB2312"/>
          <w:szCs w:val="32"/>
        </w:rPr>
        <w:t>万元，支出决算为</w:t>
      </w:r>
      <w:r>
        <w:rPr>
          <w:rFonts w:hint="eastAsia" w:ascii="仿宋_GB2312" w:eastAsia="仿宋_GB2312"/>
          <w:szCs w:val="32"/>
          <w:lang w:val="en-US" w:eastAsia="zh-CN"/>
        </w:rPr>
        <w:t>0</w:t>
      </w:r>
      <w:r>
        <w:rPr>
          <w:rFonts w:hint="eastAsia" w:ascii="仿宋_GB2312" w:eastAsia="仿宋_GB2312"/>
          <w:szCs w:val="32"/>
        </w:rPr>
        <w:t>万元，</w:t>
      </w:r>
      <w:r>
        <w:rPr>
          <w:rFonts w:hint="eastAsia" w:ascii="仿宋_GB2312" w:eastAsia="仿宋_GB2312"/>
          <w:szCs w:val="32"/>
          <w:lang w:val="en-US" w:eastAsia="zh-CN"/>
        </w:rPr>
        <w:t>0</w:t>
      </w:r>
      <w:r>
        <w:rPr>
          <w:rFonts w:hint="eastAsia" w:ascii="仿宋_GB2312" w:eastAsia="仿宋_GB2312"/>
          <w:szCs w:val="32"/>
        </w:rPr>
        <w:t>与</w:t>
      </w:r>
      <w:r>
        <w:rPr>
          <w:rFonts w:hint="eastAsia" w:ascii="仿宋_GB2312" w:eastAsia="仿宋_GB2312"/>
          <w:szCs w:val="32"/>
          <w:lang w:eastAsia="zh-CN"/>
        </w:rPr>
        <w:t>2022</w:t>
      </w:r>
      <w:r>
        <w:rPr>
          <w:rFonts w:hint="eastAsia" w:ascii="仿宋_GB2312" w:eastAsia="仿宋_GB2312"/>
          <w:szCs w:val="32"/>
        </w:rPr>
        <w:t>年预算基本持平，完成年初预算的</w:t>
      </w:r>
      <w:r>
        <w:rPr>
          <w:rFonts w:hint="eastAsia" w:ascii="仿宋_GB2312" w:eastAsia="仿宋_GB2312"/>
          <w:szCs w:val="32"/>
          <w:lang w:val="en-US" w:eastAsia="zh-CN"/>
        </w:rPr>
        <w:t>100</w:t>
      </w:r>
      <w:r>
        <w:rPr>
          <w:rFonts w:hint="eastAsia" w:ascii="仿宋_GB2312" w:eastAsia="仿宋_GB2312"/>
          <w:szCs w:val="32"/>
        </w:rPr>
        <w:t>%</w:t>
      </w:r>
      <w:r>
        <w:rPr>
          <w:rFonts w:hint="eastAsia" w:ascii="仿宋_GB2312" w:eastAsia="仿宋_GB2312"/>
          <w:szCs w:val="32"/>
          <w:lang w:eastAsia="zh-CN"/>
        </w:rPr>
        <w:t>。</w:t>
      </w:r>
    </w:p>
    <w:p>
      <w:pPr>
        <w:numPr>
          <w:numId w:val="0"/>
        </w:numPr>
        <w:spacing w:line="580" w:lineRule="exact"/>
        <w:ind w:firstLine="640" w:firstLineChars="200"/>
        <w:rPr>
          <w:rFonts w:hint="eastAsia" w:ascii="仿宋_GB2312" w:hAnsi="Times New Roman" w:eastAsia="仿宋_GB2312" w:cs="Times New Roman"/>
          <w:szCs w:val="32"/>
          <w:lang w:eastAsia="zh-CN"/>
        </w:rPr>
      </w:pPr>
      <w:r>
        <w:rPr>
          <w:rFonts w:hint="eastAsia" w:ascii="仿宋_GB2312" w:hAnsi="Times New Roman" w:eastAsia="仿宋_GB2312" w:cs="Times New Roman"/>
          <w:szCs w:val="32"/>
        </w:rPr>
        <w:t>其中：国内接待费</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万元，共计接待</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批次、</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人次（含外事接待</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批次、</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人次）；国（境）外接待费</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万元，共计接待</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批次、</w:t>
      </w:r>
      <w:r>
        <w:rPr>
          <w:rFonts w:hint="eastAsia" w:ascii="仿宋_GB2312" w:hAnsi="Times New Roman" w:eastAsia="仿宋_GB2312" w:cs="Times New Roman"/>
          <w:szCs w:val="32"/>
          <w:lang w:val="en-US" w:eastAsia="zh-CN"/>
        </w:rPr>
        <w:t>0</w:t>
      </w:r>
      <w:r>
        <w:rPr>
          <w:rFonts w:hint="eastAsia" w:ascii="仿宋_GB2312" w:hAnsi="Times New Roman" w:eastAsia="仿宋_GB2312" w:cs="Times New Roman"/>
          <w:szCs w:val="32"/>
        </w:rPr>
        <w:t>人次。</w:t>
      </w:r>
    </w:p>
    <w:p>
      <w:pPr>
        <w:spacing w:line="580" w:lineRule="exact"/>
        <w:ind w:firstLine="640" w:firstLineChars="200"/>
        <w:rPr>
          <w:rFonts w:hint="eastAsia" w:ascii="黑体" w:hAnsi="黑体" w:eastAsia="黑体"/>
          <w:szCs w:val="32"/>
        </w:rPr>
      </w:pPr>
      <w:r>
        <w:rPr>
          <w:rFonts w:hint="eastAsia" w:ascii="黑体" w:hAnsi="黑体" w:eastAsia="黑体"/>
          <w:szCs w:val="32"/>
        </w:rPr>
        <w:t xml:space="preserve">十、其他重要事项情况说明 </w:t>
      </w:r>
    </w:p>
    <w:p>
      <w:pPr>
        <w:spacing w:line="580" w:lineRule="exact"/>
        <w:ind w:firstLine="640" w:firstLineChars="200"/>
        <w:rPr>
          <w:rFonts w:ascii="楷体_GB2312" w:eastAsia="楷体_GB2312"/>
          <w:szCs w:val="32"/>
        </w:rPr>
      </w:pPr>
      <w:r>
        <w:rPr>
          <w:rFonts w:hint="eastAsia" w:ascii="楷体_GB2312" w:eastAsia="楷体_GB2312"/>
          <w:szCs w:val="32"/>
        </w:rPr>
        <w:t>（一）机关运行经费支出情况</w:t>
      </w:r>
    </w:p>
    <w:p>
      <w:pPr>
        <w:spacing w:line="580" w:lineRule="exact"/>
        <w:ind w:firstLine="640" w:firstLineChars="200"/>
        <w:rPr>
          <w:rFonts w:ascii="仿宋_GB2312" w:eastAsia="仿宋_GB2312"/>
          <w:szCs w:val="32"/>
        </w:rPr>
      </w:pPr>
      <w:r>
        <w:rPr>
          <w:rFonts w:hint="eastAsia" w:ascii="仿宋_GB2312" w:eastAsia="仿宋_GB2312"/>
          <w:szCs w:val="32"/>
        </w:rPr>
        <w:t>2022年度机关运行经费支出</w:t>
      </w:r>
      <w:r>
        <w:rPr>
          <w:rFonts w:hint="eastAsia" w:ascii="仿宋_GB2312" w:eastAsia="仿宋_GB2312"/>
          <w:szCs w:val="32"/>
          <w:lang w:val="en-US" w:eastAsia="zh-CN"/>
        </w:rPr>
        <w:t>630.3</w:t>
      </w:r>
      <w:r>
        <w:rPr>
          <w:rFonts w:hint="eastAsia" w:ascii="仿宋_GB2312" w:eastAsia="仿宋_GB2312"/>
          <w:szCs w:val="32"/>
        </w:rPr>
        <w:t>万元</w:t>
      </w:r>
      <w:r>
        <w:rPr>
          <w:rFonts w:hint="eastAsia" w:ascii="仿宋_GB2312" w:hAnsi="宋体" w:eastAsia="仿宋_GB2312" w:cs="Courier New"/>
          <w:szCs w:val="32"/>
        </w:rPr>
        <w:t>，比年初预算数增加</w:t>
      </w:r>
      <w:r>
        <w:rPr>
          <w:rFonts w:hint="eastAsia" w:ascii="仿宋_GB2312" w:hAnsi="宋体" w:eastAsia="仿宋_GB2312" w:cs="Courier New"/>
          <w:szCs w:val="32"/>
          <w:lang w:val="en-US" w:eastAsia="zh-CN"/>
        </w:rPr>
        <w:t>456.42</w:t>
      </w:r>
      <w:r>
        <w:rPr>
          <w:rFonts w:hint="eastAsia" w:ascii="仿宋_GB2312" w:hAnsi="宋体" w:eastAsia="仿宋_GB2312" w:cs="Courier New"/>
          <w:szCs w:val="32"/>
        </w:rPr>
        <w:t>万元，增长</w:t>
      </w:r>
      <w:r>
        <w:rPr>
          <w:rFonts w:hint="eastAsia" w:ascii="仿宋_GB2312" w:hAnsi="宋体" w:eastAsia="仿宋_GB2312" w:cs="Courier New"/>
          <w:szCs w:val="32"/>
          <w:lang w:val="en-US" w:eastAsia="zh-CN"/>
        </w:rPr>
        <w:t>262.49</w:t>
      </w:r>
      <w:r>
        <w:rPr>
          <w:rFonts w:hint="eastAsia" w:ascii="仿宋_GB2312" w:hAnsi="宋体" w:eastAsia="仿宋_GB2312" w:cs="Courier New"/>
          <w:szCs w:val="32"/>
        </w:rPr>
        <w:t>%，主要</w:t>
      </w:r>
      <w:r>
        <w:rPr>
          <w:rFonts w:hint="eastAsia" w:ascii="仿宋_GB2312" w:eastAsia="仿宋_GB2312"/>
          <w:szCs w:val="32"/>
        </w:rPr>
        <w:t>原因是</w:t>
      </w:r>
      <w:r>
        <w:rPr>
          <w:rFonts w:hint="eastAsia" w:ascii="仿宋_GB2312" w:eastAsia="仿宋_GB2312"/>
          <w:szCs w:val="32"/>
          <w:lang w:eastAsia="zh-CN"/>
        </w:rPr>
        <w:t>受疫情影响，机关运行费支出增长较大</w:t>
      </w:r>
      <w:r>
        <w:rPr>
          <w:rFonts w:hint="eastAsia" w:ascii="仿宋_GB2312" w:eastAsia="仿宋_GB2312"/>
          <w:szCs w:val="32"/>
        </w:rPr>
        <w:t>。</w:t>
      </w:r>
    </w:p>
    <w:p>
      <w:pPr>
        <w:spacing w:line="580" w:lineRule="exact"/>
        <w:ind w:firstLine="640" w:firstLineChars="200"/>
        <w:rPr>
          <w:rFonts w:ascii="楷体_GB2312" w:eastAsia="楷体_GB2312"/>
          <w:szCs w:val="32"/>
        </w:rPr>
      </w:pPr>
      <w:r>
        <w:rPr>
          <w:rFonts w:hint="eastAsia" w:ascii="楷体_GB2312" w:eastAsia="楷体_GB2312"/>
          <w:szCs w:val="32"/>
        </w:rPr>
        <w:t>（二）政府采购支出情况</w:t>
      </w:r>
    </w:p>
    <w:p>
      <w:pPr>
        <w:spacing w:line="580" w:lineRule="exact"/>
        <w:ind w:firstLine="640" w:firstLineChars="200"/>
        <w:rPr>
          <w:rFonts w:hint="eastAsia" w:ascii="仿宋_GB2312" w:hAnsi="宋体" w:eastAsia="仿宋_GB2312" w:cs="Courier New"/>
          <w:szCs w:val="32"/>
        </w:rPr>
      </w:pPr>
      <w:r>
        <w:rPr>
          <w:rFonts w:hint="eastAsia" w:ascii="仿宋_GB2312" w:hAnsi="宋体" w:eastAsia="仿宋_GB2312" w:cs="Courier New"/>
          <w:szCs w:val="32"/>
        </w:rPr>
        <w:t>2022年度政府采购支出总额2357.32万元，其中：政府采购货物支出753.3万元、政府采购工程支出771.97万元、政府采购服务支出832.05万元。授予中小企业合同金额2357.32万元，占政府采购支出总额的100%，其中：授予小微企业合同金额2173.92万元，占政府采购支出总额的92.22%。货物采购授予中小企业合同金额占货物支出金额的31.96 %，工程采购授予中小企业合同金额占工程支出金额的32.75%，服务采购授予中小企业合同金额占服务支出金额的35.29 %。</w:t>
      </w:r>
    </w:p>
    <w:p>
      <w:pPr>
        <w:spacing w:line="580" w:lineRule="exact"/>
        <w:ind w:firstLine="640" w:firstLineChars="200"/>
        <w:rPr>
          <w:rFonts w:hint="eastAsia" w:ascii="楷体_GB2312" w:eastAsia="楷体_GB2312"/>
          <w:szCs w:val="32"/>
        </w:rPr>
      </w:pPr>
      <w:r>
        <w:rPr>
          <w:rFonts w:hint="eastAsia" w:ascii="楷体_GB2312" w:eastAsia="楷体_GB2312"/>
          <w:szCs w:val="32"/>
        </w:rPr>
        <w:t>（</w:t>
      </w:r>
      <w:r>
        <w:rPr>
          <w:rFonts w:hint="eastAsia" w:ascii="楷体_GB2312" w:eastAsia="楷体_GB2312"/>
          <w:szCs w:val="32"/>
          <w:lang w:eastAsia="zh-CN"/>
        </w:rPr>
        <w:t>三</w:t>
      </w:r>
      <w:r>
        <w:rPr>
          <w:rFonts w:hint="eastAsia" w:ascii="楷体_GB2312" w:eastAsia="楷体_GB2312"/>
          <w:szCs w:val="32"/>
        </w:rPr>
        <w:t>）国有资产占用情况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 xml:space="preserve">截至 </w:t>
      </w:r>
      <w:r>
        <w:rPr>
          <w:rFonts w:hint="eastAsia" w:ascii="仿宋_GB2312" w:eastAsia="仿宋_GB2312"/>
          <w:szCs w:val="32"/>
          <w:lang w:eastAsia="zh-CN"/>
        </w:rPr>
        <w:t>2022</w:t>
      </w:r>
      <w:r>
        <w:rPr>
          <w:rFonts w:hint="eastAsia" w:ascii="仿宋_GB2312" w:eastAsia="仿宋_GB2312"/>
          <w:szCs w:val="32"/>
        </w:rPr>
        <w:t xml:space="preserve"> 年 12 月 31 日，本</w:t>
      </w:r>
      <w:r>
        <w:rPr>
          <w:rFonts w:hint="eastAsia" w:ascii="仿宋_GB2312" w:eastAsia="仿宋_GB2312"/>
          <w:szCs w:val="32"/>
          <w:lang w:eastAsia="zh-CN"/>
        </w:rPr>
        <w:t>单位</w:t>
      </w:r>
      <w:r>
        <w:rPr>
          <w:rFonts w:hint="eastAsia" w:ascii="仿宋_GB2312" w:eastAsia="仿宋_GB2312"/>
          <w:szCs w:val="32"/>
        </w:rPr>
        <w:t xml:space="preserve">共有车辆 </w:t>
      </w:r>
      <w:r>
        <w:rPr>
          <w:rFonts w:hint="eastAsia" w:ascii="仿宋_GB2312" w:eastAsia="仿宋_GB2312"/>
          <w:szCs w:val="32"/>
          <w:lang w:val="en-US" w:eastAsia="zh-CN"/>
        </w:rPr>
        <w:t>8</w:t>
      </w:r>
      <w:r>
        <w:rPr>
          <w:rFonts w:hint="eastAsia" w:ascii="仿宋_GB2312" w:eastAsia="仿宋_GB2312"/>
          <w:szCs w:val="32"/>
        </w:rPr>
        <w:t xml:space="preserve">辆，其中，符合规定领导干部用车 </w:t>
      </w:r>
      <w:r>
        <w:rPr>
          <w:rFonts w:hint="eastAsia" w:ascii="仿宋_GB2312" w:eastAsia="仿宋_GB2312"/>
          <w:szCs w:val="32"/>
          <w:lang w:val="en-US" w:eastAsia="zh-CN"/>
        </w:rPr>
        <w:t>0</w:t>
      </w:r>
      <w:r>
        <w:rPr>
          <w:rFonts w:hint="eastAsia" w:ascii="仿宋_GB2312" w:eastAsia="仿宋_GB2312"/>
          <w:szCs w:val="32"/>
        </w:rPr>
        <w:t>辆、机要通信用车</w:t>
      </w:r>
      <w:r>
        <w:rPr>
          <w:rFonts w:hint="eastAsia" w:ascii="仿宋_GB2312" w:eastAsia="仿宋_GB2312"/>
          <w:szCs w:val="32"/>
          <w:lang w:val="en-US" w:eastAsia="zh-CN"/>
        </w:rPr>
        <w:t>0</w:t>
      </w:r>
      <w:r>
        <w:rPr>
          <w:rFonts w:hint="eastAsia" w:ascii="仿宋_GB2312" w:eastAsia="仿宋_GB2312"/>
          <w:szCs w:val="32"/>
        </w:rPr>
        <w:t>辆、应急保障用车</w:t>
      </w:r>
      <w:r>
        <w:rPr>
          <w:rFonts w:hint="eastAsia" w:ascii="仿宋_GB2312" w:eastAsia="仿宋_GB2312"/>
          <w:szCs w:val="32"/>
          <w:lang w:val="en-US" w:eastAsia="zh-CN"/>
        </w:rPr>
        <w:t>0</w:t>
      </w:r>
      <w:r>
        <w:rPr>
          <w:rFonts w:hint="eastAsia" w:ascii="仿宋_GB2312" w:eastAsia="仿宋_GB2312"/>
          <w:szCs w:val="32"/>
        </w:rPr>
        <w:t xml:space="preserve"> 辆、执法执勤用车 </w:t>
      </w:r>
      <w:r>
        <w:rPr>
          <w:rFonts w:hint="eastAsia" w:ascii="仿宋_GB2312" w:eastAsia="仿宋_GB2312"/>
          <w:szCs w:val="32"/>
          <w:lang w:val="en-US" w:eastAsia="zh-CN"/>
        </w:rPr>
        <w:t>0</w:t>
      </w:r>
      <w:r>
        <w:rPr>
          <w:rFonts w:hint="eastAsia" w:ascii="仿宋_GB2312" w:eastAsia="仿宋_GB2312"/>
          <w:szCs w:val="32"/>
        </w:rPr>
        <w:t xml:space="preserve"> 辆、特种专业技术用车</w:t>
      </w:r>
      <w:r>
        <w:rPr>
          <w:rFonts w:hint="eastAsia" w:ascii="仿宋_GB2312" w:eastAsia="仿宋_GB2312"/>
          <w:szCs w:val="32"/>
          <w:lang w:val="en-US" w:eastAsia="zh-CN"/>
        </w:rPr>
        <w:t>0</w:t>
      </w:r>
      <w:r>
        <w:rPr>
          <w:rFonts w:hint="eastAsia" w:ascii="仿宋_GB2312" w:eastAsia="仿宋_GB2312"/>
          <w:szCs w:val="32"/>
        </w:rPr>
        <w:t>辆、离退休干部用车</w:t>
      </w:r>
      <w:r>
        <w:rPr>
          <w:rFonts w:hint="eastAsia" w:ascii="仿宋_GB2312" w:eastAsia="仿宋_GB2312"/>
          <w:szCs w:val="32"/>
          <w:lang w:val="en-US" w:eastAsia="zh-CN"/>
        </w:rPr>
        <w:t>0</w:t>
      </w:r>
      <w:r>
        <w:rPr>
          <w:rFonts w:hint="eastAsia" w:ascii="仿宋_GB2312" w:eastAsia="仿宋_GB2312"/>
          <w:szCs w:val="32"/>
        </w:rPr>
        <w:t>辆、其他用车</w:t>
      </w:r>
      <w:r>
        <w:rPr>
          <w:rFonts w:hint="eastAsia" w:ascii="仿宋_GB2312" w:eastAsia="仿宋_GB2312"/>
          <w:szCs w:val="32"/>
          <w:lang w:val="en-US" w:eastAsia="zh-CN"/>
        </w:rPr>
        <w:t>8</w:t>
      </w:r>
      <w:r>
        <w:rPr>
          <w:rFonts w:hint="eastAsia" w:ascii="仿宋_GB2312" w:eastAsia="仿宋_GB2312"/>
          <w:szCs w:val="32"/>
        </w:rPr>
        <w:t>辆，其他用车主要是</w:t>
      </w:r>
      <w:r>
        <w:rPr>
          <w:rFonts w:hint="eastAsia" w:ascii="仿宋_GB2312" w:eastAsia="仿宋_GB2312"/>
          <w:szCs w:val="32"/>
          <w:lang w:eastAsia="zh-CN"/>
        </w:rPr>
        <w:t>公务用车</w:t>
      </w:r>
      <w:r>
        <w:rPr>
          <w:rFonts w:hint="eastAsia" w:ascii="仿宋_GB2312" w:eastAsia="仿宋_GB2312"/>
          <w:szCs w:val="32"/>
        </w:rPr>
        <w:t>；</w:t>
      </w:r>
      <w:r>
        <w:rPr>
          <w:rFonts w:hint="eastAsia" w:ascii="仿宋_GB2312" w:eastAsia="仿宋_GB2312"/>
          <w:szCs w:val="32"/>
          <w:lang w:eastAsia="zh-CN"/>
        </w:rPr>
        <w:t>单位</w:t>
      </w:r>
      <w:r>
        <w:rPr>
          <w:rFonts w:hint="eastAsia" w:ascii="仿宋_GB2312" w:eastAsia="仿宋_GB2312"/>
          <w:szCs w:val="32"/>
        </w:rPr>
        <w:t>价值 50 万元以上通用设备</w:t>
      </w:r>
      <w:r>
        <w:rPr>
          <w:rFonts w:hint="eastAsia" w:ascii="仿宋_GB2312" w:eastAsia="仿宋_GB2312"/>
          <w:szCs w:val="32"/>
          <w:lang w:val="en-US" w:eastAsia="zh-CN"/>
        </w:rPr>
        <w:t>0</w:t>
      </w:r>
      <w:r>
        <w:rPr>
          <w:rFonts w:hint="eastAsia" w:ascii="仿宋_GB2312" w:eastAsia="仿宋_GB2312"/>
          <w:szCs w:val="32"/>
        </w:rPr>
        <w:t>台（套）；</w:t>
      </w:r>
      <w:r>
        <w:rPr>
          <w:rFonts w:hint="eastAsia" w:ascii="仿宋_GB2312" w:eastAsia="仿宋_GB2312"/>
          <w:szCs w:val="32"/>
          <w:lang w:eastAsia="zh-CN"/>
        </w:rPr>
        <w:t>单位</w:t>
      </w:r>
      <w:r>
        <w:rPr>
          <w:rFonts w:hint="eastAsia" w:ascii="仿宋_GB2312" w:eastAsia="仿宋_GB2312"/>
          <w:szCs w:val="32"/>
        </w:rPr>
        <w:t xml:space="preserve">价值 100 万元以上专用设备 </w:t>
      </w:r>
      <w:r>
        <w:rPr>
          <w:rFonts w:hint="eastAsia" w:ascii="仿宋_GB2312" w:eastAsia="仿宋_GB2312"/>
          <w:szCs w:val="32"/>
          <w:lang w:val="en-US" w:eastAsia="zh-CN"/>
        </w:rPr>
        <w:t>0</w:t>
      </w:r>
      <w:r>
        <w:rPr>
          <w:rFonts w:hint="eastAsia" w:ascii="仿宋_GB2312" w:eastAsia="仿宋_GB2312"/>
          <w:szCs w:val="32"/>
        </w:rPr>
        <w:t>台（套）。</w:t>
      </w:r>
    </w:p>
    <w:p>
      <w:pPr>
        <w:spacing w:line="560" w:lineRule="exact"/>
        <w:ind w:firstLine="640" w:firstLineChars="200"/>
        <w:rPr>
          <w:rFonts w:ascii="黑体" w:hAnsi="黑体" w:eastAsia="黑体"/>
          <w:szCs w:val="32"/>
        </w:rPr>
      </w:pPr>
      <w:r>
        <w:rPr>
          <w:rFonts w:hint="eastAsia" w:ascii="黑体" w:hAnsi="黑体" w:eastAsia="黑体"/>
          <w:szCs w:val="32"/>
        </w:rPr>
        <w:t>十一、预算绩效情况说明</w:t>
      </w:r>
    </w:p>
    <w:p>
      <w:pPr>
        <w:pStyle w:val="24"/>
        <w:spacing w:line="560" w:lineRule="exact"/>
        <w:ind w:firstLine="640" w:firstLineChars="200"/>
        <w:jc w:val="both"/>
        <w:rPr>
          <w:rFonts w:ascii="楷体_GB2312" w:eastAsia="楷体_GB2312"/>
          <w:bCs/>
          <w:kern w:val="0"/>
          <w:szCs w:val="32"/>
        </w:rPr>
      </w:pPr>
      <w:r>
        <w:rPr>
          <w:rFonts w:hint="eastAsia" w:ascii="楷体_GB2312" w:eastAsia="楷体_GB2312"/>
          <w:bCs/>
          <w:kern w:val="0"/>
          <w:szCs w:val="32"/>
        </w:rPr>
        <w:t>（一）预算绩效管理工作开展情况</w:t>
      </w:r>
    </w:p>
    <w:p>
      <w:pPr>
        <w:pStyle w:val="24"/>
        <w:spacing w:line="560" w:lineRule="exact"/>
        <w:ind w:firstLine="640" w:firstLineChars="200"/>
        <w:jc w:val="both"/>
        <w:rPr>
          <w:rFonts w:ascii="仿宋_GB2312" w:eastAsia="仿宋_GB2312"/>
          <w:kern w:val="0"/>
          <w:szCs w:val="32"/>
        </w:rPr>
      </w:pPr>
      <w:r>
        <w:rPr>
          <w:rFonts w:hint="eastAsia" w:ascii="仿宋_GB2312" w:eastAsia="仿宋_GB2312"/>
          <w:kern w:val="0"/>
          <w:szCs w:val="32"/>
        </w:rPr>
        <w:t>根据预算绩效管理要求，</w:t>
      </w:r>
      <w:r>
        <w:rPr>
          <w:rFonts w:hint="eastAsia" w:ascii="仿宋_GB2312" w:eastAsia="仿宋_GB2312"/>
          <w:kern w:val="0"/>
          <w:szCs w:val="32"/>
          <w:lang w:eastAsia="zh-CN"/>
        </w:rPr>
        <w:t>潮海街道</w:t>
      </w:r>
      <w:r>
        <w:rPr>
          <w:rFonts w:hint="eastAsia" w:ascii="仿宋_GB2312" w:eastAsia="仿宋_GB2312"/>
          <w:kern w:val="0"/>
          <w:szCs w:val="32"/>
        </w:rPr>
        <w:t>对2022年度区级预算项目和中央对地方转移支付、省对地方转移支付、市对地方转移支付项目全面开展绩效自评，其中，区级预算项目</w:t>
      </w:r>
      <w:r>
        <w:rPr>
          <w:rFonts w:hint="eastAsia" w:ascii="仿宋_GB2312" w:eastAsia="仿宋_GB2312"/>
          <w:kern w:val="0"/>
          <w:szCs w:val="32"/>
          <w:lang w:val="en-US" w:eastAsia="zh-CN"/>
        </w:rPr>
        <w:t>7</w:t>
      </w:r>
      <w:r>
        <w:rPr>
          <w:rFonts w:hint="eastAsia" w:ascii="仿宋_GB2312" w:eastAsia="仿宋_GB2312"/>
          <w:kern w:val="0"/>
          <w:szCs w:val="32"/>
        </w:rPr>
        <w:t>个，涉及预算资金</w:t>
      </w:r>
      <w:r>
        <w:rPr>
          <w:rFonts w:hint="eastAsia" w:ascii="仿宋_GB2312" w:eastAsia="仿宋_GB2312"/>
          <w:kern w:val="0"/>
          <w:szCs w:val="32"/>
          <w:lang w:val="en-US" w:eastAsia="zh-CN"/>
        </w:rPr>
        <w:t>1482.13</w:t>
      </w:r>
      <w:r>
        <w:rPr>
          <w:rFonts w:hint="eastAsia" w:ascii="仿宋_GB2312" w:eastAsia="仿宋_GB2312"/>
          <w:kern w:val="0"/>
          <w:szCs w:val="32"/>
        </w:rPr>
        <w:t>万元，占</w:t>
      </w:r>
      <w:r>
        <w:rPr>
          <w:rFonts w:hint="eastAsia" w:ascii="仿宋_GB2312" w:eastAsia="仿宋_GB2312"/>
          <w:kern w:val="0"/>
          <w:szCs w:val="32"/>
          <w:lang w:eastAsia="zh-CN"/>
        </w:rPr>
        <w:t>单位</w:t>
      </w:r>
      <w:r>
        <w:rPr>
          <w:rFonts w:hint="eastAsia" w:ascii="仿宋_GB2312" w:eastAsia="仿宋_GB2312"/>
          <w:kern w:val="0"/>
          <w:szCs w:val="32"/>
        </w:rPr>
        <w:t>区级预算项目支出总额的</w:t>
      </w:r>
      <w:r>
        <w:rPr>
          <w:rFonts w:hint="eastAsia" w:ascii="仿宋_GB2312" w:eastAsia="仿宋_GB2312"/>
          <w:kern w:val="0"/>
          <w:szCs w:val="32"/>
          <w:lang w:val="en-US" w:eastAsia="zh-CN"/>
        </w:rPr>
        <w:t>33.74</w:t>
      </w:r>
      <w:r>
        <w:rPr>
          <w:rFonts w:hint="eastAsia" w:ascii="仿宋_GB2312" w:eastAsia="仿宋_GB2312"/>
          <w:kern w:val="0"/>
          <w:szCs w:val="32"/>
        </w:rPr>
        <w:t>%；中央对地方转移支付项目</w:t>
      </w:r>
      <w:r>
        <w:rPr>
          <w:rFonts w:hint="eastAsia" w:ascii="仿宋_GB2312" w:eastAsia="仿宋_GB2312"/>
          <w:kern w:val="0"/>
          <w:szCs w:val="32"/>
          <w:lang w:val="en-US" w:eastAsia="zh-CN"/>
        </w:rPr>
        <w:t>1</w:t>
      </w:r>
      <w:r>
        <w:rPr>
          <w:rFonts w:hint="eastAsia" w:ascii="仿宋_GB2312" w:eastAsia="仿宋_GB2312"/>
          <w:kern w:val="0"/>
          <w:szCs w:val="32"/>
        </w:rPr>
        <w:t>个，涉及预算资金</w:t>
      </w:r>
      <w:r>
        <w:rPr>
          <w:rFonts w:hint="eastAsia" w:ascii="仿宋_GB2312" w:eastAsia="仿宋_GB2312"/>
          <w:kern w:val="0"/>
          <w:szCs w:val="32"/>
          <w:lang w:val="en-US" w:eastAsia="zh-CN"/>
        </w:rPr>
        <w:t>265</w:t>
      </w:r>
      <w:r>
        <w:rPr>
          <w:rFonts w:hint="eastAsia" w:ascii="仿宋_GB2312" w:eastAsia="仿宋_GB2312"/>
          <w:kern w:val="0"/>
          <w:szCs w:val="32"/>
        </w:rPr>
        <w:t>万元；</w:t>
      </w:r>
      <w:r>
        <w:rPr>
          <w:rFonts w:hint="eastAsia" w:ascii="仿宋_GB2312" w:eastAsia="仿宋_GB2312"/>
          <w:color w:val="000000"/>
          <w:kern w:val="0"/>
          <w:szCs w:val="32"/>
        </w:rPr>
        <w:t>省对地方转移支付项目</w:t>
      </w:r>
      <w:r>
        <w:rPr>
          <w:rFonts w:hint="eastAsia" w:ascii="仿宋_GB2312" w:eastAsia="仿宋_GB2312"/>
          <w:color w:val="000000"/>
          <w:kern w:val="0"/>
          <w:szCs w:val="32"/>
          <w:lang w:val="en-US" w:eastAsia="zh-CN"/>
        </w:rPr>
        <w:t>0</w:t>
      </w:r>
      <w:r>
        <w:rPr>
          <w:rFonts w:hint="eastAsia" w:ascii="仿宋_GB2312" w:eastAsia="仿宋_GB2312"/>
          <w:color w:val="000000"/>
          <w:kern w:val="0"/>
          <w:szCs w:val="32"/>
        </w:rPr>
        <w:t>个，涉及预算资金</w:t>
      </w:r>
      <w:r>
        <w:rPr>
          <w:rFonts w:hint="eastAsia" w:ascii="仿宋_GB2312" w:eastAsia="仿宋_GB2312"/>
          <w:color w:val="000000"/>
          <w:kern w:val="0"/>
          <w:szCs w:val="32"/>
          <w:lang w:val="en-US" w:eastAsia="zh-CN"/>
        </w:rPr>
        <w:t>0</w:t>
      </w:r>
      <w:r>
        <w:rPr>
          <w:rFonts w:hint="eastAsia" w:ascii="仿宋_GB2312" w:eastAsia="仿宋_GB2312"/>
          <w:color w:val="000000"/>
          <w:kern w:val="0"/>
          <w:szCs w:val="32"/>
        </w:rPr>
        <w:t>万元</w:t>
      </w:r>
      <w:r>
        <w:rPr>
          <w:rFonts w:hint="eastAsia" w:ascii="仿宋_GB2312" w:eastAsia="仿宋_GB2312"/>
          <w:kern w:val="0"/>
          <w:szCs w:val="32"/>
        </w:rPr>
        <w:t>；市对地方转移支付项目</w:t>
      </w:r>
      <w:r>
        <w:rPr>
          <w:rFonts w:hint="eastAsia" w:ascii="仿宋_GB2312" w:eastAsia="仿宋_GB2312"/>
          <w:kern w:val="0"/>
          <w:szCs w:val="32"/>
          <w:lang w:val="en-US" w:eastAsia="zh-CN"/>
        </w:rPr>
        <w:t>2</w:t>
      </w:r>
      <w:r>
        <w:rPr>
          <w:rFonts w:hint="eastAsia" w:ascii="仿宋_GB2312" w:eastAsia="仿宋_GB2312"/>
          <w:kern w:val="0"/>
          <w:szCs w:val="32"/>
        </w:rPr>
        <w:t>个，涉及预算资金</w:t>
      </w:r>
      <w:r>
        <w:rPr>
          <w:rFonts w:hint="eastAsia" w:ascii="仿宋_GB2312" w:eastAsia="仿宋_GB2312"/>
          <w:kern w:val="0"/>
          <w:szCs w:val="32"/>
          <w:lang w:val="en-US" w:eastAsia="zh-CN"/>
        </w:rPr>
        <w:t>160.16</w:t>
      </w:r>
      <w:r>
        <w:rPr>
          <w:rFonts w:hint="eastAsia" w:ascii="仿宋_GB2312" w:eastAsia="仿宋_GB2312"/>
          <w:kern w:val="0"/>
          <w:szCs w:val="32"/>
        </w:rPr>
        <w:t>万元</w:t>
      </w:r>
      <w:r>
        <w:rPr>
          <w:rFonts w:hint="eastAsia" w:ascii="仿宋_GB2312" w:eastAsia="仿宋_GB2312"/>
          <w:color w:val="000000"/>
          <w:kern w:val="0"/>
          <w:szCs w:val="32"/>
        </w:rPr>
        <w:t>。</w:t>
      </w:r>
    </w:p>
    <w:p>
      <w:pPr>
        <w:spacing w:line="560" w:lineRule="exact"/>
        <w:ind w:firstLine="640" w:firstLineChars="200"/>
        <w:rPr>
          <w:rFonts w:hint="eastAsia" w:ascii="仿宋_GB2312" w:eastAsia="仿宋_GB2312"/>
          <w:szCs w:val="32"/>
          <w:lang w:eastAsia="zh-CN"/>
        </w:rPr>
      </w:pPr>
      <w:r>
        <w:rPr>
          <w:rFonts w:hint="eastAsia" w:ascii="仿宋_GB2312" w:eastAsia="仿宋_GB2312"/>
          <w:szCs w:val="32"/>
        </w:rPr>
        <w:t>组织对“</w:t>
      </w:r>
      <w:r>
        <w:rPr>
          <w:rFonts w:hint="eastAsia" w:ascii="仿宋_GB2312" w:eastAsia="仿宋_GB2312"/>
          <w:szCs w:val="32"/>
          <w:lang w:eastAsia="zh-CN"/>
        </w:rPr>
        <w:t>辛戈庄村部分污水沟清理、盖板隐蔽化处理工程</w:t>
      </w:r>
      <w:r>
        <w:rPr>
          <w:rFonts w:hint="eastAsia" w:ascii="仿宋_GB2312" w:eastAsia="仿宋_GB2312"/>
          <w:szCs w:val="32"/>
        </w:rPr>
        <w:t>”</w:t>
      </w:r>
      <w:r>
        <w:rPr>
          <w:rFonts w:hint="eastAsia" w:ascii="仿宋_GB2312" w:eastAsia="仿宋_GB2312"/>
          <w:szCs w:val="32"/>
          <w:lang w:val="en-US" w:eastAsia="zh-CN"/>
        </w:rPr>
        <w:t>1</w:t>
      </w:r>
      <w:r>
        <w:rPr>
          <w:rFonts w:hint="eastAsia" w:ascii="仿宋_GB2312" w:eastAsia="仿宋_GB2312"/>
          <w:szCs w:val="32"/>
        </w:rPr>
        <w:t>个项目开展了</w:t>
      </w:r>
      <w:r>
        <w:rPr>
          <w:rFonts w:hint="eastAsia" w:ascii="仿宋_GB2312" w:eastAsia="仿宋_GB2312"/>
          <w:szCs w:val="32"/>
          <w:lang w:eastAsia="zh-CN"/>
        </w:rPr>
        <w:t>单位</w:t>
      </w:r>
      <w:r>
        <w:rPr>
          <w:rFonts w:hint="eastAsia" w:ascii="仿宋_GB2312" w:eastAsia="仿宋_GB2312"/>
          <w:szCs w:val="32"/>
        </w:rPr>
        <w:t>评价，涉及预算资金</w:t>
      </w:r>
      <w:r>
        <w:rPr>
          <w:rFonts w:hint="eastAsia" w:ascii="仿宋_GB2312" w:eastAsia="仿宋_GB2312"/>
          <w:szCs w:val="32"/>
          <w:lang w:val="en-US" w:eastAsia="zh-CN"/>
        </w:rPr>
        <w:t>42.32</w:t>
      </w:r>
      <w:r>
        <w:rPr>
          <w:rFonts w:hint="eastAsia" w:ascii="仿宋_GB2312" w:eastAsia="仿宋_GB2312"/>
          <w:szCs w:val="32"/>
        </w:rPr>
        <w:t>万元。</w:t>
      </w:r>
    </w:p>
    <w:p>
      <w:pPr>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（二）区级预算项目绩效自评结果</w:t>
      </w:r>
    </w:p>
    <w:p>
      <w:pPr>
        <w:spacing w:line="560" w:lineRule="exact"/>
        <w:ind w:firstLine="640" w:firstLineChars="200"/>
        <w:rPr>
          <w:rFonts w:ascii="仿宋_GB2312" w:eastAsia="仿宋_GB2312" w:cs="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年度区级预算安排项目支出绩效自评的</w:t>
      </w:r>
      <w:r>
        <w:rPr>
          <w:rFonts w:hint="eastAsia" w:ascii="仿宋_GB2312" w:eastAsia="仿宋_GB2312"/>
          <w:szCs w:val="32"/>
          <w:lang w:val="en-US" w:eastAsia="zh-CN"/>
        </w:rPr>
        <w:t>7</w:t>
      </w:r>
      <w:r>
        <w:rPr>
          <w:rFonts w:hint="eastAsia" w:ascii="仿宋_GB2312" w:eastAsia="仿宋_GB2312"/>
          <w:szCs w:val="32"/>
        </w:rPr>
        <w:t>个项目中，</w:t>
      </w:r>
      <w:r>
        <w:rPr>
          <w:rFonts w:hint="eastAsia" w:ascii="仿宋_GB2312" w:eastAsia="仿宋_GB2312" w:cs="仿宋_GB2312"/>
          <w:szCs w:val="32"/>
        </w:rPr>
        <w:t>从自评情况看，</w:t>
      </w:r>
      <w:r>
        <w:rPr>
          <w:rFonts w:hint="eastAsia" w:ascii="仿宋_GB2312" w:eastAsia="仿宋_GB2312"/>
          <w:szCs w:val="32"/>
          <w:lang w:val="en-US" w:eastAsia="zh-CN"/>
        </w:rPr>
        <w:t>7</w:t>
      </w:r>
      <w:r>
        <w:rPr>
          <w:rFonts w:hint="eastAsia" w:ascii="仿宋_GB2312" w:eastAsia="仿宋_GB2312"/>
          <w:szCs w:val="32"/>
        </w:rPr>
        <w:t>个项目自评等级为优，</w:t>
      </w:r>
      <w:r>
        <w:rPr>
          <w:rFonts w:hint="eastAsia" w:ascii="仿宋_GB2312" w:eastAsia="仿宋_GB2312"/>
          <w:szCs w:val="32"/>
          <w:lang w:val="en-US" w:eastAsia="zh-CN"/>
        </w:rPr>
        <w:t>0</w:t>
      </w:r>
      <w:r>
        <w:rPr>
          <w:rFonts w:hint="eastAsia" w:ascii="仿宋_GB2312" w:eastAsia="仿宋_GB2312"/>
          <w:szCs w:val="32"/>
        </w:rPr>
        <w:t>个项目自评等级为良，</w:t>
      </w:r>
      <w:r>
        <w:rPr>
          <w:rFonts w:hint="eastAsia" w:ascii="仿宋_GB2312" w:eastAsia="仿宋_GB2312"/>
          <w:szCs w:val="32"/>
          <w:lang w:val="en-US" w:eastAsia="zh-CN"/>
        </w:rPr>
        <w:t>0</w:t>
      </w:r>
      <w:r>
        <w:rPr>
          <w:rFonts w:hint="eastAsia" w:ascii="仿宋_GB2312" w:eastAsia="仿宋_GB2312"/>
          <w:szCs w:val="32"/>
        </w:rPr>
        <w:t>个项目自评等级为中，</w:t>
      </w:r>
      <w:r>
        <w:rPr>
          <w:rFonts w:hint="eastAsia" w:ascii="仿宋_GB2312" w:eastAsia="仿宋_GB2312"/>
          <w:szCs w:val="32"/>
          <w:lang w:val="en-US" w:eastAsia="zh-CN"/>
        </w:rPr>
        <w:t>0</w:t>
      </w:r>
      <w:r>
        <w:rPr>
          <w:rFonts w:hint="eastAsia" w:ascii="仿宋_GB2312" w:eastAsia="仿宋_GB2312"/>
          <w:szCs w:val="32"/>
        </w:rPr>
        <w:t>个项目自评等级为差。</w:t>
      </w:r>
      <w:r>
        <w:rPr>
          <w:rFonts w:hint="eastAsia" w:ascii="仿宋_GB2312" w:eastAsia="仿宋_GB2312" w:cs="仿宋_GB2312"/>
          <w:szCs w:val="32"/>
        </w:rPr>
        <w:t>项目支出绩效管理的重视程度进一步提升，大部分项目有序开展，执行和完成情况较好，资金使用比较规范，但也存在部分项目产出指标低于预期等问题</w:t>
      </w:r>
    </w:p>
    <w:p>
      <w:pPr>
        <w:spacing w:line="560" w:lineRule="exact"/>
        <w:ind w:firstLine="640" w:firstLineChars="200"/>
        <w:rPr>
          <w:rFonts w:hint="eastAsia" w:ascii="仿宋_GB2312" w:eastAsia="仿宋_GB2312"/>
          <w:szCs w:val="32"/>
        </w:rPr>
      </w:pPr>
      <w:r>
        <w:rPr>
          <w:rFonts w:hint="eastAsia" w:ascii="仿宋_GB2312" w:eastAsia="仿宋_GB2312"/>
          <w:szCs w:val="32"/>
        </w:rPr>
        <w:t>本次</w:t>
      </w:r>
      <w:r>
        <w:rPr>
          <w:rFonts w:ascii="仿宋_GB2312" w:eastAsia="仿宋_GB2312"/>
          <w:szCs w:val="32"/>
        </w:rPr>
        <w:t>公开</w:t>
      </w:r>
      <w:r>
        <w:rPr>
          <w:rFonts w:hint="eastAsia" w:ascii="仿宋_GB2312" w:eastAsia="仿宋_GB2312"/>
          <w:szCs w:val="32"/>
        </w:rPr>
        <w:t>内容</w:t>
      </w:r>
      <w:r>
        <w:rPr>
          <w:rFonts w:ascii="仿宋_GB2312" w:eastAsia="仿宋_GB2312"/>
          <w:szCs w:val="32"/>
        </w:rPr>
        <w:t>包含</w:t>
      </w: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年度所有预算项目支出绩效自评结果，以及“</w:t>
      </w:r>
      <w:r>
        <w:rPr>
          <w:rFonts w:hint="eastAsia" w:ascii="仿宋_GB2312" w:eastAsia="仿宋_GB2312"/>
          <w:szCs w:val="32"/>
          <w:lang w:eastAsia="zh-CN"/>
        </w:rPr>
        <w:t>非公党建工作经费</w:t>
      </w:r>
      <w:r>
        <w:rPr>
          <w:rFonts w:hint="eastAsia" w:ascii="仿宋_GB2312" w:eastAsia="仿宋_GB2312"/>
          <w:szCs w:val="32"/>
        </w:rPr>
        <w:t>”“</w:t>
      </w:r>
      <w:r>
        <w:rPr>
          <w:rFonts w:hint="eastAsia" w:ascii="仿宋_GB2312" w:eastAsia="仿宋_GB2312"/>
          <w:szCs w:val="32"/>
          <w:lang w:eastAsia="zh-CN"/>
        </w:rPr>
        <w:t>基层党组织服务群众专项经费</w:t>
      </w:r>
      <w:r>
        <w:rPr>
          <w:rFonts w:hint="eastAsia" w:ascii="仿宋_GB2312" w:eastAsia="仿宋_GB2312"/>
          <w:szCs w:val="32"/>
        </w:rPr>
        <w:t>”“落实公办及集体幼儿园非公办教职工待遇”“</w:t>
      </w:r>
      <w:r>
        <w:rPr>
          <w:rFonts w:hint="eastAsia" w:ascii="仿宋_GB2312" w:eastAsia="仿宋_GB2312"/>
          <w:szCs w:val="32"/>
          <w:lang w:eastAsia="zh-CN"/>
        </w:rPr>
        <w:t>回租回购民办园”“</w:t>
      </w:r>
      <w:r>
        <w:rPr>
          <w:rFonts w:hint="eastAsia" w:ascii="仿宋_GB2312" w:eastAsia="仿宋_GB2312"/>
          <w:szCs w:val="32"/>
        </w:rPr>
        <w:t>城市社区办公经费</w:t>
      </w:r>
      <w:r>
        <w:rPr>
          <w:rFonts w:hint="eastAsia" w:ascii="仿宋_GB2312" w:eastAsia="仿宋_GB2312"/>
          <w:szCs w:val="32"/>
          <w:lang w:eastAsia="zh-CN"/>
        </w:rPr>
        <w:t>”</w:t>
      </w:r>
      <w:r>
        <w:rPr>
          <w:rFonts w:hint="eastAsia" w:ascii="仿宋_GB2312" w:eastAsia="仿宋_GB2312"/>
          <w:szCs w:val="32"/>
        </w:rPr>
        <w:t>等</w:t>
      </w:r>
      <w:r>
        <w:rPr>
          <w:rFonts w:hint="eastAsia" w:ascii="仿宋_GB2312" w:eastAsia="仿宋_GB2312"/>
          <w:szCs w:val="32"/>
          <w:lang w:val="en-US" w:eastAsia="zh-CN"/>
        </w:rPr>
        <w:t>5</w:t>
      </w:r>
      <w:r>
        <w:rPr>
          <w:rFonts w:hint="eastAsia" w:ascii="仿宋_GB2312" w:eastAsia="仿宋_GB2312"/>
          <w:szCs w:val="32"/>
        </w:rPr>
        <w:t>个项目的绩效自评表。</w:t>
      </w:r>
    </w:p>
    <w:p>
      <w:pPr>
        <w:spacing w:line="560" w:lineRule="exact"/>
        <w:ind w:firstLine="640" w:firstLineChars="200"/>
        <w:rPr>
          <w:rFonts w:hint="eastAsia" w:ascii="仿宋_GB2312" w:eastAsia="仿宋_GB2312"/>
          <w:color w:val="000000"/>
          <w:szCs w:val="32"/>
        </w:rPr>
      </w:pPr>
      <w:r>
        <w:rPr>
          <w:rFonts w:hint="eastAsia" w:ascii="仿宋_GB2312" w:eastAsia="仿宋_GB2312" w:cs="Times New Roman"/>
          <w:szCs w:val="32"/>
          <w:lang w:val="en-US" w:eastAsia="zh-CN"/>
        </w:rPr>
        <w:t>1.</w:t>
      </w:r>
      <w:r>
        <w:rPr>
          <w:rFonts w:hint="eastAsia" w:ascii="仿宋_GB2312" w:eastAsia="仿宋_GB2312"/>
          <w:szCs w:val="32"/>
          <w:lang w:eastAsia="zh-CN"/>
        </w:rPr>
        <w:t>非公党建工资经费</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eastAsia="仿宋_GB2312" w:cs="Times New Roman"/>
          <w:szCs w:val="32"/>
          <w:lang w:val="en-US" w:eastAsia="zh-CN"/>
        </w:rPr>
        <w:t>3</w:t>
      </w:r>
      <w:r>
        <w:rPr>
          <w:rFonts w:hint="eastAsia" w:ascii="仿宋_GB2312" w:hAnsi="Times New Roman" w:eastAsia="仿宋_GB2312" w:cs="Times New Roman"/>
          <w:szCs w:val="32"/>
          <w:lang w:eastAsia="zh-CN"/>
        </w:rPr>
        <w:t>万元，执行数为</w:t>
      </w:r>
      <w:r>
        <w:rPr>
          <w:rFonts w:hint="eastAsia" w:ascii="仿宋_GB2312" w:eastAsia="仿宋_GB2312" w:cs="Times New Roman"/>
          <w:szCs w:val="32"/>
          <w:lang w:val="en-US" w:eastAsia="zh-CN"/>
        </w:rPr>
        <w:t>3</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w:t>
      </w:r>
      <w:r>
        <w:rPr>
          <w:rFonts w:hint="eastAsia" w:ascii="仿宋_GB2312" w:eastAsia="仿宋_GB2312"/>
          <w:color w:val="000000"/>
          <w:szCs w:val="32"/>
        </w:rPr>
        <w:t>项目绩效目标完成情况：</w:t>
      </w:r>
      <w:r>
        <w:rPr>
          <w:rFonts w:hint="eastAsia" w:ascii="仿宋_GB2312" w:eastAsia="仿宋_GB2312"/>
          <w:color w:val="000000"/>
          <w:szCs w:val="32"/>
          <w:lang w:eastAsia="zh-CN"/>
        </w:rPr>
        <w:t>为我街道非公党建工作提供经费支持，</w:t>
      </w:r>
      <w:r>
        <w:rPr>
          <w:rFonts w:hint="eastAsia" w:ascii="仿宋_GB2312" w:eastAsia="仿宋_GB2312"/>
          <w:color w:val="000000"/>
          <w:szCs w:val="32"/>
        </w:rPr>
        <w:t>促进我</w:t>
      </w:r>
      <w:r>
        <w:rPr>
          <w:rFonts w:hint="eastAsia" w:ascii="仿宋_GB2312" w:eastAsia="仿宋_GB2312"/>
          <w:color w:val="000000"/>
          <w:szCs w:val="32"/>
          <w:lang w:eastAsia="zh-CN"/>
        </w:rPr>
        <w:t>街道非公党建</w:t>
      </w:r>
      <w:r>
        <w:rPr>
          <w:rFonts w:hint="eastAsia" w:ascii="仿宋_GB2312" w:eastAsia="仿宋_GB2312"/>
          <w:color w:val="000000"/>
          <w:szCs w:val="32"/>
        </w:rPr>
        <w:t>事业发展。</w:t>
      </w:r>
    </w:p>
    <w:p>
      <w:pPr>
        <w:spacing w:line="560" w:lineRule="exact"/>
        <w:ind w:firstLine="640" w:firstLineChars="200"/>
        <w:rPr>
          <w:rFonts w:hint="eastAsia" w:ascii="仿宋_GB2312" w:eastAsia="仿宋_GB2312"/>
          <w:color w:val="000000"/>
          <w:szCs w:val="32"/>
        </w:rPr>
      </w:pPr>
      <w:r>
        <w:rPr>
          <w:rFonts w:hint="eastAsia" w:ascii="仿宋_GB2312" w:eastAsia="仿宋_GB2312" w:cs="Times New Roman"/>
          <w:szCs w:val="32"/>
          <w:lang w:val="en-US" w:eastAsia="zh-CN"/>
        </w:rPr>
        <w:t>2.</w:t>
      </w:r>
      <w:r>
        <w:rPr>
          <w:rFonts w:hint="eastAsia" w:ascii="仿宋_GB2312" w:eastAsia="仿宋_GB2312"/>
          <w:szCs w:val="32"/>
          <w:lang w:eastAsia="zh-CN"/>
        </w:rPr>
        <w:t>基层党组织服务群众专项经费</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eastAsia="仿宋_GB2312" w:cs="Times New Roman"/>
          <w:szCs w:val="32"/>
          <w:lang w:val="en-US" w:eastAsia="zh-CN"/>
        </w:rPr>
        <w:t>280</w:t>
      </w:r>
      <w:r>
        <w:rPr>
          <w:rFonts w:hint="eastAsia" w:ascii="仿宋_GB2312" w:hAnsi="Times New Roman" w:eastAsia="仿宋_GB2312" w:cs="Times New Roman"/>
          <w:szCs w:val="32"/>
          <w:lang w:eastAsia="zh-CN"/>
        </w:rPr>
        <w:t>万元，执行数为</w:t>
      </w:r>
      <w:r>
        <w:rPr>
          <w:rFonts w:hint="eastAsia" w:ascii="仿宋_GB2312" w:eastAsia="仿宋_GB2312" w:cs="Times New Roman"/>
          <w:szCs w:val="32"/>
          <w:lang w:val="en-US" w:eastAsia="zh-CN"/>
        </w:rPr>
        <w:t>280</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w:t>
      </w:r>
      <w:r>
        <w:rPr>
          <w:rFonts w:hint="eastAsia" w:ascii="仿宋_GB2312" w:eastAsia="仿宋_GB2312"/>
          <w:color w:val="000000"/>
          <w:szCs w:val="32"/>
        </w:rPr>
        <w:t>项目绩效目标完成情况：</w:t>
      </w:r>
      <w:r>
        <w:rPr>
          <w:rFonts w:hint="eastAsia" w:ascii="仿宋_GB2312" w:eastAsia="仿宋_GB2312"/>
          <w:color w:val="000000"/>
          <w:szCs w:val="32"/>
          <w:lang w:eastAsia="zh-CN"/>
        </w:rPr>
        <w:t>为我街道</w:t>
      </w:r>
      <w:r>
        <w:rPr>
          <w:rFonts w:hint="eastAsia" w:ascii="仿宋_GB2312" w:eastAsia="仿宋_GB2312"/>
          <w:szCs w:val="32"/>
          <w:lang w:eastAsia="zh-CN"/>
        </w:rPr>
        <w:t>基层党组织服务群众</w:t>
      </w:r>
      <w:r>
        <w:rPr>
          <w:rFonts w:hint="eastAsia" w:ascii="仿宋_GB2312" w:eastAsia="仿宋_GB2312"/>
          <w:color w:val="000000"/>
          <w:szCs w:val="32"/>
          <w:lang w:eastAsia="zh-CN"/>
        </w:rPr>
        <w:t>提供经费支持，</w:t>
      </w:r>
      <w:r>
        <w:rPr>
          <w:rFonts w:hint="eastAsia" w:ascii="仿宋_GB2312" w:eastAsia="仿宋_GB2312"/>
          <w:color w:val="000000"/>
          <w:szCs w:val="32"/>
        </w:rPr>
        <w:t>促进我</w:t>
      </w:r>
      <w:r>
        <w:rPr>
          <w:rFonts w:hint="eastAsia" w:ascii="仿宋_GB2312" w:eastAsia="仿宋_GB2312"/>
          <w:color w:val="000000"/>
          <w:szCs w:val="32"/>
          <w:lang w:eastAsia="zh-CN"/>
        </w:rPr>
        <w:t>街道</w:t>
      </w:r>
      <w:r>
        <w:rPr>
          <w:rFonts w:hint="eastAsia" w:ascii="仿宋_GB2312" w:eastAsia="仿宋_GB2312"/>
          <w:szCs w:val="32"/>
          <w:lang w:eastAsia="zh-CN"/>
        </w:rPr>
        <w:t>基层党组织服务群众</w:t>
      </w:r>
      <w:r>
        <w:rPr>
          <w:rFonts w:hint="eastAsia" w:ascii="仿宋_GB2312" w:eastAsia="仿宋_GB2312"/>
          <w:color w:val="000000"/>
          <w:szCs w:val="32"/>
        </w:rPr>
        <w:t>事业发展。</w:t>
      </w:r>
    </w:p>
    <w:p>
      <w:pPr>
        <w:spacing w:line="560" w:lineRule="exact"/>
        <w:ind w:firstLine="640" w:firstLineChars="200"/>
        <w:rPr>
          <w:rFonts w:hint="eastAsia" w:ascii="仿宋_GB2312" w:eastAsia="仿宋_GB2312"/>
          <w:color w:val="000000"/>
          <w:szCs w:val="32"/>
        </w:rPr>
      </w:pPr>
      <w:r>
        <w:rPr>
          <w:rFonts w:hint="eastAsia" w:ascii="仿宋_GB2312" w:hAnsi="Times New Roman" w:eastAsia="仿宋_GB2312" w:cs="Times New Roman"/>
          <w:szCs w:val="32"/>
          <w:lang w:val="en-US" w:eastAsia="zh-CN"/>
        </w:rPr>
        <w:t>3</w:t>
      </w:r>
      <w:r>
        <w:rPr>
          <w:rFonts w:hint="eastAsia" w:ascii="仿宋_GB2312" w:eastAsia="仿宋_GB2312" w:cs="Times New Roman"/>
          <w:szCs w:val="32"/>
          <w:lang w:val="en-US" w:eastAsia="zh-CN"/>
        </w:rPr>
        <w:t>.</w:t>
      </w:r>
      <w:r>
        <w:rPr>
          <w:rFonts w:hint="eastAsia" w:ascii="仿宋_GB2312" w:eastAsia="仿宋_GB2312"/>
          <w:szCs w:val="32"/>
        </w:rPr>
        <w:t>落实公办及集体幼儿园非公办教职工待遇</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hAnsi="Times New Roman" w:eastAsia="仿宋_GB2312" w:cs="Times New Roman"/>
          <w:szCs w:val="32"/>
          <w:lang w:val="en-US" w:eastAsia="zh-CN"/>
        </w:rPr>
        <w:t>272.07</w:t>
      </w:r>
      <w:r>
        <w:rPr>
          <w:rFonts w:hint="eastAsia" w:ascii="仿宋_GB2312" w:hAnsi="Times New Roman" w:eastAsia="仿宋_GB2312" w:cs="Times New Roman"/>
          <w:szCs w:val="32"/>
          <w:lang w:eastAsia="zh-CN"/>
        </w:rPr>
        <w:t>万元，执行数为</w:t>
      </w:r>
      <w:r>
        <w:rPr>
          <w:rFonts w:hint="eastAsia" w:ascii="仿宋_GB2312" w:hAnsi="Times New Roman" w:eastAsia="仿宋_GB2312" w:cs="Times New Roman"/>
          <w:szCs w:val="32"/>
          <w:lang w:val="en-US" w:eastAsia="zh-CN"/>
        </w:rPr>
        <w:t>272.07</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w:t>
      </w:r>
      <w:r>
        <w:rPr>
          <w:rFonts w:hint="eastAsia" w:ascii="仿宋_GB2312" w:eastAsia="仿宋_GB2312"/>
          <w:color w:val="000000"/>
          <w:szCs w:val="32"/>
        </w:rPr>
        <w:t>项目绩效目标完成情况：落实公办及集体办幼儿园老师待遇，促进我</w:t>
      </w:r>
      <w:r>
        <w:rPr>
          <w:rFonts w:hint="eastAsia" w:ascii="仿宋_GB2312" w:eastAsia="仿宋_GB2312"/>
          <w:color w:val="000000"/>
          <w:szCs w:val="32"/>
          <w:lang w:eastAsia="zh-CN"/>
        </w:rPr>
        <w:t>街道</w:t>
      </w:r>
      <w:r>
        <w:rPr>
          <w:rFonts w:hint="eastAsia" w:ascii="仿宋_GB2312" w:eastAsia="仿宋_GB2312"/>
          <w:color w:val="000000"/>
          <w:szCs w:val="32"/>
        </w:rPr>
        <w:t>幼儿园事业发展。</w:t>
      </w:r>
    </w:p>
    <w:p>
      <w:pPr>
        <w:spacing w:line="560" w:lineRule="exact"/>
        <w:ind w:firstLine="640" w:firstLineChars="200"/>
        <w:rPr>
          <w:rFonts w:hint="eastAsia" w:ascii="仿宋_GB2312" w:eastAsia="仿宋_GB2312"/>
          <w:color w:val="000000"/>
          <w:szCs w:val="32"/>
        </w:rPr>
      </w:pPr>
      <w:r>
        <w:rPr>
          <w:rFonts w:hint="eastAsia" w:ascii="仿宋_GB2312" w:eastAsia="仿宋_GB2312" w:cs="Times New Roman"/>
          <w:szCs w:val="32"/>
          <w:lang w:val="en-US" w:eastAsia="zh-CN"/>
        </w:rPr>
        <w:t>4.</w:t>
      </w:r>
      <w:r>
        <w:rPr>
          <w:rFonts w:hint="eastAsia" w:ascii="仿宋_GB2312" w:eastAsia="仿宋_GB2312"/>
          <w:szCs w:val="32"/>
          <w:lang w:eastAsia="zh-CN"/>
        </w:rPr>
        <w:t>回租回购民办园</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eastAsia="仿宋_GB2312" w:cs="Times New Roman"/>
          <w:szCs w:val="32"/>
          <w:lang w:val="en-US" w:eastAsia="zh-CN"/>
        </w:rPr>
        <w:t>300</w:t>
      </w:r>
      <w:r>
        <w:rPr>
          <w:rFonts w:hint="eastAsia" w:ascii="仿宋_GB2312" w:hAnsi="Times New Roman" w:eastAsia="仿宋_GB2312" w:cs="Times New Roman"/>
          <w:szCs w:val="32"/>
          <w:lang w:eastAsia="zh-CN"/>
        </w:rPr>
        <w:t>万元，执行数为</w:t>
      </w:r>
      <w:r>
        <w:rPr>
          <w:rFonts w:hint="eastAsia" w:ascii="仿宋_GB2312" w:eastAsia="仿宋_GB2312" w:cs="Times New Roman"/>
          <w:szCs w:val="32"/>
          <w:lang w:val="en-US" w:eastAsia="zh-CN"/>
        </w:rPr>
        <w:t>300</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w:t>
      </w:r>
      <w:r>
        <w:rPr>
          <w:rFonts w:hint="eastAsia" w:ascii="仿宋_GB2312" w:eastAsia="仿宋_GB2312"/>
          <w:color w:val="000000"/>
          <w:szCs w:val="32"/>
        </w:rPr>
        <w:t>项目绩效目标完成情况：</w:t>
      </w:r>
      <w:r>
        <w:rPr>
          <w:rFonts w:hint="eastAsia" w:ascii="仿宋_GB2312" w:eastAsia="仿宋_GB2312"/>
          <w:color w:val="000000"/>
          <w:szCs w:val="32"/>
          <w:lang w:eastAsia="zh-CN"/>
        </w:rPr>
        <w:t>为我街道</w:t>
      </w:r>
      <w:r>
        <w:rPr>
          <w:rFonts w:hint="eastAsia" w:ascii="仿宋_GB2312" w:eastAsia="仿宋_GB2312"/>
          <w:szCs w:val="32"/>
          <w:lang w:eastAsia="zh-CN"/>
        </w:rPr>
        <w:t>回租回购民办园</w:t>
      </w:r>
      <w:r>
        <w:rPr>
          <w:rFonts w:hint="eastAsia" w:ascii="仿宋_GB2312" w:eastAsia="仿宋_GB2312"/>
          <w:color w:val="000000"/>
          <w:szCs w:val="32"/>
          <w:lang w:eastAsia="zh-CN"/>
        </w:rPr>
        <w:t>提供资金支持，</w:t>
      </w:r>
      <w:r>
        <w:rPr>
          <w:rFonts w:hint="eastAsia" w:ascii="仿宋_GB2312" w:eastAsia="仿宋_GB2312"/>
          <w:color w:val="000000"/>
          <w:szCs w:val="32"/>
        </w:rPr>
        <w:t>促进我</w:t>
      </w:r>
      <w:r>
        <w:rPr>
          <w:rFonts w:hint="eastAsia" w:ascii="仿宋_GB2312" w:eastAsia="仿宋_GB2312"/>
          <w:color w:val="000000"/>
          <w:szCs w:val="32"/>
          <w:lang w:eastAsia="zh-CN"/>
        </w:rPr>
        <w:t>街道</w:t>
      </w:r>
      <w:r>
        <w:rPr>
          <w:rFonts w:hint="eastAsia" w:ascii="仿宋_GB2312" w:eastAsia="仿宋_GB2312"/>
          <w:szCs w:val="32"/>
          <w:lang w:eastAsia="zh-CN"/>
        </w:rPr>
        <w:t>幼儿园</w:t>
      </w:r>
      <w:r>
        <w:rPr>
          <w:rFonts w:hint="eastAsia" w:ascii="仿宋_GB2312" w:eastAsia="仿宋_GB2312"/>
          <w:color w:val="000000"/>
          <w:szCs w:val="32"/>
        </w:rPr>
        <w:t>事业发展。</w:t>
      </w:r>
    </w:p>
    <w:p>
      <w:pPr>
        <w:spacing w:line="560" w:lineRule="exact"/>
        <w:ind w:firstLine="640" w:firstLineChars="200"/>
        <w:rPr>
          <w:rFonts w:hint="eastAsia" w:ascii="仿宋_GB2312" w:eastAsia="仿宋_GB2312"/>
          <w:color w:val="000000"/>
          <w:szCs w:val="32"/>
        </w:rPr>
      </w:pPr>
      <w:r>
        <w:rPr>
          <w:rFonts w:hint="eastAsia" w:ascii="仿宋_GB2312" w:hAnsi="Times New Roman" w:eastAsia="仿宋_GB2312" w:cs="Times New Roman"/>
          <w:szCs w:val="32"/>
          <w:lang w:val="en-US" w:eastAsia="zh-CN"/>
        </w:rPr>
        <w:t>5.</w:t>
      </w:r>
      <w:r>
        <w:rPr>
          <w:rFonts w:hint="eastAsia" w:ascii="仿宋_GB2312" w:eastAsia="仿宋_GB2312"/>
          <w:szCs w:val="32"/>
        </w:rPr>
        <w:t>城市社区办公经费</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hAnsi="Times New Roman" w:eastAsia="仿宋_GB2312" w:cs="Times New Roman"/>
          <w:szCs w:val="32"/>
          <w:lang w:val="en-US" w:eastAsia="zh-CN"/>
        </w:rPr>
        <w:t>98</w:t>
      </w:r>
      <w:r>
        <w:rPr>
          <w:rFonts w:hint="eastAsia" w:ascii="仿宋_GB2312" w:hAnsi="Times New Roman" w:eastAsia="仿宋_GB2312" w:cs="Times New Roman"/>
          <w:szCs w:val="32"/>
          <w:lang w:eastAsia="zh-CN"/>
        </w:rPr>
        <w:t>万元，执行数为</w:t>
      </w:r>
      <w:r>
        <w:rPr>
          <w:rFonts w:hint="eastAsia" w:ascii="仿宋_GB2312" w:hAnsi="Times New Roman" w:eastAsia="仿宋_GB2312" w:cs="Times New Roman"/>
          <w:szCs w:val="32"/>
          <w:lang w:val="en-US" w:eastAsia="zh-CN"/>
        </w:rPr>
        <w:t>98</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w:t>
      </w:r>
      <w:r>
        <w:rPr>
          <w:rFonts w:hint="eastAsia" w:ascii="仿宋_GB2312" w:eastAsia="仿宋_GB2312"/>
          <w:color w:val="000000"/>
          <w:szCs w:val="32"/>
        </w:rPr>
        <w:t>项目绩效目标完成情况：</w:t>
      </w:r>
      <w:r>
        <w:rPr>
          <w:rFonts w:hint="eastAsia" w:ascii="仿宋_GB2312" w:eastAsia="仿宋_GB2312"/>
          <w:color w:val="000000"/>
          <w:szCs w:val="32"/>
          <w:lang w:eastAsia="zh-CN"/>
        </w:rPr>
        <w:t>按时发放社区办公经费，保障社区正常运转，提高服务群众水平</w:t>
      </w:r>
      <w:r>
        <w:rPr>
          <w:rFonts w:hint="eastAsia" w:ascii="仿宋_GB2312" w:eastAsia="仿宋_GB2312"/>
          <w:color w:val="000000"/>
          <w:szCs w:val="32"/>
        </w:rPr>
        <w:t>。</w:t>
      </w:r>
    </w:p>
    <w:p>
      <w:pPr>
        <w:spacing w:line="560" w:lineRule="exact"/>
        <w:ind w:firstLine="640" w:firstLineChars="200"/>
        <w:rPr>
          <w:rFonts w:hint="eastAsia" w:ascii="仿宋_GB2312" w:eastAsia="仿宋_GB2312"/>
          <w:szCs w:val="32"/>
        </w:rPr>
      </w:pPr>
      <w:r>
        <w:rPr>
          <w:rFonts w:hint="eastAsia" w:ascii="仿宋_GB2312" w:eastAsia="仿宋_GB2312"/>
          <w:kern w:val="0"/>
          <w:szCs w:val="32"/>
        </w:rPr>
        <w:t>202</w:t>
      </w:r>
      <w:r>
        <w:rPr>
          <w:rFonts w:hint="eastAsia" w:ascii="仿宋_GB2312" w:eastAsia="仿宋_GB2312"/>
          <w:kern w:val="0"/>
          <w:szCs w:val="32"/>
          <w:lang w:val="en-US" w:eastAsia="zh-CN"/>
        </w:rPr>
        <w:t>2</w:t>
      </w:r>
      <w:r>
        <w:rPr>
          <w:rFonts w:hint="eastAsia" w:ascii="仿宋_GB2312" w:eastAsia="仿宋_GB2312"/>
          <w:kern w:val="0"/>
          <w:szCs w:val="32"/>
        </w:rPr>
        <w:t>年度区级预算安排项目支出绩效自评情况汇总表和区级预算安排项目支出绩效自评表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（三）中央对地方转移支付项目绩效自评结果</w:t>
      </w:r>
    </w:p>
    <w:p>
      <w:pPr>
        <w:spacing w:line="580" w:lineRule="exact"/>
        <w:ind w:firstLine="640" w:firstLineChars="200"/>
        <w:rPr>
          <w:rFonts w:ascii="仿宋_GB2312" w:eastAsia="仿宋_GB2312"/>
          <w:b/>
          <w:szCs w:val="32"/>
        </w:rPr>
      </w:pPr>
      <w:r>
        <w:rPr>
          <w:rFonts w:hint="eastAsia" w:ascii="仿宋_GB2312" w:eastAsia="仿宋_GB2312"/>
          <w:szCs w:val="32"/>
          <w:lang w:eastAsia="zh-CN"/>
        </w:rPr>
        <w:t>潮海街道</w:t>
      </w:r>
      <w:r>
        <w:rPr>
          <w:rFonts w:hint="eastAsia" w:ascii="仿宋_GB2312" w:eastAsia="仿宋_GB2312"/>
          <w:szCs w:val="32"/>
        </w:rPr>
        <w:t>对“保障性安居工程”2022年度中央对地方转移支付项目开展绩效自评。</w:t>
      </w:r>
      <w:r>
        <w:rPr>
          <w:rFonts w:hint="eastAsia" w:ascii="仿宋_GB2312" w:eastAsia="仿宋_GB2312" w:cs="仿宋_GB2312"/>
          <w:szCs w:val="32"/>
        </w:rPr>
        <w:t>从自评情况看，项目支出绩效管理的重视程度进一步提升，项目有序开展，执行和完成情况较好，资金使用比较规范。</w:t>
      </w:r>
    </w:p>
    <w:p>
      <w:pPr>
        <w:spacing w:line="560" w:lineRule="exact"/>
        <w:ind w:firstLine="640" w:firstLineChars="200"/>
        <w:rPr>
          <w:rFonts w:hint="eastAsia" w:ascii="仿宋_GB2312" w:eastAsia="仿宋_GB2312"/>
          <w:szCs w:val="32"/>
        </w:rPr>
      </w:pPr>
      <w:r>
        <w:rPr>
          <w:rFonts w:hint="eastAsia" w:ascii="仿宋_GB2312" w:eastAsia="仿宋_GB2312"/>
          <w:szCs w:val="32"/>
        </w:rPr>
        <w:t>保障性安居工程项目绩效自评综述：根据年初设定的绩效目标，项目自评得分为100分。全年预算数为</w:t>
      </w:r>
      <w:r>
        <w:rPr>
          <w:rFonts w:hint="eastAsia" w:ascii="仿宋_GB2312" w:eastAsia="仿宋_GB2312"/>
          <w:szCs w:val="32"/>
          <w:lang w:val="en-US" w:eastAsia="zh-CN"/>
        </w:rPr>
        <w:t>265</w:t>
      </w:r>
      <w:r>
        <w:rPr>
          <w:rFonts w:hint="eastAsia" w:ascii="仿宋_GB2312" w:eastAsia="仿宋_GB2312"/>
          <w:szCs w:val="32"/>
        </w:rPr>
        <w:t>万元，执行数为</w:t>
      </w:r>
      <w:r>
        <w:rPr>
          <w:rFonts w:hint="eastAsia" w:ascii="仿宋_GB2312" w:eastAsia="仿宋_GB2312"/>
          <w:szCs w:val="32"/>
          <w:lang w:val="en-US" w:eastAsia="zh-CN"/>
        </w:rPr>
        <w:t>265</w:t>
      </w:r>
      <w:r>
        <w:rPr>
          <w:rFonts w:hint="eastAsia" w:ascii="仿宋_GB2312" w:eastAsia="仿宋_GB2312"/>
          <w:szCs w:val="32"/>
        </w:rPr>
        <w:t>万元，完成预算的100%。项目绩效目标完成情况：一是带动周边经济增长；二是为村民提供优质高效的公共服务；三是进一步完善基础配套设施，提升村民生活质量。</w:t>
      </w:r>
    </w:p>
    <w:p>
      <w:pPr>
        <w:spacing w:line="580" w:lineRule="exact"/>
        <w:ind w:firstLine="640" w:firstLineChars="200"/>
        <w:rPr>
          <w:rFonts w:ascii="仿宋_GB2312" w:eastAsia="仿宋_GB2312"/>
          <w:szCs w:val="32"/>
        </w:rPr>
      </w:pPr>
      <w:r>
        <w:rPr>
          <w:rFonts w:hint="eastAsia" w:ascii="仿宋_GB2312" w:eastAsia="仿宋_GB2312"/>
          <w:kern w:val="0"/>
          <w:szCs w:val="32"/>
        </w:rPr>
        <w:t>2022年度中央对地方转移支付项目绩效自评报告和</w:t>
      </w:r>
      <w:r>
        <w:rPr>
          <w:rFonts w:hint="eastAsia" w:ascii="仿宋_GB2312" w:eastAsia="仿宋_GB2312"/>
          <w:kern w:val="0"/>
          <w:szCs w:val="32"/>
          <w:lang/>
        </w:rPr>
        <w:t>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numPr>
          <w:numId w:val="0"/>
        </w:num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kern w:val="2"/>
          <w:sz w:val="32"/>
          <w:szCs w:val="32"/>
          <w:lang w:val="en-US" w:eastAsia="zh-CN" w:bidi="ar-SA"/>
        </w:rPr>
        <w:t>（四）</w:t>
      </w:r>
      <w:r>
        <w:rPr>
          <w:rFonts w:hint="eastAsia" w:ascii="楷体_GB2312" w:hAnsi="楷体_GB2312" w:eastAsia="楷体_GB2312" w:cs="楷体_GB2312"/>
          <w:bCs/>
          <w:szCs w:val="32"/>
        </w:rPr>
        <w:t>省对地方转移支付项目绩效自评结果</w:t>
      </w:r>
    </w:p>
    <w:p>
      <w:pPr>
        <w:widowControl/>
        <w:spacing w:line="560" w:lineRule="exact"/>
        <w:ind w:firstLine="640" w:firstLineChars="200"/>
        <w:rPr>
          <w:rFonts w:hint="eastAsia" w:ascii="仿宋_GB2312" w:hAnsi="Times New Roman" w:eastAsia="仿宋_GB2312" w:cs="Times New Roman"/>
          <w:kern w:val="0"/>
          <w:szCs w:val="32"/>
        </w:rPr>
      </w:pPr>
      <w:r>
        <w:rPr>
          <w:rFonts w:hint="eastAsia" w:ascii="仿宋_GB2312" w:hAnsi="Times New Roman" w:eastAsia="仿宋_GB2312" w:cs="Times New Roman"/>
          <w:kern w:val="0"/>
          <w:szCs w:val="32"/>
        </w:rPr>
        <w:t>本</w:t>
      </w:r>
      <w:r>
        <w:rPr>
          <w:rFonts w:hint="eastAsia" w:ascii="仿宋_GB2312" w:eastAsia="仿宋_GB2312" w:cs="Times New Roman"/>
          <w:kern w:val="0"/>
          <w:szCs w:val="32"/>
          <w:lang w:eastAsia="zh-CN"/>
        </w:rPr>
        <w:t>单位</w:t>
      </w:r>
      <w:r>
        <w:rPr>
          <w:rFonts w:hint="eastAsia" w:ascii="仿宋_GB2312" w:hAnsi="Times New Roman" w:eastAsia="仿宋_GB2312" w:cs="Times New Roman"/>
          <w:kern w:val="0"/>
          <w:szCs w:val="32"/>
        </w:rPr>
        <w:t>无省对地方转移支付绩效自评项目。</w:t>
      </w:r>
    </w:p>
    <w:p>
      <w:pPr>
        <w:spacing w:line="580" w:lineRule="exact"/>
        <w:ind w:firstLine="640" w:firstLineChars="200"/>
        <w:rPr>
          <w:rFonts w:hint="eastAsia" w:ascii="楷体_GB2312" w:hAnsi="楷体_GB2312" w:eastAsia="楷体_GB2312" w:cs="楷体_GB2312"/>
          <w:bCs/>
          <w:szCs w:val="32"/>
        </w:rPr>
      </w:pPr>
      <w:r>
        <w:rPr>
          <w:rFonts w:hint="eastAsia" w:ascii="楷体_GB2312" w:eastAsia="楷体_GB2312"/>
          <w:bCs/>
          <w:kern w:val="0"/>
          <w:szCs w:val="32"/>
        </w:rPr>
        <w:t>（五）</w:t>
      </w:r>
      <w:r>
        <w:rPr>
          <w:rFonts w:hint="eastAsia" w:ascii="楷体_GB2312" w:hAnsi="楷体_GB2312" w:eastAsia="楷体_GB2312" w:cs="楷体_GB2312"/>
          <w:bCs/>
          <w:szCs w:val="32"/>
        </w:rPr>
        <w:t>市对地方转移支付项目绩效自评结果</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szCs w:val="32"/>
          <w:lang w:eastAsia="zh-CN"/>
        </w:rPr>
        <w:t>潮海街道</w:t>
      </w:r>
      <w:r>
        <w:rPr>
          <w:rFonts w:hint="eastAsia" w:ascii="仿宋_GB2312" w:eastAsia="仿宋_GB2312"/>
          <w:szCs w:val="32"/>
        </w:rPr>
        <w:t>对“2020年</w:t>
      </w:r>
      <w:r>
        <w:rPr>
          <w:rFonts w:hint="eastAsia" w:ascii="仿宋_GB2312" w:eastAsia="仿宋_GB2312"/>
          <w:szCs w:val="32"/>
          <w:lang w:eastAsia="zh-CN"/>
        </w:rPr>
        <w:t>农村公路硬化</w:t>
      </w:r>
      <w:r>
        <w:rPr>
          <w:rFonts w:hint="eastAsia" w:ascii="仿宋_GB2312" w:eastAsia="仿宋_GB2312"/>
          <w:szCs w:val="32"/>
        </w:rPr>
        <w:t>”“</w:t>
      </w:r>
      <w:r>
        <w:rPr>
          <w:rFonts w:hint="eastAsia" w:ascii="仿宋_GB2312" w:hAnsi="Times New Roman" w:eastAsia="仿宋_GB2312" w:cs="Times New Roman"/>
          <w:szCs w:val="32"/>
          <w:lang w:eastAsia="zh-CN"/>
        </w:rPr>
        <w:t>农村</w:t>
      </w:r>
      <w:r>
        <w:rPr>
          <w:rFonts w:hint="eastAsia" w:ascii="仿宋_GB2312" w:eastAsia="仿宋_GB2312" w:cs="Times New Roman"/>
          <w:szCs w:val="32"/>
          <w:lang w:eastAsia="zh-CN"/>
        </w:rPr>
        <w:t>清洁取暖</w:t>
      </w:r>
      <w:r>
        <w:rPr>
          <w:rFonts w:hint="eastAsia" w:ascii="仿宋_GB2312" w:eastAsia="仿宋_GB2312"/>
          <w:szCs w:val="32"/>
        </w:rPr>
        <w:t>”</w:t>
      </w:r>
      <w:r>
        <w:rPr>
          <w:rFonts w:hint="eastAsia" w:ascii="仿宋_GB2312" w:eastAsia="仿宋_GB2312"/>
          <w:szCs w:val="32"/>
          <w:lang w:eastAsia="zh-CN"/>
        </w:rPr>
        <w:t>“</w:t>
      </w:r>
      <w:r>
        <w:rPr>
          <w:rFonts w:hint="eastAsia" w:ascii="仿宋_GB2312" w:eastAsia="仿宋_GB2312"/>
          <w:szCs w:val="32"/>
        </w:rPr>
        <w:t>村级公益事业一事一议财政奖补</w:t>
      </w:r>
      <w:r>
        <w:rPr>
          <w:rFonts w:hint="eastAsia" w:ascii="仿宋_GB2312" w:eastAsia="仿宋_GB2312"/>
          <w:szCs w:val="32"/>
          <w:lang w:eastAsia="zh-CN"/>
        </w:rPr>
        <w:t>”</w:t>
      </w:r>
      <w:r>
        <w:rPr>
          <w:rFonts w:hint="eastAsia" w:ascii="仿宋_GB2312" w:eastAsia="仿宋_GB2312"/>
          <w:szCs w:val="32"/>
        </w:rPr>
        <w:t>等2022年度市对地方转移支付项目开展绩效自评。</w:t>
      </w:r>
      <w:r>
        <w:rPr>
          <w:rFonts w:hint="eastAsia" w:ascii="仿宋_GB2312" w:eastAsia="仿宋_GB2312" w:cs="仿宋_GB2312"/>
          <w:szCs w:val="32"/>
        </w:rPr>
        <w:t>从自评情况看，项目支出绩效管理的重视程度进一步提升，，大部分项目有序开展，执行和完成情况较好，资金使用比较规范，但也存在部分项目产出指标低于预期等问题</w:t>
      </w:r>
      <w:r>
        <w:rPr>
          <w:rFonts w:hint="eastAsia" w:ascii="仿宋_GB2312" w:eastAsia="仿宋_GB2312" w:cs="仿宋_GB2312"/>
          <w:szCs w:val="32"/>
          <w:lang w:eastAsia="zh-CN"/>
        </w:rPr>
        <w:t>。</w:t>
      </w:r>
    </w:p>
    <w:p>
      <w:pPr>
        <w:spacing w:line="560" w:lineRule="exact"/>
        <w:ind w:firstLine="640" w:firstLineChars="200"/>
        <w:rPr>
          <w:rFonts w:hint="eastAsia" w:ascii="仿宋_GB2312" w:eastAsia="仿宋_GB2312"/>
          <w:szCs w:val="32"/>
          <w:lang w:eastAsia="zh-CN"/>
        </w:rPr>
      </w:pPr>
      <w:r>
        <w:rPr>
          <w:rFonts w:hint="eastAsia" w:ascii="仿宋_GB2312" w:eastAsia="仿宋_GB2312"/>
          <w:szCs w:val="32"/>
          <w:lang w:val="en-US" w:eastAsia="zh-CN"/>
        </w:rPr>
        <w:t>1</w:t>
      </w:r>
      <w:r>
        <w:rPr>
          <w:rFonts w:hint="eastAsia" w:ascii="仿宋_GB2312" w:eastAsia="仿宋_GB2312"/>
          <w:szCs w:val="32"/>
        </w:rPr>
        <w:t>.2020年</w:t>
      </w:r>
      <w:r>
        <w:rPr>
          <w:rFonts w:hint="eastAsia" w:ascii="仿宋_GB2312" w:eastAsia="仿宋_GB2312"/>
          <w:szCs w:val="32"/>
          <w:lang w:eastAsia="zh-CN"/>
        </w:rPr>
        <w:t>农村公路硬化</w:t>
      </w:r>
      <w:r>
        <w:rPr>
          <w:rFonts w:hint="eastAsia" w:ascii="仿宋_GB2312" w:eastAsia="仿宋_GB2312"/>
          <w:szCs w:val="32"/>
        </w:rPr>
        <w:t>项目绩效自评综述：根据年初设定的绩效目标，全年预算数为</w:t>
      </w:r>
      <w:r>
        <w:rPr>
          <w:rFonts w:hint="eastAsia" w:ascii="仿宋_GB2312" w:eastAsia="仿宋_GB2312"/>
          <w:szCs w:val="32"/>
          <w:lang w:val="en-US" w:eastAsia="zh-CN"/>
        </w:rPr>
        <w:t>124.64</w:t>
      </w:r>
      <w:r>
        <w:rPr>
          <w:rFonts w:hint="eastAsia" w:ascii="仿宋_GB2312" w:eastAsia="仿宋_GB2312"/>
          <w:szCs w:val="32"/>
        </w:rPr>
        <w:t>万元，执行数为</w:t>
      </w:r>
      <w:r>
        <w:rPr>
          <w:rFonts w:hint="eastAsia" w:ascii="仿宋_GB2312" w:eastAsia="仿宋_GB2312"/>
          <w:szCs w:val="32"/>
          <w:lang w:val="en-US" w:eastAsia="zh-CN"/>
        </w:rPr>
        <w:t>124.64</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w:t>
      </w:r>
      <w:r>
        <w:rPr>
          <w:rFonts w:hint="eastAsia" w:ascii="仿宋_GB2312" w:eastAsia="仿宋_GB2312"/>
          <w:szCs w:val="32"/>
          <w:lang w:eastAsia="zh-CN"/>
        </w:rPr>
        <w:t>：坚持以人民为中心的发展思想，按照“雨天不踩泥、晴天不起土”的基本标准，结合实际，采用经济实用、群众能接受的多种形式，养护农村街巷，基本解决村内道路泥泞、村民出行不便问题，完成农村通户道路任务。</w:t>
      </w:r>
    </w:p>
    <w:p>
      <w:pPr>
        <w:numPr>
          <w:numId w:val="0"/>
        </w:numPr>
        <w:spacing w:line="560" w:lineRule="exact"/>
        <w:ind w:left="0" w:leftChars="0" w:firstLine="640" w:firstLineChars="200"/>
        <w:rPr>
          <w:rFonts w:hint="eastAsia" w:ascii="仿宋_GB2312" w:hAnsi="Times New Roman" w:eastAsia="仿宋_GB2312" w:cs="Times New Roman"/>
          <w:szCs w:val="32"/>
          <w:lang w:eastAsia="zh-CN"/>
        </w:rPr>
      </w:pPr>
      <w:r>
        <w:rPr>
          <w:rFonts w:hint="eastAsia" w:ascii="仿宋_GB2312" w:eastAsia="仿宋_GB2312" w:cs="Times New Roman"/>
          <w:kern w:val="2"/>
          <w:sz w:val="32"/>
          <w:szCs w:val="32"/>
          <w:lang w:val="en-US" w:eastAsia="zh-CN" w:bidi="ar-SA"/>
        </w:rPr>
        <w:t>2</w:t>
      </w:r>
      <w:r>
        <w:rPr>
          <w:rFonts w:hint="eastAsia" w:ascii="仿宋_GB2312" w:hAnsi="Times New Roman" w:eastAsia="仿宋_GB2312" w:cs="Times New Roman"/>
          <w:kern w:val="2"/>
          <w:sz w:val="32"/>
          <w:szCs w:val="32"/>
          <w:lang w:val="en-US" w:eastAsia="zh-CN" w:bidi="ar-SA"/>
        </w:rPr>
        <w:t>.</w:t>
      </w:r>
      <w:r>
        <w:rPr>
          <w:rFonts w:hint="eastAsia" w:ascii="仿宋_GB2312" w:hAnsi="Times New Roman" w:eastAsia="仿宋_GB2312" w:cs="Times New Roman"/>
          <w:szCs w:val="32"/>
          <w:lang w:eastAsia="zh-CN"/>
        </w:rPr>
        <w:t>农村</w:t>
      </w:r>
      <w:r>
        <w:rPr>
          <w:rFonts w:hint="eastAsia" w:ascii="仿宋_GB2312" w:eastAsia="仿宋_GB2312" w:cs="Times New Roman"/>
          <w:szCs w:val="32"/>
          <w:lang w:eastAsia="zh-CN"/>
        </w:rPr>
        <w:t>清洁取暖</w:t>
      </w:r>
      <w:r>
        <w:rPr>
          <w:rFonts w:hint="eastAsia" w:ascii="仿宋_GB2312" w:hAnsi="Times New Roman" w:eastAsia="仿宋_GB2312" w:cs="Times New Roman"/>
          <w:szCs w:val="32"/>
          <w:lang w:eastAsia="zh-CN"/>
        </w:rPr>
        <w:t>项目绩效自评综述：根据年初设定的绩效目标，全年预算数为</w:t>
      </w:r>
      <w:r>
        <w:rPr>
          <w:rFonts w:hint="eastAsia" w:ascii="仿宋_GB2312" w:hAnsi="Times New Roman" w:eastAsia="仿宋_GB2312" w:cs="Times New Roman"/>
          <w:szCs w:val="32"/>
          <w:lang w:val="en-US" w:eastAsia="zh-CN"/>
        </w:rPr>
        <w:t>35.52</w:t>
      </w:r>
      <w:r>
        <w:rPr>
          <w:rFonts w:hint="eastAsia" w:ascii="仿宋_GB2312" w:hAnsi="Times New Roman" w:eastAsia="仿宋_GB2312" w:cs="Times New Roman"/>
          <w:szCs w:val="32"/>
          <w:lang w:eastAsia="zh-CN"/>
        </w:rPr>
        <w:t>万元，执行数为</w:t>
      </w:r>
      <w:r>
        <w:rPr>
          <w:rFonts w:hint="eastAsia" w:ascii="仿宋_GB2312" w:hAnsi="Times New Roman" w:eastAsia="仿宋_GB2312" w:cs="Times New Roman"/>
          <w:szCs w:val="32"/>
          <w:lang w:val="en-US" w:eastAsia="zh-CN"/>
        </w:rPr>
        <w:t>35.52</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%。项目绩效目标完成情况：完成农村冬季清洁取暖电代煤气代煤改造，让辖区居民用上干净清洁能源。</w:t>
      </w:r>
    </w:p>
    <w:p>
      <w:pPr>
        <w:numPr>
          <w:numId w:val="0"/>
        </w:numPr>
        <w:spacing w:line="560" w:lineRule="exact"/>
        <w:ind w:left="0" w:leftChars="0" w:firstLine="640" w:firstLineChars="200"/>
        <w:rPr>
          <w:rFonts w:hint="eastAsia" w:ascii="仿宋_GB2312" w:hAnsi="Times New Roman" w:eastAsia="仿宋_GB2312" w:cs="Times New Roman"/>
          <w:szCs w:val="32"/>
          <w:lang w:eastAsia="zh-CN"/>
        </w:rPr>
      </w:pPr>
      <w:r>
        <w:rPr>
          <w:rFonts w:hint="eastAsia" w:ascii="仿宋_GB2312" w:eastAsia="仿宋_GB2312" w:cs="Times New Roman"/>
          <w:kern w:val="2"/>
          <w:sz w:val="32"/>
          <w:szCs w:val="32"/>
          <w:lang w:val="en-US" w:eastAsia="zh-CN" w:bidi="ar-SA"/>
        </w:rPr>
        <w:t>3</w:t>
      </w:r>
      <w:r>
        <w:rPr>
          <w:rFonts w:hint="eastAsia" w:ascii="仿宋_GB2312" w:hAnsi="Times New Roman" w:eastAsia="仿宋_GB2312" w:cs="Times New Roman"/>
          <w:kern w:val="2"/>
          <w:sz w:val="32"/>
          <w:szCs w:val="32"/>
          <w:lang w:val="en-US" w:eastAsia="zh-CN" w:bidi="ar-SA"/>
        </w:rPr>
        <w:t>.</w:t>
      </w:r>
      <w:r>
        <w:rPr>
          <w:rFonts w:hint="eastAsia" w:ascii="仿宋_GB2312" w:hAnsi="Times New Roman" w:eastAsia="仿宋_GB2312" w:cs="Times New Roman"/>
          <w:szCs w:val="32"/>
          <w:lang w:eastAsia="zh-CN"/>
        </w:rPr>
        <w:t>村级公益事业一事一议财政奖补项目绩效自评综述：根据年初设定的绩效目标，全年预算数为</w:t>
      </w:r>
      <w:r>
        <w:rPr>
          <w:rFonts w:hint="eastAsia" w:ascii="仿宋_GB2312" w:eastAsia="仿宋_GB2312" w:cs="Times New Roman"/>
          <w:szCs w:val="32"/>
          <w:lang w:val="en-US" w:eastAsia="zh-CN"/>
        </w:rPr>
        <w:t>60</w:t>
      </w:r>
      <w:r>
        <w:rPr>
          <w:rFonts w:hint="eastAsia" w:ascii="仿宋_GB2312" w:hAnsi="Times New Roman" w:eastAsia="仿宋_GB2312" w:cs="Times New Roman"/>
          <w:szCs w:val="32"/>
          <w:lang w:eastAsia="zh-CN"/>
        </w:rPr>
        <w:t>万元，执行数为</w:t>
      </w:r>
      <w:r>
        <w:rPr>
          <w:rFonts w:hint="eastAsia" w:ascii="仿宋_GB2312" w:eastAsia="仿宋_GB2312" w:cs="Times New Roman"/>
          <w:szCs w:val="32"/>
          <w:lang w:val="en-US" w:eastAsia="zh-CN"/>
        </w:rPr>
        <w:t>60</w:t>
      </w:r>
      <w:r>
        <w:rPr>
          <w:rFonts w:hint="eastAsia" w:ascii="仿宋_GB2312" w:hAnsi="Times New Roman" w:eastAsia="仿宋_GB2312" w:cs="Times New Roman"/>
          <w:szCs w:val="32"/>
          <w:lang w:eastAsia="zh-CN"/>
        </w:rPr>
        <w:t>万元，完成预算的</w:t>
      </w:r>
      <w:r>
        <w:rPr>
          <w:rFonts w:hint="eastAsia" w:ascii="仿宋_GB2312" w:hAnsi="Times New Roman" w:eastAsia="仿宋_GB2312" w:cs="Times New Roman"/>
          <w:szCs w:val="32"/>
          <w:lang w:val="en-US" w:eastAsia="zh-CN"/>
        </w:rPr>
        <w:t>100</w:t>
      </w:r>
      <w:r>
        <w:rPr>
          <w:rFonts w:hint="eastAsia" w:ascii="仿宋_GB2312" w:hAnsi="Times New Roman" w:eastAsia="仿宋_GB2312" w:cs="Times New Roman"/>
          <w:szCs w:val="32"/>
          <w:lang w:eastAsia="zh-CN"/>
        </w:rPr>
        <w:t>%。项目绩效目标完成情况：完成村级公益事业一事一议财政奖补</w:t>
      </w:r>
      <w:r>
        <w:rPr>
          <w:rFonts w:hint="eastAsia" w:ascii="仿宋_GB2312" w:eastAsia="仿宋_GB2312" w:cs="Times New Roman"/>
          <w:szCs w:val="32"/>
          <w:lang w:eastAsia="zh-CN"/>
        </w:rPr>
        <w:t>资金发放</w:t>
      </w:r>
      <w:r>
        <w:rPr>
          <w:rFonts w:hint="eastAsia" w:ascii="仿宋_GB2312" w:hAnsi="Times New Roman" w:eastAsia="仿宋_GB2312" w:cs="Times New Roman"/>
          <w:szCs w:val="32"/>
          <w:lang w:eastAsia="zh-CN"/>
        </w:rPr>
        <w:t>，通过一事一议项目，改善村庄基础设施，提升村民居住质量</w:t>
      </w:r>
      <w:r>
        <w:rPr>
          <w:rFonts w:hint="eastAsia" w:ascii="仿宋_GB2312" w:eastAsia="仿宋_GB2312" w:cs="Times New Roman"/>
          <w:szCs w:val="32"/>
          <w:lang w:eastAsia="zh-CN"/>
        </w:rPr>
        <w:t>。</w:t>
      </w:r>
    </w:p>
    <w:p>
      <w:pPr>
        <w:spacing w:line="560" w:lineRule="exact"/>
        <w:ind w:firstLine="640" w:firstLineChars="200"/>
        <w:rPr>
          <w:rFonts w:hint="eastAsia" w:ascii="仿宋_GB2312" w:eastAsia="仿宋_GB2312"/>
          <w:szCs w:val="32"/>
        </w:rPr>
      </w:pPr>
      <w:r>
        <w:rPr>
          <w:rFonts w:hint="eastAsia" w:ascii="仿宋_GB2312" w:eastAsia="仿宋_GB2312"/>
          <w:kern w:val="0"/>
          <w:szCs w:val="32"/>
        </w:rPr>
        <w:t>2022年度</w:t>
      </w:r>
      <w:r>
        <w:rPr>
          <w:rFonts w:hint="eastAsia" w:ascii="仿宋_GB2312" w:eastAsia="仿宋_GB2312"/>
          <w:szCs w:val="32"/>
        </w:rPr>
        <w:t>市</w:t>
      </w:r>
      <w:r>
        <w:rPr>
          <w:rFonts w:hint="eastAsia" w:ascii="仿宋_GB2312" w:eastAsia="仿宋_GB2312"/>
          <w:kern w:val="0"/>
          <w:szCs w:val="32"/>
        </w:rPr>
        <w:t>对地方转移支付项目绩效</w:t>
      </w:r>
      <w:r>
        <w:rPr>
          <w:rFonts w:hint="eastAsia" w:ascii="仿宋_GB2312" w:eastAsia="仿宋_GB2312"/>
          <w:kern w:val="0"/>
          <w:szCs w:val="32"/>
          <w:lang/>
        </w:rPr>
        <w:t>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widowControl/>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（六</w:t>
      </w:r>
      <w:r>
        <w:rPr>
          <w:rFonts w:ascii="楷体_GB2312" w:eastAsia="楷体_GB2312"/>
          <w:bCs/>
          <w:kern w:val="0"/>
          <w:szCs w:val="32"/>
        </w:rPr>
        <w:t>）</w:t>
      </w:r>
      <w:r>
        <w:rPr>
          <w:rFonts w:hint="eastAsia" w:ascii="楷体_GB2312" w:eastAsia="楷体_GB2312"/>
          <w:bCs/>
          <w:kern w:val="0"/>
          <w:szCs w:val="32"/>
          <w:lang w:eastAsia="zh-CN"/>
        </w:rPr>
        <w:t>单位</w:t>
      </w:r>
      <w:r>
        <w:rPr>
          <w:rFonts w:hint="eastAsia" w:ascii="楷体_GB2312" w:eastAsia="楷体_GB2312"/>
          <w:bCs/>
          <w:kern w:val="0"/>
          <w:szCs w:val="32"/>
        </w:rPr>
        <w:t>评价结果</w:t>
      </w:r>
    </w:p>
    <w:p>
      <w:pPr>
        <w:widowControl/>
        <w:spacing w:line="580" w:lineRule="exact"/>
        <w:ind w:firstLine="640" w:firstLineChars="200"/>
        <w:rPr>
          <w:rFonts w:hint="eastAsia" w:ascii="仿宋_GB2312" w:eastAsia="仿宋_GB2312"/>
          <w:kern w:val="0"/>
          <w:szCs w:val="32"/>
        </w:rPr>
      </w:pPr>
      <w:r>
        <w:rPr>
          <w:rFonts w:hint="eastAsia" w:ascii="仿宋_GB2312" w:eastAsia="仿宋_GB2312"/>
          <w:szCs w:val="32"/>
        </w:rPr>
        <w:t>“</w:t>
      </w:r>
      <w:r>
        <w:rPr>
          <w:rFonts w:hint="eastAsia" w:ascii="仿宋_GB2312" w:eastAsia="仿宋_GB2312"/>
          <w:szCs w:val="32"/>
          <w:lang w:eastAsia="zh-CN"/>
        </w:rPr>
        <w:t>辛戈庄村部分污水沟清理、盖板隐蔽化处理工程</w:t>
      </w:r>
      <w:r>
        <w:rPr>
          <w:rFonts w:hint="eastAsia" w:ascii="仿宋_GB2312" w:eastAsia="仿宋_GB2312"/>
          <w:szCs w:val="32"/>
        </w:rPr>
        <w:t>”</w:t>
      </w:r>
      <w:r>
        <w:rPr>
          <w:rFonts w:hint="eastAsia" w:ascii="仿宋_GB2312" w:eastAsia="仿宋_GB2312"/>
          <w:kern w:val="0"/>
          <w:szCs w:val="32"/>
        </w:rPr>
        <w:t>项目，绩效评价得分为“</w:t>
      </w:r>
      <w:r>
        <w:rPr>
          <w:rFonts w:hint="eastAsia" w:ascii="仿宋_GB2312" w:eastAsia="仿宋_GB2312"/>
          <w:kern w:val="0"/>
          <w:szCs w:val="32"/>
          <w:lang w:val="en-US" w:eastAsia="zh-CN"/>
        </w:rPr>
        <w:t>88</w:t>
      </w:r>
      <w:r>
        <w:rPr>
          <w:rFonts w:hint="eastAsia" w:ascii="仿宋_GB2312" w:eastAsia="仿宋_GB2312"/>
          <w:kern w:val="0"/>
          <w:szCs w:val="32"/>
        </w:rPr>
        <w:t>”分，等级为“</w:t>
      </w:r>
      <w:r>
        <w:rPr>
          <w:rFonts w:hint="eastAsia" w:ascii="仿宋_GB2312" w:eastAsia="仿宋_GB2312"/>
          <w:kern w:val="0"/>
          <w:szCs w:val="32"/>
          <w:lang w:eastAsia="zh-CN"/>
        </w:rPr>
        <w:t>优</w:t>
      </w:r>
      <w:r>
        <w:rPr>
          <w:rFonts w:hint="eastAsia" w:ascii="仿宋_GB2312" w:eastAsia="仿宋_GB2312"/>
          <w:kern w:val="0"/>
          <w:szCs w:val="32"/>
        </w:rPr>
        <w:t>”。</w:t>
      </w:r>
    </w:p>
    <w:p>
      <w:pPr>
        <w:widowControl/>
        <w:spacing w:line="580" w:lineRule="exact"/>
        <w:ind w:firstLine="640" w:firstLineChars="200"/>
        <w:rPr>
          <w:rFonts w:ascii="仿宋_GB2312" w:eastAsia="仿宋_GB2312"/>
          <w:kern w:val="0"/>
          <w:szCs w:val="32"/>
        </w:rPr>
      </w:pPr>
      <w:r>
        <w:rPr>
          <w:rFonts w:hint="eastAsia" w:ascii="仿宋_GB2312" w:eastAsia="仿宋_GB2312"/>
          <w:kern w:val="0"/>
          <w:szCs w:val="32"/>
          <w:lang w:eastAsia="zh-CN"/>
        </w:rPr>
        <w:t>单位</w:t>
      </w:r>
      <w:r>
        <w:rPr>
          <w:rFonts w:hint="eastAsia" w:ascii="仿宋_GB2312" w:eastAsia="仿宋_GB2312"/>
          <w:kern w:val="0"/>
          <w:szCs w:val="32"/>
        </w:rPr>
        <w:t>评价报告详见“第五部分 附件”。</w:t>
      </w:r>
    </w:p>
    <w:p>
      <w:pPr>
        <w:spacing w:line="580" w:lineRule="exact"/>
        <w:ind w:firstLine="640" w:firstLineChars="200"/>
        <w:rPr>
          <w:rFonts w:hint="eastAsia" w:ascii="楷体_GB2312" w:eastAsia="楷体_GB2312"/>
          <w:szCs w:val="32"/>
        </w:rPr>
      </w:pPr>
      <w:r>
        <w:rPr>
          <w:rFonts w:hint="eastAsia" w:ascii="楷体_GB2312" w:eastAsia="楷体_GB2312"/>
          <w:bCs/>
          <w:kern w:val="0"/>
          <w:szCs w:val="32"/>
        </w:rPr>
        <w:t>（七）</w:t>
      </w:r>
      <w:r>
        <w:rPr>
          <w:rFonts w:hint="eastAsia" w:ascii="楷体_GB2312" w:eastAsia="楷体_GB2312"/>
          <w:szCs w:val="32"/>
        </w:rPr>
        <w:t>财政评价结果</w:t>
      </w:r>
    </w:p>
    <w:p>
      <w:pPr>
        <w:widowControl/>
        <w:spacing w:line="580" w:lineRule="exact"/>
        <w:ind w:firstLine="640" w:firstLineChars="200"/>
        <w:rPr>
          <w:rFonts w:hint="eastAsia" w:ascii="仿宋_GB2312" w:eastAsia="仿宋_GB2312"/>
          <w:kern w:val="0"/>
          <w:szCs w:val="32"/>
          <w:lang w:eastAsia="zh-CN"/>
        </w:rPr>
      </w:pPr>
      <w:r>
        <w:rPr>
          <w:rFonts w:hint="eastAsia" w:ascii="仿宋_GB2312" w:eastAsia="仿宋_GB2312"/>
          <w:kern w:val="0"/>
          <w:szCs w:val="32"/>
        </w:rPr>
        <w:t>本</w:t>
      </w:r>
      <w:r>
        <w:rPr>
          <w:rFonts w:hint="eastAsia" w:ascii="仿宋_GB2312" w:eastAsia="仿宋_GB2312"/>
          <w:kern w:val="0"/>
          <w:szCs w:val="32"/>
          <w:lang w:eastAsia="zh-CN"/>
        </w:rPr>
        <w:t>单位</w:t>
      </w:r>
      <w:r>
        <w:rPr>
          <w:rFonts w:hint="eastAsia" w:ascii="仿宋_GB2312" w:eastAsia="仿宋_GB2312"/>
          <w:kern w:val="0"/>
          <w:szCs w:val="32"/>
        </w:rPr>
        <w:t>未有向区人大常委会报告的财政评价项目</w:t>
      </w:r>
      <w:r>
        <w:rPr>
          <w:rFonts w:hint="eastAsia" w:ascii="仿宋_GB2312" w:eastAsia="仿宋_GB2312"/>
          <w:kern w:val="0"/>
          <w:szCs w:val="32"/>
          <w:lang w:eastAsia="zh-CN"/>
        </w:rPr>
        <w:t>。</w:t>
      </w:r>
    </w:p>
    <w:p>
      <w:pPr>
        <w:spacing w:line="580" w:lineRule="exact"/>
        <w:ind w:firstLine="200"/>
        <w:rPr>
          <w:rFonts w:hint="eastAsia" w:ascii="方正小标宋简体" w:eastAsia="方正小标宋简体"/>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第四部分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名词解释</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rPr>
          <w:rFonts w:hint="eastAsia" w:ascii="方正小标宋简体" w:eastAsia="方正小标宋简体"/>
          <w:spacing w:val="60"/>
          <w:sz w:val="48"/>
        </w:rPr>
      </w:pPr>
    </w:p>
    <w:p>
      <w:pPr>
        <w:spacing w:line="580" w:lineRule="exact"/>
        <w:ind w:firstLine="640" w:firstLineChars="200"/>
        <w:rPr>
          <w:rFonts w:hint="eastAsia" w:ascii="仿宋_GB2312" w:eastAsia="仿宋_GB2312"/>
          <w:szCs w:val="32"/>
        </w:rPr>
      </w:pPr>
      <w:r>
        <w:rPr>
          <w:rFonts w:hint="eastAsia" w:ascii="黑体" w:hAnsi="黑体" w:eastAsia="黑体"/>
          <w:color w:val="000000"/>
          <w:szCs w:val="32"/>
        </w:rPr>
        <w:t>一、财政拨款收入：</w:t>
      </w:r>
      <w:r>
        <w:rPr>
          <w:rFonts w:hint="eastAsia" w:ascii="仿宋_GB2312" w:eastAsia="仿宋_GB2312"/>
          <w:szCs w:val="32"/>
        </w:rPr>
        <w:t>指</w:t>
      </w:r>
      <w:r>
        <w:rPr>
          <w:rFonts w:hint="eastAsia" w:ascii="仿宋_GB2312" w:eastAsia="仿宋_GB2312"/>
          <w:szCs w:val="32"/>
          <w:lang w:eastAsia="zh-CN"/>
        </w:rPr>
        <w:t>单位</w:t>
      </w:r>
      <w:r>
        <w:rPr>
          <w:rFonts w:hint="eastAsia" w:ascii="仿宋_GB2312" w:eastAsia="仿宋_GB2312"/>
          <w:szCs w:val="32"/>
        </w:rPr>
        <w:t>本年度从本级财政</w:t>
      </w:r>
      <w:r>
        <w:rPr>
          <w:rFonts w:hint="eastAsia" w:ascii="仿宋_GB2312" w:eastAsia="仿宋_GB2312"/>
          <w:szCs w:val="32"/>
          <w:lang w:eastAsia="zh-CN"/>
        </w:rPr>
        <w:t>单位</w:t>
      </w:r>
      <w:r>
        <w:rPr>
          <w:rFonts w:hint="eastAsia" w:ascii="仿宋_GB2312" w:eastAsia="仿宋_GB2312"/>
          <w:szCs w:val="32"/>
        </w:rPr>
        <w:t>取得的财政拨款，包括一般公共预算财政拨款、政府性基金预算财政拨款和国有资本经营预算财政拨款。</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二、上级补助收入：</w:t>
      </w:r>
      <w:r>
        <w:rPr>
          <w:rFonts w:hint="eastAsia" w:ascii="仿宋_GB2312" w:hAnsi="仿宋" w:eastAsia="仿宋_GB2312"/>
          <w:szCs w:val="32"/>
        </w:rPr>
        <w:t>指事业</w:t>
      </w:r>
      <w:r>
        <w:rPr>
          <w:rFonts w:hint="eastAsia" w:ascii="仿宋_GB2312" w:hAnsi="仿宋" w:eastAsia="仿宋_GB2312"/>
          <w:szCs w:val="32"/>
          <w:lang w:eastAsia="zh-CN"/>
        </w:rPr>
        <w:t>单位</w:t>
      </w:r>
      <w:r>
        <w:rPr>
          <w:rFonts w:hint="eastAsia" w:ascii="仿宋_GB2312" w:hAnsi="仿宋" w:eastAsia="仿宋_GB2312"/>
          <w:szCs w:val="32"/>
        </w:rPr>
        <w:t>从主管</w:t>
      </w:r>
      <w:r>
        <w:rPr>
          <w:rFonts w:hint="eastAsia" w:ascii="仿宋_GB2312" w:hAnsi="仿宋" w:eastAsia="仿宋_GB2312"/>
          <w:szCs w:val="32"/>
          <w:lang w:eastAsia="zh-CN"/>
        </w:rPr>
        <w:t>单位</w:t>
      </w:r>
      <w:r>
        <w:rPr>
          <w:rFonts w:hint="eastAsia" w:ascii="仿宋_GB2312" w:hAnsi="仿宋" w:eastAsia="仿宋_GB2312"/>
          <w:szCs w:val="32"/>
        </w:rPr>
        <w:t>和上级</w:t>
      </w:r>
      <w:r>
        <w:rPr>
          <w:rFonts w:hint="eastAsia" w:ascii="仿宋_GB2312" w:hAnsi="仿宋" w:eastAsia="仿宋_GB2312"/>
          <w:szCs w:val="32"/>
          <w:lang w:eastAsia="zh-CN"/>
        </w:rPr>
        <w:t>单位</w:t>
      </w:r>
      <w:r>
        <w:rPr>
          <w:rFonts w:hint="eastAsia" w:ascii="仿宋_GB2312" w:hAnsi="仿宋" w:eastAsia="仿宋_GB2312"/>
          <w:szCs w:val="32"/>
        </w:rPr>
        <w:t>取得的非财政补助收入。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三、事业收入：</w:t>
      </w:r>
      <w:r>
        <w:rPr>
          <w:rFonts w:hint="eastAsia" w:ascii="仿宋_GB2312" w:hAnsi="仿宋" w:eastAsia="仿宋_GB2312"/>
          <w:szCs w:val="32"/>
        </w:rPr>
        <w:t>指事业</w:t>
      </w:r>
      <w:r>
        <w:rPr>
          <w:rFonts w:hint="eastAsia" w:ascii="仿宋_GB2312" w:hAnsi="仿宋" w:eastAsia="仿宋_GB2312"/>
          <w:szCs w:val="32"/>
          <w:lang w:eastAsia="zh-CN"/>
        </w:rPr>
        <w:t>单位</w:t>
      </w:r>
      <w:r>
        <w:rPr>
          <w:rFonts w:hint="eastAsia" w:ascii="仿宋_GB2312" w:hAnsi="仿宋" w:eastAsia="仿宋_GB2312"/>
          <w:szCs w:val="32"/>
        </w:rPr>
        <w:t>开展专业业务活动及其辅助活动取得的收入；包括事业</w:t>
      </w:r>
      <w:r>
        <w:rPr>
          <w:rFonts w:hint="eastAsia" w:ascii="仿宋_GB2312" w:hAnsi="仿宋" w:eastAsia="仿宋_GB2312"/>
          <w:szCs w:val="32"/>
          <w:lang w:eastAsia="zh-CN"/>
        </w:rPr>
        <w:t>单位</w:t>
      </w:r>
      <w:r>
        <w:rPr>
          <w:rFonts w:hint="eastAsia" w:ascii="仿宋_GB2312" w:hAnsi="仿宋" w:eastAsia="仿宋_GB2312"/>
          <w:szCs w:val="32"/>
        </w:rPr>
        <w:t>收到的财政专户实际核拨的教育收费等。</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四、经营收入：</w:t>
      </w:r>
      <w:r>
        <w:rPr>
          <w:rFonts w:hint="eastAsia" w:ascii="仿宋_GB2312" w:hAnsi="仿宋" w:eastAsia="仿宋_GB2312"/>
          <w:szCs w:val="32"/>
        </w:rPr>
        <w:t>指事业</w:t>
      </w:r>
      <w:r>
        <w:rPr>
          <w:rFonts w:hint="eastAsia" w:ascii="仿宋_GB2312" w:hAnsi="仿宋" w:eastAsia="仿宋_GB2312"/>
          <w:szCs w:val="32"/>
          <w:lang w:eastAsia="zh-CN"/>
        </w:rPr>
        <w:t>单位</w:t>
      </w:r>
      <w:r>
        <w:rPr>
          <w:rFonts w:hint="eastAsia" w:ascii="仿宋_GB2312" w:hAnsi="仿宋" w:eastAsia="仿宋_GB2312"/>
          <w:szCs w:val="32"/>
        </w:rPr>
        <w:t>在专业业务活动及其辅助活动之外开展非独立核算经营活动取得的收入。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五、附属</w:t>
      </w:r>
      <w:r>
        <w:rPr>
          <w:rFonts w:hint="eastAsia" w:ascii="黑体" w:hAnsi="黑体" w:eastAsia="黑体"/>
          <w:szCs w:val="32"/>
          <w:lang w:eastAsia="zh-CN"/>
        </w:rPr>
        <w:t>单位</w:t>
      </w:r>
      <w:r>
        <w:rPr>
          <w:rFonts w:hint="eastAsia" w:ascii="黑体" w:hAnsi="黑体" w:eastAsia="黑体"/>
          <w:szCs w:val="32"/>
        </w:rPr>
        <w:t>上缴收入：</w:t>
      </w:r>
      <w:r>
        <w:rPr>
          <w:rFonts w:hint="eastAsia" w:ascii="仿宋_GB2312" w:hAnsi="仿宋" w:eastAsia="仿宋_GB2312"/>
          <w:szCs w:val="32"/>
        </w:rPr>
        <w:t>指事业</w:t>
      </w:r>
      <w:r>
        <w:rPr>
          <w:rFonts w:hint="eastAsia" w:ascii="仿宋_GB2312" w:hAnsi="仿宋" w:eastAsia="仿宋_GB2312"/>
          <w:szCs w:val="32"/>
          <w:lang w:eastAsia="zh-CN"/>
        </w:rPr>
        <w:t>单位</w:t>
      </w:r>
      <w:r>
        <w:rPr>
          <w:rFonts w:hint="eastAsia" w:ascii="仿宋_GB2312" w:hAnsi="仿宋" w:eastAsia="仿宋_GB2312"/>
          <w:szCs w:val="32"/>
        </w:rPr>
        <w:t>附属独立核算</w:t>
      </w:r>
      <w:r>
        <w:rPr>
          <w:rFonts w:hint="eastAsia" w:ascii="仿宋_GB2312" w:hAnsi="仿宋" w:eastAsia="仿宋_GB2312"/>
          <w:szCs w:val="32"/>
          <w:lang w:eastAsia="zh-CN"/>
        </w:rPr>
        <w:t>单位</w:t>
      </w:r>
      <w:r>
        <w:rPr>
          <w:rFonts w:hint="eastAsia" w:ascii="仿宋_GB2312" w:hAnsi="仿宋" w:eastAsia="仿宋_GB2312"/>
          <w:szCs w:val="32"/>
        </w:rPr>
        <w:t>按照有关规定上缴的收入。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六、其他收入：</w:t>
      </w:r>
      <w:r>
        <w:rPr>
          <w:rFonts w:hint="eastAsia" w:ascii="仿宋_GB2312" w:hAnsi="仿宋" w:eastAsia="仿宋_GB2312"/>
          <w:szCs w:val="32"/>
        </w:rPr>
        <w:t>指</w:t>
      </w:r>
      <w:r>
        <w:rPr>
          <w:rFonts w:hint="eastAsia" w:ascii="仿宋_GB2312" w:hAnsi="仿宋" w:eastAsia="仿宋_GB2312"/>
          <w:szCs w:val="32"/>
          <w:lang w:eastAsia="zh-CN"/>
        </w:rPr>
        <w:t>单位</w:t>
      </w:r>
      <w:r>
        <w:rPr>
          <w:rFonts w:hint="eastAsia" w:ascii="仿宋_GB2312" w:hAnsi="仿宋" w:eastAsia="仿宋_GB2312"/>
          <w:szCs w:val="32"/>
        </w:rPr>
        <w:t>取得的除上述“</w:t>
      </w:r>
      <w:r>
        <w:rPr>
          <w:rFonts w:hint="eastAsia" w:ascii="仿宋_GB2312" w:eastAsia="仿宋_GB2312"/>
          <w:szCs w:val="32"/>
        </w:rPr>
        <w:t>财政拨款收入</w:t>
      </w:r>
      <w:r>
        <w:rPr>
          <w:rFonts w:hint="eastAsia" w:ascii="仿宋_GB2312" w:hAnsi="仿宋" w:eastAsia="仿宋_GB2312"/>
          <w:szCs w:val="32"/>
        </w:rPr>
        <w:t>”“上级补助收入”“事业收入”“经营收入”“附属</w:t>
      </w:r>
      <w:r>
        <w:rPr>
          <w:rFonts w:hint="eastAsia" w:ascii="仿宋_GB2312" w:hAnsi="仿宋" w:eastAsia="仿宋_GB2312"/>
          <w:szCs w:val="32"/>
          <w:lang w:eastAsia="zh-CN"/>
        </w:rPr>
        <w:t>单位</w:t>
      </w:r>
      <w:r>
        <w:rPr>
          <w:rFonts w:hint="eastAsia" w:ascii="仿宋_GB2312" w:hAnsi="仿宋" w:eastAsia="仿宋_GB2312"/>
          <w:szCs w:val="32"/>
        </w:rPr>
        <w:t>上缴收入”等以外的各项收入。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七、使用非财政拨款结余：</w:t>
      </w:r>
      <w:r>
        <w:rPr>
          <w:rFonts w:hint="eastAsia" w:ascii="仿宋_GB2312" w:hAnsi="仿宋" w:eastAsia="仿宋_GB2312"/>
          <w:szCs w:val="32"/>
        </w:rPr>
        <w:t>指事业</w:t>
      </w:r>
      <w:r>
        <w:rPr>
          <w:rFonts w:hint="eastAsia" w:ascii="仿宋_GB2312" w:hAnsi="仿宋" w:eastAsia="仿宋_GB2312"/>
          <w:szCs w:val="32"/>
          <w:lang w:eastAsia="zh-CN"/>
        </w:rPr>
        <w:t>单位</w:t>
      </w:r>
      <w:r>
        <w:rPr>
          <w:rFonts w:hint="eastAsia" w:ascii="仿宋_GB2312" w:hAnsi="仿宋" w:eastAsia="仿宋_GB2312"/>
          <w:szCs w:val="32"/>
        </w:rPr>
        <w:t>按照预算管理要求使用非财政拨款结余弥补收支差额的金额。</w:t>
      </w:r>
    </w:p>
    <w:p>
      <w:pPr>
        <w:spacing w:line="580" w:lineRule="exact"/>
        <w:ind w:firstLine="640" w:firstLineChars="200"/>
        <w:rPr>
          <w:rFonts w:hint="eastAsia" w:ascii="仿宋_GB2312" w:eastAsia="仿宋_GB2312"/>
          <w:szCs w:val="32"/>
        </w:rPr>
      </w:pPr>
      <w:r>
        <w:rPr>
          <w:rFonts w:hint="eastAsia" w:ascii="黑体" w:hAnsi="黑体" w:eastAsia="黑体"/>
          <w:szCs w:val="32"/>
        </w:rPr>
        <w:t>八、年初结转和结余：</w:t>
      </w:r>
      <w:r>
        <w:rPr>
          <w:rFonts w:hint="eastAsia" w:ascii="仿宋_GB2312" w:eastAsia="仿宋_GB2312"/>
          <w:szCs w:val="32"/>
        </w:rPr>
        <w:t>指</w:t>
      </w:r>
      <w:r>
        <w:rPr>
          <w:rFonts w:hint="eastAsia" w:ascii="仿宋_GB2312" w:eastAsia="仿宋_GB2312"/>
          <w:szCs w:val="32"/>
          <w:lang w:eastAsia="zh-CN"/>
        </w:rPr>
        <w:t>单位</w:t>
      </w:r>
      <w:r>
        <w:rPr>
          <w:rFonts w:hint="eastAsia" w:ascii="仿宋_GB2312" w:eastAsia="仿宋_GB2312"/>
          <w:szCs w:val="32"/>
        </w:rPr>
        <w:t>以前年度尚未完成、结转到本年仍按原规定用途继续使用的资金，或项目已完成等产生的结余资金。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九、结余分配：</w:t>
      </w:r>
      <w:r>
        <w:rPr>
          <w:rFonts w:hint="eastAsia" w:ascii="仿宋_GB2312" w:eastAsia="仿宋_GB2312"/>
          <w:szCs w:val="32"/>
        </w:rPr>
        <w:t>指事业</w:t>
      </w:r>
      <w:r>
        <w:rPr>
          <w:rFonts w:hint="eastAsia" w:ascii="仿宋_GB2312" w:eastAsia="仿宋_GB2312"/>
          <w:szCs w:val="32"/>
          <w:lang w:eastAsia="zh-CN"/>
        </w:rPr>
        <w:t>单位</w:t>
      </w:r>
      <w:r>
        <w:rPr>
          <w:rFonts w:hint="eastAsia" w:ascii="仿宋_GB2312" w:eastAsia="仿宋_GB2312"/>
          <w:szCs w:val="32"/>
        </w:rPr>
        <w:t>缴纳的所得税以及从非财政拨款结余或经营结余中提取的各类结余。</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十、年末结转和结余：</w:t>
      </w:r>
      <w:r>
        <w:rPr>
          <w:rFonts w:hint="eastAsia" w:ascii="仿宋_GB2312" w:hAnsi="仿宋" w:eastAsia="仿宋_GB2312"/>
          <w:szCs w:val="32"/>
        </w:rPr>
        <w:t>指</w:t>
      </w:r>
      <w:r>
        <w:rPr>
          <w:rFonts w:hint="eastAsia" w:ascii="仿宋_GB2312" w:hAnsi="仿宋" w:eastAsia="仿宋_GB2312"/>
          <w:szCs w:val="32"/>
          <w:lang w:eastAsia="zh-CN"/>
        </w:rPr>
        <w:t>单位</w:t>
      </w:r>
      <w:r>
        <w:rPr>
          <w:rFonts w:hint="eastAsia" w:ascii="仿宋_GB2312" w:hAnsi="仿宋" w:eastAsia="仿宋_GB2312"/>
          <w:szCs w:val="32"/>
        </w:rPr>
        <w:t>本年度或以前年度预算安排、因客观条件发生变化未全部执行或未执行，结转到以后年度继续使用的资金，或项目已完成等产生的结余资金。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十一、基本支出：</w:t>
      </w:r>
      <w:r>
        <w:rPr>
          <w:rFonts w:hint="eastAsia" w:ascii="仿宋_GB2312" w:eastAsia="仿宋_GB2312"/>
          <w:szCs w:val="32"/>
        </w:rPr>
        <w:t>指</w:t>
      </w:r>
      <w:r>
        <w:rPr>
          <w:rFonts w:hint="eastAsia" w:ascii="仿宋_GB2312" w:eastAsia="仿宋_GB2312"/>
          <w:szCs w:val="32"/>
          <w:lang w:eastAsia="zh-CN"/>
        </w:rPr>
        <w:t>单位</w:t>
      </w:r>
      <w:r>
        <w:rPr>
          <w:rFonts w:hint="eastAsia" w:ascii="仿宋_GB2312" w:eastAsia="仿宋_GB2312"/>
          <w:szCs w:val="32"/>
        </w:rPr>
        <w:t>为保障机构正常运转、完成日常工作任务而发生的各项支出。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十二、项目支出：</w:t>
      </w:r>
      <w:r>
        <w:rPr>
          <w:rFonts w:hint="eastAsia" w:ascii="仿宋_GB2312" w:eastAsia="仿宋_GB2312"/>
          <w:szCs w:val="32"/>
        </w:rPr>
        <w:t>指</w:t>
      </w:r>
      <w:r>
        <w:rPr>
          <w:rFonts w:hint="eastAsia" w:ascii="仿宋_GB2312" w:eastAsia="仿宋_GB2312"/>
          <w:szCs w:val="32"/>
          <w:lang w:eastAsia="zh-CN"/>
        </w:rPr>
        <w:t>单位</w:t>
      </w:r>
      <w:r>
        <w:rPr>
          <w:rFonts w:hint="eastAsia" w:ascii="仿宋_GB2312" w:eastAsia="仿宋_GB2312"/>
          <w:szCs w:val="32"/>
        </w:rPr>
        <w:t>为完成特定的行政工作任务或事业发展目标，在基本支出之外发生的各项支出。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十三、经营支出：</w:t>
      </w:r>
      <w:r>
        <w:rPr>
          <w:rFonts w:hint="eastAsia" w:ascii="仿宋_GB2312" w:eastAsia="仿宋_GB2312"/>
          <w:szCs w:val="32"/>
        </w:rPr>
        <w:t>指事业</w:t>
      </w:r>
      <w:r>
        <w:rPr>
          <w:rFonts w:hint="eastAsia" w:ascii="仿宋_GB2312" w:eastAsia="仿宋_GB2312"/>
          <w:szCs w:val="32"/>
          <w:lang w:eastAsia="zh-CN"/>
        </w:rPr>
        <w:t>单位</w:t>
      </w:r>
      <w:r>
        <w:rPr>
          <w:rFonts w:hint="eastAsia" w:ascii="仿宋_GB2312" w:eastAsia="仿宋_GB2312"/>
          <w:szCs w:val="32"/>
        </w:rPr>
        <w:t>在专业业务活动及其辅助活动之外开展非独立核算经营活动发生的支出。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十四、“三公”经费：</w:t>
      </w:r>
      <w:r>
        <w:rPr>
          <w:rFonts w:hint="eastAsia" w:ascii="仿宋_GB2312" w:eastAsia="仿宋_GB2312"/>
          <w:szCs w:val="32"/>
        </w:rPr>
        <w:t>指</w:t>
      </w:r>
      <w:r>
        <w:rPr>
          <w:rFonts w:hint="eastAsia" w:ascii="仿宋_GB2312" w:eastAsia="仿宋_GB2312"/>
          <w:szCs w:val="32"/>
          <w:lang w:eastAsia="zh-CN"/>
        </w:rPr>
        <w:t>单位</w:t>
      </w:r>
      <w:r>
        <w:rPr>
          <w:rFonts w:hint="eastAsia" w:ascii="仿宋_GB2312" w:eastAsia="仿宋_GB2312"/>
          <w:szCs w:val="32"/>
        </w:rPr>
        <w:t>用财政拨款安排的因公出国（境）费、公务用车购置及运行维护费和公务接待费。其中，因公出国（境）费反映</w:t>
      </w:r>
      <w:r>
        <w:rPr>
          <w:rFonts w:hint="eastAsia" w:ascii="仿宋_GB2312" w:eastAsia="仿宋_GB2312"/>
          <w:szCs w:val="32"/>
          <w:lang w:eastAsia="zh-CN"/>
        </w:rPr>
        <w:t>单位</w:t>
      </w:r>
      <w:r>
        <w:rPr>
          <w:rFonts w:hint="eastAsia" w:ascii="仿宋_GB2312" w:eastAsia="仿宋_GB2312"/>
          <w:szCs w:val="32"/>
        </w:rPr>
        <w:t>公务出国（境）的国际旅费、国外城市间交通费、住宿费、伙食费、培训费、公杂费等支出；公务用车购置及运行维护费反映</w:t>
      </w:r>
      <w:r>
        <w:rPr>
          <w:rFonts w:hint="eastAsia" w:ascii="仿宋_GB2312" w:eastAsia="仿宋_GB2312"/>
          <w:szCs w:val="32"/>
          <w:lang w:eastAsia="zh-CN"/>
        </w:rPr>
        <w:t>单位</w:t>
      </w:r>
      <w:r>
        <w:rPr>
          <w:rFonts w:hint="eastAsia" w:ascii="仿宋_GB2312" w:eastAsia="仿宋_GB2312"/>
          <w:szCs w:val="32"/>
        </w:rPr>
        <w:t>公务用车购置支出（含车辆购置税）及按规定保留的公务用车燃料费、维修费、过桥过路费、保险费、安全奖励费用等支出；公务接待费反映</w:t>
      </w:r>
      <w:r>
        <w:rPr>
          <w:rFonts w:hint="eastAsia" w:ascii="仿宋_GB2312" w:eastAsia="仿宋_GB2312"/>
          <w:szCs w:val="32"/>
          <w:lang w:eastAsia="zh-CN"/>
        </w:rPr>
        <w:t>单位</w:t>
      </w:r>
      <w:r>
        <w:rPr>
          <w:rFonts w:hint="eastAsia" w:ascii="仿宋_GB2312" w:eastAsia="仿宋_GB2312"/>
          <w:szCs w:val="32"/>
        </w:rPr>
        <w:t>按规定开支的各类公务接待（含外宾接待）支出。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十五、机关运行经费：</w:t>
      </w:r>
      <w:r>
        <w:rPr>
          <w:rFonts w:hint="eastAsia" w:ascii="仿宋_GB2312" w:eastAsia="仿宋_GB2312"/>
          <w:szCs w:val="32"/>
        </w:rPr>
        <w:t>指为保障行政</w:t>
      </w:r>
      <w:r>
        <w:rPr>
          <w:rFonts w:hint="eastAsia" w:ascii="仿宋_GB2312" w:eastAsia="仿宋_GB2312"/>
          <w:szCs w:val="32"/>
          <w:lang w:eastAsia="zh-CN"/>
        </w:rPr>
        <w:t>单位</w:t>
      </w:r>
      <w:r>
        <w:rPr>
          <w:rFonts w:hint="eastAsia" w:ascii="仿宋_GB2312" w:eastAsia="仿宋_GB2312"/>
          <w:szCs w:val="32"/>
        </w:rPr>
        <w:t>（包括参照公务员法管理的事业</w:t>
      </w:r>
      <w:r>
        <w:rPr>
          <w:rFonts w:hint="eastAsia" w:ascii="仿宋_GB2312" w:eastAsia="仿宋_GB2312"/>
          <w:szCs w:val="32"/>
          <w:lang w:eastAsia="zh-CN"/>
        </w:rPr>
        <w:t>单位</w:t>
      </w:r>
      <w:r>
        <w:rPr>
          <w:rFonts w:hint="eastAsia" w:ascii="仿宋_GB2312" w:eastAsia="仿宋_GB231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10" w:lineRule="exact"/>
        <w:ind w:firstLine="640" w:firstLineChars="200"/>
        <w:rPr>
          <w:rFonts w:hint="eastAsia" w:ascii="仿宋_GB2312" w:hAnsi="黑体" w:eastAsia="仿宋_GB2312"/>
          <w:sz w:val="32"/>
          <w:szCs w:val="32"/>
          <w:lang w:eastAsia="zh-CN"/>
        </w:rPr>
      </w:pPr>
      <w:r>
        <w:rPr>
          <w:rFonts w:hint="eastAsia" w:ascii="黑体" w:hAnsi="黑体" w:eastAsia="黑体"/>
          <w:szCs w:val="32"/>
        </w:rPr>
        <w:t>十六、201一般公共服务支出</w:t>
      </w:r>
      <w:r>
        <w:rPr>
          <w:rFonts w:hint="eastAsia" w:ascii="仿宋_GB2312" w:hAnsi="黑体" w:eastAsia="仿宋_GB2312"/>
          <w:sz w:val="32"/>
          <w:szCs w:val="32"/>
        </w:rPr>
        <w:t>（类，反映政府提供一般公共服务的支出）</w:t>
      </w:r>
      <w:r>
        <w:rPr>
          <w:rFonts w:hint="eastAsia" w:ascii="仿宋_GB2312" w:hAnsi="黑体" w:eastAsia="仿宋_GB2312"/>
          <w:sz w:val="32"/>
          <w:szCs w:val="32"/>
          <w:lang w:val="en-US" w:eastAsia="zh-CN"/>
        </w:rPr>
        <w:t>03</w:t>
      </w:r>
      <w:r>
        <w:rPr>
          <w:rFonts w:hint="eastAsia" w:ascii="仿宋_GB2312" w:hAnsi="黑体" w:eastAsia="仿宋_GB2312"/>
          <w:sz w:val="32"/>
          <w:szCs w:val="32"/>
        </w:rPr>
        <w:t>政府办公厅（室）及相关机构事务（款，反映</w:t>
      </w:r>
      <w:r>
        <w:rPr>
          <w:rFonts w:hint="eastAsia" w:ascii="仿宋_GB2312" w:hAnsi="黑体" w:eastAsia="仿宋_GB2312"/>
          <w:sz w:val="32"/>
          <w:szCs w:val="32"/>
          <w:lang w:eastAsia="zh-CN"/>
        </w:rPr>
        <w:t>各级</w:t>
      </w:r>
      <w:r>
        <w:rPr>
          <w:rFonts w:hint="eastAsia" w:ascii="仿宋_GB2312" w:hAnsi="黑体" w:eastAsia="仿宋_GB2312"/>
          <w:sz w:val="32"/>
          <w:szCs w:val="32"/>
        </w:rPr>
        <w:t>、政府办公厅（室）及相关机构</w:t>
      </w:r>
      <w:r>
        <w:rPr>
          <w:rFonts w:hint="eastAsia" w:ascii="仿宋_GB2312" w:hAnsi="黑体" w:eastAsia="仿宋_GB2312"/>
          <w:sz w:val="32"/>
          <w:szCs w:val="32"/>
          <w:lang w:eastAsia="zh-CN"/>
        </w:rPr>
        <w:t>的</w:t>
      </w:r>
      <w:r>
        <w:rPr>
          <w:rFonts w:hint="eastAsia" w:ascii="仿宋_GB2312" w:hAnsi="黑体" w:eastAsia="仿宋_GB2312"/>
          <w:sz w:val="32"/>
          <w:szCs w:val="32"/>
        </w:rPr>
        <w:t>支出）01行政运行（项，反映行政单位（包括实行公务员管理的事业单位）的基本支出）</w:t>
      </w:r>
      <w:r>
        <w:rPr>
          <w:rFonts w:hint="eastAsia" w:ascii="仿宋_GB2312" w:hAnsi="黑体" w:eastAsia="仿宋_GB2312"/>
          <w:sz w:val="32"/>
          <w:szCs w:val="32"/>
          <w:lang w:val="en-US" w:eastAsia="zh-CN"/>
        </w:rPr>
        <w:t>32</w:t>
      </w:r>
      <w:r>
        <w:rPr>
          <w:rFonts w:hint="eastAsia" w:ascii="仿宋_GB2312" w:hAnsi="黑体" w:eastAsia="仿宋_GB2312"/>
          <w:sz w:val="32"/>
          <w:szCs w:val="32"/>
        </w:rPr>
        <w:t>（款，</w:t>
      </w:r>
      <w:r>
        <w:rPr>
          <w:rFonts w:hint="eastAsia" w:ascii="仿宋_GB2312" w:hAnsi="黑体" w:eastAsia="仿宋_GB2312"/>
          <w:sz w:val="32"/>
          <w:szCs w:val="32"/>
          <w:lang w:eastAsia="zh-CN"/>
        </w:rPr>
        <w:t>反映中国共产党组织单位的支出）</w:t>
      </w:r>
      <w:r>
        <w:rPr>
          <w:rFonts w:hint="eastAsia" w:ascii="仿宋_GB2312" w:hAnsi="黑体" w:eastAsia="仿宋_GB2312"/>
          <w:sz w:val="32"/>
          <w:szCs w:val="32"/>
          <w:lang w:val="en-US" w:eastAsia="zh-CN"/>
        </w:rPr>
        <w:t>99其他组织事务支出</w:t>
      </w:r>
      <w:r>
        <w:rPr>
          <w:rFonts w:hint="eastAsia" w:ascii="仿宋_GB2312" w:hAnsi="黑体" w:eastAsia="仿宋_GB2312"/>
          <w:sz w:val="32"/>
          <w:szCs w:val="32"/>
        </w:rPr>
        <w:t>（项，</w:t>
      </w:r>
      <w:r>
        <w:rPr>
          <w:rFonts w:hint="eastAsia" w:ascii="仿宋_GB2312" w:hAnsi="黑体" w:eastAsia="仿宋_GB2312"/>
          <w:sz w:val="32"/>
          <w:szCs w:val="32"/>
          <w:lang w:eastAsia="zh-CN"/>
        </w:rPr>
        <w:t>反映除上述项目以外其他用于中国共产党组织单位的事务支出）。</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205教育支出</w:t>
      </w:r>
      <w:r>
        <w:rPr>
          <w:rFonts w:hint="eastAsia" w:ascii="仿宋_GB2312" w:hAnsi="黑体" w:eastAsia="仿宋_GB2312"/>
          <w:sz w:val="32"/>
          <w:szCs w:val="32"/>
          <w:lang w:val="en-US" w:eastAsia="zh-CN"/>
        </w:rPr>
        <w:t>（类，反映政府教育事务支出）02普通教育（款，反映各类普通教育支出）01学前教育（项，反映各单位举办的学前教育支出）02小学教育（项，反映各单位举办的小学教育支出）。</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208</w:t>
      </w:r>
      <w:r>
        <w:rPr>
          <w:rFonts w:hint="default" w:ascii="黑体" w:hAnsi="黑体" w:eastAsia="黑体"/>
          <w:szCs w:val="32"/>
          <w:lang w:val="en-US" w:eastAsia="zh-CN"/>
        </w:rPr>
        <w:t>社会保障和就业支出</w:t>
      </w:r>
      <w:r>
        <w:rPr>
          <w:rFonts w:hint="eastAsia" w:ascii="仿宋_GB2312" w:hAnsi="黑体" w:eastAsia="仿宋_GB2312"/>
          <w:sz w:val="32"/>
          <w:szCs w:val="32"/>
          <w:lang w:val="en-US" w:eastAsia="zh-CN"/>
        </w:rPr>
        <w:t>（类，反映政府在</w:t>
      </w:r>
      <w:r>
        <w:rPr>
          <w:rFonts w:hint="default" w:ascii="仿宋_GB2312" w:hAnsi="黑体" w:eastAsia="仿宋_GB2312"/>
          <w:sz w:val="32"/>
          <w:szCs w:val="32"/>
          <w:lang w:val="en-US" w:eastAsia="zh-CN"/>
        </w:rPr>
        <w:t>社会保障和就业</w:t>
      </w:r>
      <w:r>
        <w:rPr>
          <w:rFonts w:hint="eastAsia" w:ascii="仿宋_GB2312" w:hAnsi="黑体" w:eastAsia="仿宋_GB2312"/>
          <w:sz w:val="32"/>
          <w:szCs w:val="32"/>
          <w:lang w:val="en-US" w:eastAsia="zh-CN"/>
        </w:rPr>
        <w:t>方面的支出）02民政管理事务（款，反映民政管理事务支出）08基层政权建设和社区治理（项，反映开张城乡社区治理、城乡社区服务、村民自治、村务公开乡镇服务能力建设等基层政权建设和社区治理工作的支出）。</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211节能环保支出</w:t>
      </w:r>
      <w:r>
        <w:rPr>
          <w:rFonts w:hint="eastAsia" w:ascii="仿宋_GB2312" w:hAnsi="黑体" w:eastAsia="仿宋_GB2312"/>
          <w:sz w:val="32"/>
          <w:szCs w:val="32"/>
          <w:lang w:val="en-US" w:eastAsia="zh-CN"/>
        </w:rPr>
        <w:t>（类，反映政府节能环保支出）04自然生态保护（款，反映生态保护、生态修复、生物多样性保护、农村环境保护和生物安全管理等方面的支出）02农村环境保护（项，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 污染防治、畜禽养殖污染防治、土壤污染防治;农产品产地环境监测与监管，有机食品基地建设与管理，秸秆等农业废弃物综合利用，农村环境保护能力建设宣教、试点示范等。）</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212城乡社区支出</w:t>
      </w:r>
      <w:r>
        <w:rPr>
          <w:rFonts w:hint="eastAsia" w:ascii="仿宋_GB2312" w:hAnsi="黑体" w:eastAsia="仿宋_GB2312"/>
          <w:sz w:val="32"/>
          <w:szCs w:val="32"/>
          <w:lang w:val="en-US" w:eastAsia="zh-CN"/>
        </w:rPr>
        <w:t>（类，反映政府城乡社区支出）08国有土地使用权出让收入安排的支出（款，反映用不含计提和划转部分的国有土地使用权出让收入安排的支出。不包括市县级政府当年按规定用土地出让收入向中央和省级政府缴纳新增建设用地土地有偿使用费支出）04农村基础设施建设支出（项，反映土地出让收入</w:t>
      </w:r>
      <w:bookmarkStart w:id="568" w:name="_GoBack"/>
      <w:bookmarkEnd w:id="568"/>
      <w:r>
        <w:rPr>
          <w:rFonts w:hint="eastAsia" w:ascii="仿宋_GB2312" w:hAnsi="黑体" w:eastAsia="仿宋_GB2312"/>
          <w:sz w:val="32"/>
          <w:szCs w:val="32"/>
          <w:lang w:val="en-US" w:eastAsia="zh-CN"/>
        </w:rPr>
        <w:t>用于农村供水保障、村庄公共设施建设和管护以及与农业农村直接相关的以工代赈等方面的支出）。</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213农林水支出</w:t>
      </w:r>
      <w:r>
        <w:rPr>
          <w:rFonts w:hint="eastAsia" w:ascii="仿宋_GB2312" w:hAnsi="黑体" w:eastAsia="仿宋_GB2312"/>
          <w:sz w:val="32"/>
          <w:szCs w:val="32"/>
          <w:lang w:val="en-US" w:eastAsia="zh-CN"/>
        </w:rPr>
        <w:t>（类，反映政府农林水事务支出）07农村综合改革（款，反映农村综合改革方面的支出）05对村民委员会和村党支部的补助（项，反映各级财政对村民委员会和村党支部的补助支出，以及支持建立县级基本财力保障机制安排的村级组织运转奖补资金）。</w:t>
      </w:r>
    </w:p>
    <w:p>
      <w:pPr>
        <w:spacing w:line="510" w:lineRule="exact"/>
        <w:ind w:firstLine="800" w:firstLineChars="250"/>
        <w:rPr>
          <w:rFonts w:hint="eastAsia" w:ascii="仿宋_GB2312" w:hAnsi="黑体" w:eastAsia="仿宋_GB2312"/>
          <w:sz w:val="32"/>
          <w:szCs w:val="32"/>
          <w:lang w:val="en-US" w:eastAsia="zh-CN"/>
        </w:rPr>
      </w:pPr>
      <w:r>
        <w:rPr>
          <w:rFonts w:hint="eastAsia" w:ascii="黑体" w:hAnsi="黑体" w:eastAsia="黑体"/>
          <w:szCs w:val="32"/>
          <w:lang w:val="en-US" w:eastAsia="zh-CN"/>
        </w:rPr>
        <w:t>221住房保障支出</w:t>
      </w:r>
      <w:r>
        <w:rPr>
          <w:rFonts w:hint="eastAsia" w:ascii="仿宋_GB2312" w:hAnsi="黑体" w:eastAsia="仿宋_GB2312"/>
          <w:sz w:val="32"/>
          <w:szCs w:val="32"/>
          <w:lang w:val="en-US" w:eastAsia="zh-CN"/>
        </w:rPr>
        <w:t>（类，集中反映政府用于住房方面的支出）01保障性安居工程支出（款，反映用于保障性住房方面的支出）99其他保障性安居工程支出（项，反映除上述项目以外其他用于保障性住房方面的支出）。</w:t>
      </w: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第五部分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 xml:space="preserve">  附  件</w:t>
      </w: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jc w:val="both"/>
        <w:rPr>
          <w:rFonts w:hint="eastAsia" w:ascii="方正小标宋简体" w:eastAsia="方正小标宋简体"/>
          <w:spacing w:val="60"/>
          <w:sz w:val="48"/>
        </w:rPr>
      </w:pPr>
    </w:p>
    <w:p>
      <w:pPr>
        <w:rPr>
          <w:rFonts w:hint="eastAsia" w:ascii="方正小标宋简体" w:eastAsia="方正小标宋简体"/>
          <w:spacing w:val="60"/>
          <w:sz w:val="48"/>
        </w:rPr>
      </w:pPr>
      <w:r>
        <w:rPr>
          <w:rFonts w:hint="eastAsia" w:ascii="方正小标宋简体" w:eastAsia="方正小标宋简体"/>
          <w:spacing w:val="60"/>
          <w:sz w:val="48"/>
        </w:rPr>
        <w:br w:type="page"/>
      </w:r>
    </w:p>
    <w:p>
      <w:pPr>
        <w:rPr>
          <w:rFonts w:hint="eastAsia" w:ascii="方正小标宋简体" w:eastAsia="方正小标宋简体"/>
          <w:spacing w:val="60"/>
          <w:sz w:val="48"/>
        </w:rPr>
        <w:sectPr>
          <w:pgSz w:w="11906" w:h="16838"/>
          <w:pgMar w:top="2098" w:right="1418" w:bottom="1871" w:left="1531" w:header="851" w:footer="992" w:gutter="0"/>
          <w:cols w:space="720" w:num="1"/>
          <w:docGrid w:type="lines" w:linePitch="435" w:charSpace="0"/>
        </w:sectPr>
      </w:pPr>
    </w:p>
    <w:p>
      <w:pPr>
        <w:spacing w:afterLines="50" w:line="600" w:lineRule="exact"/>
        <w:ind w:firstLine="42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2022年度项目支出绩效自评情况汇总表</w:t>
      </w:r>
    </w:p>
    <w:p>
      <w:pPr>
        <w:spacing w:beforeLines="100" w:line="400" w:lineRule="exact"/>
        <w:ind w:firstLine="140" w:firstLineChars="50"/>
        <w:jc w:val="left"/>
        <w:rPr>
          <w:rFonts w:hint="eastAsia" w:ascii="楷体_GB2312" w:eastAsia="楷体_GB2312"/>
          <w:sz w:val="28"/>
          <w:szCs w:val="28"/>
          <w:lang w:eastAsia="zh-CN"/>
        </w:rPr>
      </w:pPr>
      <w:r>
        <w:rPr>
          <w:rFonts w:hint="eastAsia" w:ascii="楷体_GB2312" w:eastAsia="楷体_GB2312"/>
          <w:sz w:val="28"/>
          <w:szCs w:val="28"/>
          <w:lang w:eastAsia="zh-CN"/>
        </w:rPr>
        <w:t>单位</w:t>
      </w:r>
      <w:r>
        <w:rPr>
          <w:rFonts w:hint="eastAsia" w:ascii="楷体_GB2312" w:eastAsia="楷体_GB2312"/>
          <w:sz w:val="28"/>
          <w:szCs w:val="28"/>
          <w:lang/>
        </w:rPr>
        <w:t>：</w:t>
      </w:r>
      <w:r>
        <w:rPr>
          <w:rFonts w:hint="eastAsia" w:ascii="楷体_GB2312" w:eastAsia="楷体_GB2312"/>
          <w:sz w:val="28"/>
          <w:szCs w:val="28"/>
          <w:lang w:eastAsia="zh-CN"/>
        </w:rPr>
        <w:t>青岛市即墨区潮海街道办事处</w:t>
      </w:r>
    </w:p>
    <w:tbl>
      <w:tblPr>
        <w:tblW w:w="1461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48"/>
        <w:gridCol w:w="6475"/>
        <w:gridCol w:w="3825"/>
        <w:gridCol w:w="1440"/>
        <w:gridCol w:w="14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rPr>
              <w:t>序号</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rPr>
              <w:t>项目名称</w:t>
            </w:r>
          </w:p>
        </w:tc>
        <w:tc>
          <w:tcPr>
            <w:tcW w:w="3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rPr>
              <w:t>资金使用单位</w:t>
            </w:r>
          </w:p>
        </w:tc>
        <w:tc>
          <w:tcPr>
            <w:tcW w:w="1440" w:type="dxa"/>
            <w:tcBorders>
              <w:top w:val="single" w:color="000000" w:sz="4" w:space="0"/>
              <w:left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rPr>
              <w:t>自评得分</w:t>
            </w:r>
          </w:p>
        </w:tc>
        <w:tc>
          <w:tcPr>
            <w:tcW w:w="1427" w:type="dxa"/>
            <w:tcBorders>
              <w:top w:val="single" w:color="000000" w:sz="4" w:space="0"/>
              <w:left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rPr>
              <w:t>自评等级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b/>
                <w:color w:val="000000"/>
                <w:sz w:val="24"/>
              </w:rPr>
            </w:pPr>
            <w:r>
              <w:rPr>
                <w:rFonts w:hint="eastAsia" w:ascii="仿宋_GB2312" w:hAnsi="宋体" w:eastAsia="仿宋_GB2312" w:cs="仿宋_GB2312"/>
                <w:b/>
                <w:color w:val="000000"/>
                <w:kern w:val="0"/>
                <w:sz w:val="24"/>
                <w:lang/>
              </w:rPr>
              <w:t>中央对地方转移支付项目绩效自评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rPr>
              <w:t>1</w:t>
            </w:r>
          </w:p>
        </w:tc>
        <w:tc>
          <w:tcPr>
            <w:tcW w:w="647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2022年保障性安居工程</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r>
              <w:rPr>
                <w:rFonts w:hint="eastAsia" w:ascii="仿宋_GB2312" w:hAnsi="宋体" w:eastAsia="仿宋_GB2312" w:cs="仿宋_GB2312"/>
                <w:b/>
                <w:color w:val="000000"/>
                <w:kern w:val="0"/>
                <w:sz w:val="24"/>
                <w:lang w:eastAsia="zh-CN"/>
              </w:rPr>
              <w:t>区级</w:t>
            </w:r>
            <w:r>
              <w:rPr>
                <w:rFonts w:hint="eastAsia" w:ascii="仿宋_GB2312" w:hAnsi="宋体" w:eastAsia="仿宋_GB2312" w:cs="仿宋_GB2312"/>
                <w:b/>
                <w:color w:val="000000"/>
                <w:kern w:val="0"/>
                <w:sz w:val="24"/>
                <w:lang/>
              </w:rPr>
              <w:t>对地方转移支付项目绩效自评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rPr>
              <w:t>1</w:t>
            </w:r>
          </w:p>
        </w:tc>
        <w:tc>
          <w:tcPr>
            <w:tcW w:w="647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农村街巷硬化奖补资金</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rPr>
              <w:t>2</w:t>
            </w:r>
          </w:p>
        </w:tc>
        <w:tc>
          <w:tcPr>
            <w:tcW w:w="647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农村冬季清洁取暖改造</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3</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村级公益事业一事一议财政奖补</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2"/>
                <w:szCs w:val="22"/>
              </w:rPr>
            </w:pPr>
            <w:r>
              <w:rPr>
                <w:rFonts w:hint="eastAsia" w:ascii="仿宋_GB2312" w:hAnsi="宋体" w:eastAsia="仿宋_GB2312" w:cs="仿宋_GB2312"/>
                <w:b/>
                <w:color w:val="000000"/>
                <w:kern w:val="0"/>
                <w:sz w:val="24"/>
                <w:lang/>
              </w:rPr>
              <w:t>区本级支出项目绩效自评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1</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eastAsia="仿宋_GB2312" w:cs="仿宋_GB2312"/>
                <w:color w:val="000000"/>
                <w:kern w:val="0"/>
                <w:sz w:val="24"/>
                <w:lang/>
              </w:rPr>
            </w:pPr>
            <w:r>
              <w:rPr>
                <w:rFonts w:hint="eastAsia" w:ascii="仿宋_GB2312" w:hAnsi="宋体" w:eastAsia="仿宋_GB2312" w:cs="仿宋_GB2312"/>
                <w:color w:val="000000"/>
                <w:kern w:val="0"/>
                <w:sz w:val="24"/>
                <w:lang/>
              </w:rPr>
              <w:t>落实公办及集体幼儿园非公办教职工待遇</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2</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eastAsia="仿宋_GB2312" w:cs="仿宋_GB2312"/>
                <w:color w:val="000000"/>
                <w:kern w:val="0"/>
                <w:sz w:val="24"/>
                <w:lang/>
              </w:rPr>
            </w:pPr>
            <w:r>
              <w:rPr>
                <w:rFonts w:hint="eastAsia" w:ascii="仿宋_GB2312" w:hAnsi="宋体" w:eastAsia="仿宋_GB2312" w:cs="仿宋_GB2312"/>
                <w:color w:val="000000"/>
                <w:kern w:val="0"/>
                <w:sz w:val="24"/>
                <w:lang/>
              </w:rPr>
              <w:t>城市社区办公经费</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3</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eastAsia="仿宋_GB2312" w:cs="仿宋_GB2312"/>
                <w:color w:val="000000"/>
                <w:kern w:val="0"/>
                <w:sz w:val="24"/>
                <w:lang/>
              </w:rPr>
            </w:pPr>
            <w:r>
              <w:rPr>
                <w:rFonts w:hint="eastAsia" w:ascii="仿宋_GB2312" w:hAnsi="宋体" w:eastAsia="仿宋_GB2312" w:cs="仿宋_GB2312"/>
                <w:color w:val="000000"/>
                <w:kern w:val="0"/>
                <w:sz w:val="24"/>
                <w:lang/>
              </w:rPr>
              <w:t>非公党建工作经费</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4</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eastAsia="仿宋_GB2312" w:cs="仿宋_GB2312"/>
                <w:color w:val="000000"/>
                <w:kern w:val="0"/>
                <w:sz w:val="24"/>
                <w:lang/>
              </w:rPr>
            </w:pPr>
            <w:r>
              <w:rPr>
                <w:rFonts w:hint="eastAsia" w:ascii="仿宋_GB2312" w:hAnsi="宋体" w:eastAsia="仿宋_GB2312" w:cs="仿宋_GB2312"/>
                <w:color w:val="000000"/>
                <w:kern w:val="0"/>
                <w:sz w:val="24"/>
                <w:lang/>
              </w:rPr>
              <w:t>城市社区党组织服务群众专项经费</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5</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sz w:val="24"/>
              </w:rPr>
              <w:t>退休人员精神文明奖</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6</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sz w:val="24"/>
              </w:rPr>
              <w:t>2021年度考核奖</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7</w:t>
            </w:r>
          </w:p>
        </w:tc>
        <w:tc>
          <w:tcPr>
            <w:tcW w:w="6475"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仿宋_GB2312"/>
                <w:color w:val="000000"/>
                <w:sz w:val="24"/>
              </w:rPr>
            </w:pPr>
            <w:r>
              <w:rPr>
                <w:rFonts w:hint="eastAsia" w:ascii="仿宋_GB2312" w:hAnsi="宋体" w:eastAsia="仿宋_GB2312" w:cs="仿宋_GB2312"/>
                <w:color w:val="000000"/>
                <w:sz w:val="24"/>
              </w:rPr>
              <w:t>回租回购民办园奖补</w:t>
            </w:r>
          </w:p>
        </w:tc>
        <w:tc>
          <w:tcPr>
            <w:tcW w:w="38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潮海街道</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lang w:eastAsia="zh-CN"/>
              </w:rPr>
              <w:t>优</w:t>
            </w:r>
          </w:p>
        </w:tc>
      </w:tr>
    </w:tbl>
    <w:p>
      <w:pPr>
        <w:rPr>
          <w:rFonts w:hint="eastAsia" w:ascii="方正小标宋简体" w:eastAsia="方正小标宋简体"/>
          <w:spacing w:val="60"/>
          <w:sz w:val="48"/>
        </w:rPr>
        <w:sectPr>
          <w:pgSz w:w="16838" w:h="11906" w:orient="landscape"/>
          <w:pgMar w:top="1531" w:right="2098" w:bottom="1418" w:left="1871" w:header="851" w:footer="992" w:gutter="0"/>
          <w:cols w:space="720" w:num="1"/>
          <w:docGrid w:type="lines" w:linePitch="435" w:charSpace="0"/>
        </w:sectPr>
      </w:pPr>
      <w:r>
        <w:rPr>
          <w:rFonts w:hint="eastAsia" w:ascii="方正小标宋简体" w:eastAsia="方正小标宋简体"/>
          <w:spacing w:val="60"/>
          <w:sz w:val="48"/>
        </w:rPr>
        <w:br w:type="page"/>
      </w: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93"/>
        <w:gridCol w:w="713"/>
        <w:gridCol w:w="862"/>
        <w:gridCol w:w="1171"/>
        <w:gridCol w:w="1263"/>
        <w:gridCol w:w="1150"/>
        <w:gridCol w:w="1225"/>
        <w:gridCol w:w="13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619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2020年农村街巷硬化奖补资金（第二批）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619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17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00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7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1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009"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对本辖区泉头村等5个村庄实施街巷硬化</w:t>
            </w:r>
          </w:p>
        </w:tc>
        <w:tc>
          <w:tcPr>
            <w:tcW w:w="3765"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已完成对本辖区泉头村等5个村庄实施街巷硬化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193"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1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通过验收的村庄个数</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5</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5</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124.6425</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改造提村庄建设</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进一步改善村庄面貌</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74"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56"/>
        <w:gridCol w:w="765"/>
        <w:gridCol w:w="940"/>
        <w:gridCol w:w="1269"/>
        <w:gridCol w:w="1146"/>
        <w:gridCol w:w="1014"/>
        <w:gridCol w:w="1102"/>
        <w:gridCol w:w="14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6006"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农村冬季清洁取暖改造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6006"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69"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6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14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6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4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6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14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6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4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120"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59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120"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农村冬季清洁取暖电代煤气代煤改造</w:t>
            </w:r>
          </w:p>
        </w:tc>
        <w:tc>
          <w:tcPr>
            <w:tcW w:w="3591"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已完成农村冬季清洁取暖电代煤气代煤改造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56"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通过验收安装的台数</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120</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35.52</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改造提村庄建设</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7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进一步改善村庄面貌</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7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7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5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11"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8"/>
        <w:gridCol w:w="775"/>
        <w:gridCol w:w="955"/>
        <w:gridCol w:w="1287"/>
        <w:gridCol w:w="1159"/>
        <w:gridCol w:w="971"/>
        <w:gridCol w:w="1061"/>
        <w:gridCol w:w="14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2022年保障性安居工程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8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农村冬季清洁取暖电代煤气代煤改造</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已完成农村冬季清洁取暖电代煤气代煤改造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68"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通过验收的安置区个数</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265</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改造安置区建设</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699"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7"/>
        <w:gridCol w:w="748"/>
        <w:gridCol w:w="916"/>
        <w:gridCol w:w="1239"/>
        <w:gridCol w:w="1182"/>
        <w:gridCol w:w="1056"/>
        <w:gridCol w:w="114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0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6066"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落实教师待遇补助--落实公办及集体幼儿园非公办教职工待遇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6066"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0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89"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39"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19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219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19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219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0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19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08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64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085"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农村冬季清洁取暖电代煤气代煤改造</w:t>
            </w:r>
          </w:p>
        </w:tc>
        <w:tc>
          <w:tcPr>
            <w:tcW w:w="3645"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已完成农村冬季清洁取暖电代煤气代煤改造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37"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非公办教职工工资人数</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96</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96</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非公办教职工工资发放及时率</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非公办教职工工资拨付及时性</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272.07</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促进社会进步，提高人民生活水平</w:t>
            </w:r>
          </w:p>
        </w:tc>
        <w:tc>
          <w:tcPr>
            <w:tcW w:w="10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0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49"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促进和谐社会建设的可持续性</w:t>
            </w:r>
          </w:p>
        </w:tc>
        <w:tc>
          <w:tcPr>
            <w:tcW w:w="10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1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49"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10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1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49"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37"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30"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8"/>
        <w:gridCol w:w="775"/>
        <w:gridCol w:w="955"/>
        <w:gridCol w:w="1287"/>
        <w:gridCol w:w="1159"/>
        <w:gridCol w:w="971"/>
        <w:gridCol w:w="1061"/>
        <w:gridCol w:w="14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年城市社区办公经费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8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2021年城市社区正常运转</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已完成2021年城市社区正常运转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68"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通过验收的城市社区个数</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14</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14</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196</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改造城市社区建设</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699"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1"/>
        <w:gridCol w:w="967"/>
        <w:gridCol w:w="1178"/>
        <w:gridCol w:w="1596"/>
        <w:gridCol w:w="1464"/>
        <w:gridCol w:w="769"/>
        <w:gridCol w:w="809"/>
        <w:gridCol w:w="11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316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801"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非公党建工作经费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80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316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5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157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1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57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16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46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7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57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16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166"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9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46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7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0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520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274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0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5205"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根据《关于进一步加强城市基层党建工作经费保障和管理的通知》（鲁财行【2017】41号）文件，用于向受党组织选派到两新组织从事党建工作的人员发放适当工作补助及两新组织开展工作经费。</w:t>
            </w:r>
          </w:p>
        </w:tc>
        <w:tc>
          <w:tcPr>
            <w:tcW w:w="2741"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总体运转良好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021"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9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1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11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非公党组织个数</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0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改造城市社区建设</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8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06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8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63"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306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8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163"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11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306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8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163"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021"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9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0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0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946"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0"/>
        <w:gridCol w:w="1008"/>
        <w:gridCol w:w="1224"/>
        <w:gridCol w:w="1660"/>
        <w:gridCol w:w="1527"/>
        <w:gridCol w:w="727"/>
        <w:gridCol w:w="756"/>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320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765"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城市社区党组织服务群众专项经费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76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320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185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66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14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6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5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14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6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5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8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6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5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14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320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6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5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8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9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541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257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5419"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根据《&lt;关于进一步加强城市社区党组织建设的若干意见&gt;的通知》（鲁办发〔2017〕39号）、《青岛市委办公厅关于印发&lt;青岛市城市基层党建工作指导标准（试行）&gt;的通知》（青办发〔2019〕7号）做好2022年城市社区党组织服务群众工作，不断提高社区党建工作水平。</w:t>
            </w:r>
          </w:p>
        </w:tc>
        <w:tc>
          <w:tcPr>
            <w:tcW w:w="2578"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总体运转良好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970"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10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党组织服务群众城市社区个数</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14</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14</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280</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1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改造城市社区建设</w:t>
            </w:r>
          </w:p>
        </w:tc>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7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318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促进环境改善提升</w:t>
            </w:r>
          </w:p>
        </w:tc>
        <w:tc>
          <w:tcPr>
            <w:tcW w:w="7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7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9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318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7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7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09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318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7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75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09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97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10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75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997"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6"/>
        <w:gridCol w:w="731"/>
        <w:gridCol w:w="890"/>
        <w:gridCol w:w="1206"/>
        <w:gridCol w:w="1221"/>
        <w:gridCol w:w="1102"/>
        <w:gridCol w:w="1181"/>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83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6130"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退休人员精神文明奖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613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83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60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2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2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2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22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14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2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28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2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228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14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83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0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2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28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048"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70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048"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发放退休人员精神文明奖。</w:t>
            </w:r>
          </w:p>
        </w:tc>
        <w:tc>
          <w:tcPr>
            <w:tcW w:w="3703"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已完成退休人员精神文明奖发放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16"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退休人员人数</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94.7153</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改造辖区建设</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1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42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1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2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1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2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16"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51"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93"/>
        <w:gridCol w:w="713"/>
        <w:gridCol w:w="862"/>
        <w:gridCol w:w="1171"/>
        <w:gridCol w:w="1263"/>
        <w:gridCol w:w="1150"/>
        <w:gridCol w:w="1225"/>
        <w:gridCol w:w="13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619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2021年度考核奖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619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76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17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7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7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2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3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00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7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1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009"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发放在编人员考核奖。</w:t>
            </w:r>
          </w:p>
        </w:tc>
        <w:tc>
          <w:tcPr>
            <w:tcW w:w="3765"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发放在编人员考核奖。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193"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1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3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考核奖发放人数</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168</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168</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336.3375</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改造辖区建设</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2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3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8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3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11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2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39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19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8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34"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1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3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74"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8"/>
        <w:gridCol w:w="775"/>
        <w:gridCol w:w="955"/>
        <w:gridCol w:w="1287"/>
        <w:gridCol w:w="1159"/>
        <w:gridCol w:w="971"/>
        <w:gridCol w:w="1061"/>
        <w:gridCol w:w="14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回租回购民办园奖补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96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8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9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176"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回租回购民办园以奖代补。</w:t>
            </w:r>
          </w:p>
        </w:tc>
        <w:tc>
          <w:tcPr>
            <w:tcW w:w="3523"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回租回购民办园以奖代补。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68"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4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民办园个数</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5</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5</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300</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改造辖区建设</w:t>
            </w: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49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4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9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0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49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4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699"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tbl>
      <w:tblPr>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768"/>
        <w:gridCol w:w="946"/>
        <w:gridCol w:w="1275"/>
        <w:gridCol w:w="1151"/>
        <w:gridCol w:w="983"/>
        <w:gridCol w:w="1074"/>
        <w:gridCol w:w="1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8967" w:type="dxa"/>
            <w:gridSpan w:val="8"/>
            <w:tcBorders>
              <w:top w:val="nil"/>
              <w:left w:val="nil"/>
              <w:bottom w:val="nil"/>
              <w:right w:val="nil"/>
            </w:tcBorders>
            <w:vAlign w:val="center"/>
          </w:tcPr>
          <w:p>
            <w:pPr>
              <w:widowControl/>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2" w:hRule="atLeast"/>
        </w:trPr>
        <w:tc>
          <w:tcPr>
            <w:tcW w:w="8967" w:type="dxa"/>
            <w:gridSpan w:val="8"/>
            <w:tcBorders>
              <w:top w:val="nil"/>
              <w:left w:val="nil"/>
              <w:bottom w:val="single" w:color="000000" w:sz="4" w:space="0"/>
              <w:right w:val="nil"/>
            </w:tcBorders>
            <w:vAlign w:val="top"/>
          </w:tcPr>
          <w:p>
            <w:pPr>
              <w:widowControl/>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2974"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转移支付（项目）名称</w:t>
            </w:r>
          </w:p>
        </w:tc>
        <w:tc>
          <w:tcPr>
            <w:tcW w:w="5993"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2021年村级公益事业一事一议财政奖补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中央主管</w:t>
            </w:r>
            <w:r>
              <w:rPr>
                <w:rFonts w:hint="eastAsia" w:ascii="宋体" w:hAnsi="宋体" w:cs="宋体"/>
                <w:i w:val="0"/>
                <w:iCs w:val="0"/>
                <w:color w:val="000000"/>
                <w:kern w:val="0"/>
                <w:sz w:val="20"/>
                <w:szCs w:val="20"/>
                <w:u w:val="none"/>
                <w:lang w:val="en-US" w:eastAsia="zh-CN"/>
              </w:rPr>
              <w:t>单位</w:t>
            </w:r>
          </w:p>
        </w:tc>
        <w:tc>
          <w:tcPr>
            <w:tcW w:w="5993"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974"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地方主管</w:t>
            </w:r>
            <w:r>
              <w:rPr>
                <w:rFonts w:hint="eastAsia" w:ascii="宋体" w:hAnsi="宋体" w:cs="宋体"/>
                <w:i w:val="0"/>
                <w:iCs w:val="0"/>
                <w:color w:val="000000"/>
                <w:kern w:val="0"/>
                <w:sz w:val="20"/>
                <w:szCs w:val="20"/>
                <w:u w:val="none"/>
                <w:lang w:val="en-US" w:eastAsia="zh-CN"/>
              </w:rPr>
              <w:t>单位</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青岛市即墨区财政局</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资金使用单位</w:t>
            </w:r>
          </w:p>
        </w:tc>
        <w:tc>
          <w:tcPr>
            <w:tcW w:w="258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青岛市即墨区潮海街道办事处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项目资金</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（万元）</w:t>
            </w: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全年预算数（A）</w:t>
            </w:r>
          </w:p>
        </w:tc>
        <w:tc>
          <w:tcPr>
            <w:tcW w:w="20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全年执行数（B）</w:t>
            </w:r>
          </w:p>
        </w:tc>
        <w:tc>
          <w:tcPr>
            <w:tcW w:w="1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年度资金总额：</w:t>
            </w:r>
          </w:p>
        </w:tc>
        <w:tc>
          <w:tcPr>
            <w:tcW w:w="11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20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1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其中：中央财政资金</w:t>
            </w:r>
          </w:p>
        </w:tc>
        <w:tc>
          <w:tcPr>
            <w:tcW w:w="11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5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地方资金</w:t>
            </w:r>
          </w:p>
        </w:tc>
        <w:tc>
          <w:tcPr>
            <w:tcW w:w="11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20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1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297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        其他资金</w:t>
            </w:r>
          </w:p>
        </w:tc>
        <w:tc>
          <w:tcPr>
            <w:tcW w:w="115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05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总体目标完成情况</w:t>
            </w:r>
          </w:p>
        </w:tc>
        <w:tc>
          <w:tcPr>
            <w:tcW w:w="4140"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总体目标</w:t>
            </w:r>
          </w:p>
        </w:tc>
        <w:tc>
          <w:tcPr>
            <w:tcW w:w="356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0"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4140"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通过一事一议项目，改善村庄基础设施，提升村民居住质量</w:t>
            </w:r>
          </w:p>
        </w:tc>
        <w:tc>
          <w:tcPr>
            <w:tcW w:w="356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通过一事一议项目，改善村庄基础设施，提升村民居住质量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2" w:hRule="atLeast"/>
        </w:trPr>
        <w:tc>
          <w:tcPr>
            <w:tcW w:w="1260"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绩效指标</w:t>
            </w:r>
          </w:p>
        </w:tc>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一级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二级指标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三级指标</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指标值</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全年实际完成值</w:t>
            </w:r>
          </w:p>
        </w:tc>
        <w:tc>
          <w:tcPr>
            <w:tcW w:w="1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产</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出</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数量指标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通过验收的村庄个数</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质量指标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拨付对象资格符合率</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时效指标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资金拨付及时性</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100%</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成本指标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所需资金</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60</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效</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标</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经济效益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为群众提供优质高效的服务</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社会效益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改造辖区建设</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有效</w:t>
            </w:r>
          </w:p>
        </w:tc>
        <w:tc>
          <w:tcPr>
            <w:tcW w:w="15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生态效益</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指标</w:t>
            </w:r>
          </w:p>
        </w:tc>
        <w:tc>
          <w:tcPr>
            <w:tcW w:w="24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98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07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无</w:t>
            </w:r>
          </w:p>
        </w:tc>
        <w:tc>
          <w:tcPr>
            <w:tcW w:w="151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可持续影响指标</w:t>
            </w:r>
          </w:p>
        </w:tc>
        <w:tc>
          <w:tcPr>
            <w:tcW w:w="24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进一步改善城市面貌</w:t>
            </w:r>
          </w:p>
        </w:tc>
        <w:tc>
          <w:tcPr>
            <w:tcW w:w="98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07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中长期</w:t>
            </w:r>
          </w:p>
        </w:tc>
        <w:tc>
          <w:tcPr>
            <w:tcW w:w="151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满意度指标</w:t>
            </w:r>
          </w:p>
        </w:tc>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服务对象</w:t>
            </w:r>
            <w:r>
              <w:rPr>
                <w:rFonts w:hint="eastAsia" w:ascii="宋体" w:hAnsi="宋体" w:eastAsia="宋体" w:cs="宋体"/>
                <w:i w:val="0"/>
                <w:iCs w:val="0"/>
                <w:color w:val="000000"/>
                <w:kern w:val="0"/>
                <w:sz w:val="20"/>
                <w:szCs w:val="20"/>
                <w:u w:val="none"/>
                <w:lang w:val="en-US" w:eastAsia="zh-CN"/>
              </w:rPr>
              <w:br/>
            </w:r>
            <w:r>
              <w:rPr>
                <w:rFonts w:hint="eastAsia" w:ascii="宋体" w:hAnsi="宋体" w:eastAsia="宋体" w:cs="宋体"/>
                <w:i w:val="0"/>
                <w:iCs w:val="0"/>
                <w:color w:val="000000"/>
                <w:kern w:val="0"/>
                <w:sz w:val="20"/>
                <w:szCs w:val="20"/>
                <w:u w:val="none"/>
                <w:lang w:val="en-US" w:eastAsia="zh-CN"/>
              </w:rPr>
              <w:t>满意度指标</w:t>
            </w:r>
          </w:p>
        </w:tc>
        <w:tc>
          <w:tcPr>
            <w:tcW w:w="24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群众满意度</w:t>
            </w:r>
          </w:p>
        </w:tc>
        <w:tc>
          <w:tcPr>
            <w:tcW w:w="98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07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≥90%</w:t>
            </w:r>
          </w:p>
        </w:tc>
        <w:tc>
          <w:tcPr>
            <w:tcW w:w="151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trPr>
        <w:tc>
          <w:tcPr>
            <w:tcW w:w="126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hint="eastAsia" w:ascii="宋体" w:hAnsi="宋体" w:eastAsia="宋体" w:cs="宋体"/>
                <w:i w:val="0"/>
                <w:iCs w:val="0"/>
                <w:color w:val="000000"/>
                <w:sz w:val="20"/>
                <w:szCs w:val="20"/>
                <w:u w:val="none"/>
              </w:rPr>
            </w:pPr>
          </w:p>
        </w:tc>
        <w:tc>
          <w:tcPr>
            <w:tcW w:w="7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24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0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c>
          <w:tcPr>
            <w:tcW w:w="15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说明</w:t>
            </w:r>
          </w:p>
        </w:tc>
        <w:tc>
          <w:tcPr>
            <w:tcW w:w="7707"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u w:val="none"/>
              </w:rPr>
            </w:pPr>
          </w:p>
        </w:tc>
      </w:tr>
    </w:tbl>
    <w:p>
      <w:pPr>
        <w:rPr>
          <w:rFonts w:hint="eastAsia" w:ascii="方正小标宋简体" w:eastAsia="方正小标宋简体"/>
          <w:spacing w:val="60"/>
          <w:sz w:val="48"/>
          <w:lang w:val="zh-CN" w:eastAsia="zh-CN"/>
        </w:rPr>
      </w:pPr>
    </w:p>
    <w:p>
      <w:pPr>
        <w:rPr>
          <w:rFonts w:hint="eastAsia" w:ascii="方正小标宋简体" w:eastAsia="方正小标宋简体"/>
          <w:spacing w:val="60"/>
          <w:sz w:val="48"/>
          <w:lang w:val="zh-CN" w:eastAsia="zh-CN"/>
        </w:rPr>
      </w:pPr>
    </w:p>
    <w:p>
      <w:pPr>
        <w:pStyle w:val="25"/>
        <w:spacing w:line="520" w:lineRule="exact"/>
        <w:rPr>
          <w:rFonts w:ascii="宋体" w:hAnsi="宋体" w:eastAsia="宋体" w:cs="宋体"/>
        </w:rPr>
      </w:pPr>
    </w:p>
    <w:p>
      <w:pPr>
        <w:pStyle w:val="25"/>
        <w:spacing w:line="520" w:lineRule="exact"/>
        <w:jc w:val="both"/>
        <w:rPr>
          <w:rFonts w:ascii="宋体" w:hAnsi="宋体" w:eastAsia="宋体" w:cs="宋体"/>
        </w:rPr>
      </w:pPr>
    </w:p>
    <w:p>
      <w:pPr>
        <w:pStyle w:val="25"/>
        <w:spacing w:line="520" w:lineRule="exact"/>
        <w:rPr>
          <w:rFonts w:ascii="宋体" w:hAnsi="宋体" w:eastAsia="宋体" w:cs="宋体"/>
        </w:rPr>
      </w:pPr>
    </w:p>
    <w:p>
      <w:pPr>
        <w:pStyle w:val="25"/>
        <w:spacing w:line="520" w:lineRule="exact"/>
        <w:rPr>
          <w:rFonts w:ascii="宋体" w:hAnsi="宋体" w:eastAsia="宋体" w:cs="宋体"/>
        </w:rPr>
      </w:pPr>
    </w:p>
    <w:p>
      <w:pPr>
        <w:pStyle w:val="25"/>
        <w:spacing w:line="520" w:lineRule="exact"/>
        <w:rPr>
          <w:rFonts w:ascii="宋体" w:hAnsi="宋体" w:eastAsia="宋体" w:cs="宋体"/>
        </w:rPr>
      </w:pPr>
    </w:p>
    <w:p>
      <w:pPr>
        <w:spacing w:line="560" w:lineRule="exact"/>
        <w:ind w:left="879" w:hanging="879"/>
        <w:jc w:val="center"/>
        <w:rPr>
          <w:rFonts w:hint="eastAsia" w:ascii="方正小标宋_GBK" w:eastAsia="方正小标宋_GBK" w:cs="文星简黑体"/>
          <w:sz w:val="44"/>
          <w:szCs w:val="44"/>
        </w:rPr>
      </w:pPr>
      <w:bookmarkStart w:id="0" w:name="_Toc13346"/>
      <w:bookmarkStart w:id="1" w:name="_Toc24285"/>
      <w:bookmarkStart w:id="2" w:name="_Toc23240"/>
      <w:bookmarkStart w:id="3" w:name="_Toc3465"/>
      <w:bookmarkStart w:id="4" w:name="_Toc7888"/>
      <w:r>
        <w:rPr>
          <w:rFonts w:hint="eastAsia" w:ascii="方正小标宋_GBK" w:eastAsia="方正小标宋_GBK" w:cs="文星简黑体"/>
          <w:sz w:val="44"/>
          <w:szCs w:val="44"/>
        </w:rPr>
        <w:t>青岛市即墨区潮海街道办事处</w:t>
      </w:r>
      <w:bookmarkEnd w:id="0"/>
      <w:bookmarkEnd w:id="1"/>
      <w:bookmarkEnd w:id="2"/>
      <w:bookmarkEnd w:id="3"/>
      <w:bookmarkEnd w:id="4"/>
      <w:bookmarkStart w:id="5" w:name="_Toc5040"/>
      <w:bookmarkStart w:id="6" w:name="_Toc8297"/>
      <w:bookmarkStart w:id="7" w:name="_Toc19994"/>
      <w:bookmarkStart w:id="8" w:name="_Toc9724"/>
      <w:bookmarkStart w:id="9" w:name="_Toc23125"/>
    </w:p>
    <w:p>
      <w:pPr>
        <w:spacing w:line="560" w:lineRule="exact"/>
        <w:ind w:left="879" w:hanging="879"/>
        <w:jc w:val="center"/>
        <w:rPr>
          <w:rFonts w:hint="eastAsia" w:ascii="方正小标宋_GBK" w:eastAsia="方正小标宋_GBK" w:cs="文星简黑体"/>
          <w:sz w:val="44"/>
          <w:szCs w:val="44"/>
        </w:rPr>
      </w:pPr>
      <w:r>
        <w:rPr>
          <w:rFonts w:hint="eastAsia" w:ascii="方正小标宋_GBK" w:eastAsia="方正小标宋_GBK" w:cs="文星简黑体"/>
          <w:sz w:val="44"/>
          <w:szCs w:val="44"/>
        </w:rPr>
        <w:t>辛戈庄村部分污水沟清理、盖板隐蔽化处理</w:t>
      </w:r>
    </w:p>
    <w:p>
      <w:pPr>
        <w:spacing w:line="560" w:lineRule="exact"/>
        <w:ind w:left="879" w:hanging="879"/>
        <w:jc w:val="center"/>
        <w:rPr>
          <w:rFonts w:hint="eastAsia" w:ascii="方正小标宋_GBK" w:eastAsia="方正小标宋_GBK" w:cs="文星简黑体"/>
          <w:sz w:val="44"/>
          <w:szCs w:val="44"/>
        </w:rPr>
      </w:pPr>
      <w:r>
        <w:rPr>
          <w:rFonts w:hint="eastAsia" w:ascii="方正小标宋_GBK" w:eastAsia="方正小标宋_GBK" w:cs="文星简黑体"/>
          <w:sz w:val="44"/>
          <w:szCs w:val="44"/>
        </w:rPr>
        <w:t>工程项目</w:t>
      </w:r>
      <w:bookmarkEnd w:id="5"/>
      <w:bookmarkEnd w:id="6"/>
    </w:p>
    <w:p>
      <w:pPr>
        <w:spacing w:line="560" w:lineRule="exact"/>
        <w:ind w:left="879" w:hanging="879"/>
        <w:jc w:val="center"/>
        <w:rPr>
          <w:rFonts w:ascii="方正小标宋_GBK" w:eastAsia="方正小标宋_GBK" w:cs="文星简黑体"/>
          <w:sz w:val="44"/>
          <w:szCs w:val="44"/>
        </w:rPr>
      </w:pPr>
      <w:bookmarkStart w:id="10" w:name="_Toc10265"/>
      <w:bookmarkStart w:id="11" w:name="_Toc24860"/>
      <w:r>
        <w:rPr>
          <w:rFonts w:hint="eastAsia" w:ascii="方正小标宋_GBK" w:eastAsia="方正小标宋_GBK" w:cs="文星简黑体"/>
          <w:sz w:val="44"/>
          <w:szCs w:val="44"/>
        </w:rPr>
        <w:t>绩效评价报告</w:t>
      </w:r>
      <w:bookmarkEnd w:id="7"/>
      <w:bookmarkEnd w:id="8"/>
      <w:bookmarkEnd w:id="9"/>
      <w:bookmarkEnd w:id="10"/>
      <w:bookmarkEnd w:id="11"/>
    </w:p>
    <w:p>
      <w:pPr>
        <w:spacing w:line="520" w:lineRule="exact"/>
        <w:ind w:left="1040" w:hanging="1040"/>
        <w:jc w:val="right"/>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pStyle w:val="26"/>
        <w:ind w:firstLine="600"/>
      </w:pPr>
    </w:p>
    <w:p>
      <w:pPr>
        <w:spacing w:before="120" w:after="120" w:line="520" w:lineRule="exact"/>
        <w:ind w:left="640" w:hanging="640"/>
        <w:rPr>
          <w:rFonts w:hint="eastAsia" w:ascii="黑体" w:hAnsi="黑体" w:eastAsia="黑体"/>
          <w:sz w:val="32"/>
          <w:szCs w:val="32"/>
        </w:rPr>
      </w:pPr>
      <w:r>
        <w:rPr>
          <w:rFonts w:hint="eastAsia" w:ascii="黑体" w:hAnsi="黑体" w:eastAsia="黑体" w:cs="文星简黑体"/>
          <w:spacing w:val="53"/>
          <w:kern w:val="0"/>
          <w:sz w:val="32"/>
          <w:szCs w:val="32"/>
          <w:fitText w:val="1600" w:id="0"/>
        </w:rPr>
        <w:t>委托单</w:t>
      </w:r>
      <w:r>
        <w:rPr>
          <w:rFonts w:hint="eastAsia" w:ascii="黑体" w:hAnsi="黑体" w:eastAsia="黑体" w:cs="文星简黑体"/>
          <w:spacing w:val="1"/>
          <w:kern w:val="0"/>
          <w:sz w:val="32"/>
          <w:szCs w:val="32"/>
          <w:fitText w:val="1600" w:id="0"/>
        </w:rPr>
        <w:t>位</w:t>
      </w:r>
      <w:r>
        <w:rPr>
          <w:rFonts w:hint="eastAsia" w:ascii="黑体" w:hAnsi="黑体" w:eastAsia="黑体" w:cs="文星简黑体"/>
          <w:sz w:val="32"/>
          <w:szCs w:val="32"/>
        </w:rPr>
        <w:t>：青岛市即墨区潮海街道办事处</w:t>
      </w:r>
    </w:p>
    <w:p>
      <w:pPr>
        <w:spacing w:before="120" w:after="120" w:line="520" w:lineRule="exact"/>
        <w:ind w:left="2240" w:hanging="2240" w:hangingChars="700"/>
        <w:rPr>
          <w:rFonts w:ascii="黑体" w:hAnsi="黑体" w:eastAsia="黑体"/>
          <w:sz w:val="32"/>
          <w:szCs w:val="32"/>
        </w:rPr>
      </w:pPr>
      <w:r>
        <w:rPr>
          <w:rFonts w:hint="eastAsia" w:ascii="黑体" w:hAnsi="黑体" w:eastAsia="黑体" w:cs="文星简黑体"/>
          <w:sz w:val="32"/>
          <w:szCs w:val="32"/>
        </w:rPr>
        <w:t>被评价单位：青岛市即墨区潮海街道辛戈庄村经济合作社</w:t>
      </w:r>
    </w:p>
    <w:p>
      <w:pPr>
        <w:spacing w:before="120" w:after="120" w:line="520" w:lineRule="exact"/>
        <w:ind w:left="640" w:hanging="640"/>
        <w:jc w:val="left"/>
        <w:rPr>
          <w:rFonts w:hint="eastAsia" w:ascii="黑体" w:hAnsi="黑体" w:eastAsia="黑体"/>
          <w:sz w:val="32"/>
          <w:szCs w:val="32"/>
        </w:rPr>
      </w:pPr>
      <w:r>
        <w:rPr>
          <w:rFonts w:hint="eastAsia" w:ascii="黑体" w:hAnsi="黑体" w:eastAsia="黑体" w:cs="文星简黑体"/>
          <w:spacing w:val="53"/>
          <w:kern w:val="0"/>
          <w:sz w:val="32"/>
          <w:szCs w:val="32"/>
          <w:fitText w:val="1600" w:id="1"/>
        </w:rPr>
        <w:t>评价机</w:t>
      </w:r>
      <w:r>
        <w:rPr>
          <w:rFonts w:hint="eastAsia" w:ascii="黑体" w:hAnsi="黑体" w:eastAsia="黑体" w:cs="文星简黑体"/>
          <w:spacing w:val="1"/>
          <w:kern w:val="0"/>
          <w:sz w:val="32"/>
          <w:szCs w:val="32"/>
          <w:fitText w:val="1600" w:id="1"/>
        </w:rPr>
        <w:t>构</w:t>
      </w:r>
      <w:r>
        <w:rPr>
          <w:rFonts w:hint="eastAsia" w:ascii="黑体" w:hAnsi="黑体" w:eastAsia="黑体" w:cs="文星简黑体"/>
          <w:sz w:val="32"/>
          <w:szCs w:val="32"/>
        </w:rPr>
        <w:t>：青岛大信英德会计师事务所有限公司</w:t>
      </w:r>
    </w:p>
    <w:p>
      <w:pPr>
        <w:pStyle w:val="26"/>
        <w:ind w:firstLine="0" w:firstLineChars="0"/>
        <w:rPr>
          <w:rFonts w:ascii="黑体" w:hAnsi="黑体" w:eastAsia="黑体"/>
          <w:sz w:val="32"/>
          <w:szCs w:val="32"/>
        </w:rPr>
      </w:pPr>
    </w:p>
    <w:p>
      <w:pPr>
        <w:spacing w:before="120" w:after="120" w:line="520" w:lineRule="exact"/>
        <w:rPr>
          <w:rFonts w:ascii="黑体" w:hAnsi="黑体" w:eastAsia="黑体"/>
          <w:sz w:val="32"/>
          <w:szCs w:val="32"/>
        </w:rPr>
      </w:pPr>
    </w:p>
    <w:p>
      <w:pPr>
        <w:spacing w:before="120" w:after="120" w:line="520" w:lineRule="exact"/>
        <w:jc w:val="center"/>
        <w:rPr>
          <w:rFonts w:ascii="仿宋_GB2312"/>
          <w:sz w:val="32"/>
          <w:szCs w:val="32"/>
        </w:rPr>
      </w:pPr>
      <w:r>
        <w:rPr>
          <w:rFonts w:hint="eastAsia" w:ascii="黑体" w:hAnsi="黑体" w:eastAsia="黑体" w:cs="文星简黑体"/>
          <w:sz w:val="32"/>
          <w:szCs w:val="32"/>
        </w:rPr>
        <w:t>2023年</w:t>
      </w:r>
      <w:r>
        <w:rPr>
          <w:rFonts w:hint="eastAsia" w:ascii="黑体" w:hAnsi="黑体" w:eastAsia="黑体" w:cs="文星简黑体"/>
          <w:sz w:val="32"/>
          <w:szCs w:val="32"/>
          <w:lang w:val="en-US" w:eastAsia="zh-CN"/>
        </w:rPr>
        <w:t>9</w:t>
      </w:r>
      <w:r>
        <w:rPr>
          <w:rFonts w:hint="eastAsia" w:ascii="黑体" w:hAnsi="黑体" w:eastAsia="黑体" w:cs="文星简黑体"/>
          <w:sz w:val="32"/>
          <w:szCs w:val="32"/>
        </w:rPr>
        <w:t>月</w:t>
      </w:r>
    </w:p>
    <w:p>
      <w:pPr>
        <w:spacing w:before="120" w:after="120" w:line="500" w:lineRule="exact"/>
        <w:ind w:left="640" w:hanging="640"/>
        <w:jc w:val="center"/>
        <w:rPr>
          <w:rFonts w:hint="eastAsia" w:ascii="方正小标宋_GBK" w:eastAsia="方正小标宋_GBK" w:cs="文星简黑体"/>
          <w:sz w:val="44"/>
          <w:szCs w:val="44"/>
        </w:rPr>
        <w:sectPr>
          <w:pgSz w:w="11906" w:h="16838"/>
          <w:pgMar w:top="1928" w:right="1531" w:bottom="1701" w:left="1531" w:header="737" w:footer="851" w:gutter="0"/>
          <w:pgNumType w:fmt="numberInDash" w:start="1"/>
          <w:cols w:space="720" w:num="1"/>
          <w:docGrid w:type="lines" w:linePitch="408" w:charSpace="0"/>
        </w:sectPr>
      </w:pPr>
    </w:p>
    <w:p>
      <w:pPr>
        <w:jc w:val="center"/>
        <w:rPr>
          <w:sz w:val="48"/>
          <w:szCs w:val="48"/>
        </w:rPr>
      </w:pPr>
      <w:bookmarkStart w:id="12" w:name="_Toc5874"/>
      <w:bookmarkStart w:id="13" w:name="_Toc2143"/>
      <w:bookmarkStart w:id="14" w:name="_Toc26251"/>
      <w:r>
        <w:rPr>
          <w:rFonts w:ascii="宋体" w:hAnsi="宋体" w:eastAsia="宋体"/>
          <w:sz w:val="48"/>
          <w:szCs w:val="48"/>
        </w:rPr>
        <w:t>目录</w:t>
      </w:r>
    </w:p>
    <w:p>
      <w:pPr>
        <w:pStyle w:val="11"/>
        <w:tabs>
          <w:tab w:val="right" w:leader="dot" w:pos="8844"/>
        </w:tabs>
      </w:pPr>
      <w:r>
        <w:rPr>
          <w:rFonts w:hint="eastAsia" w:ascii="方正小标宋_GBK" w:eastAsia="方正小标宋_GBK" w:cs="文星简黑体"/>
          <w:sz w:val="44"/>
          <w:szCs w:val="44"/>
        </w:rPr>
        <w:fldChar w:fldCharType="begin"/>
      </w:r>
      <w:r>
        <w:rPr>
          <w:rFonts w:hint="eastAsia" w:ascii="方正小标宋_GBK" w:eastAsia="方正小标宋_GBK" w:cs="文星简黑体"/>
          <w:sz w:val="44"/>
          <w:szCs w:val="44"/>
        </w:rPr>
        <w:instrText xml:space="preserve">TOC \o "1-2" \h \u </w:instrText>
      </w:r>
      <w:r>
        <w:rPr>
          <w:rFonts w:hint="eastAsia" w:ascii="方正小标宋_GBK" w:eastAsia="方正小标宋_GBK" w:cs="文星简黑体"/>
          <w:sz w:val="44"/>
          <w:szCs w:val="44"/>
        </w:rPr>
        <w:fldChar w:fldCharType="separate"/>
      </w: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_Toc31329 </w:instrText>
      </w:r>
      <w:r>
        <w:rPr>
          <w:rFonts w:hint="eastAsia" w:ascii="方正小标宋_GBK" w:eastAsia="方正小标宋_GBK" w:cs="文星简黑体"/>
          <w:szCs w:val="44"/>
        </w:rPr>
        <w:fldChar w:fldCharType="separate"/>
      </w:r>
      <w:r>
        <w:rPr>
          <w:rFonts w:hint="eastAsia" w:ascii="方正小标宋_GBK" w:eastAsia="方正小标宋_GBK" w:cs="文星简黑体"/>
          <w:szCs w:val="44"/>
        </w:rPr>
        <w:t>摘 要</w:t>
      </w:r>
      <w:r>
        <w:tab/>
      </w:r>
      <w:r>
        <w:fldChar w:fldCharType="begin"/>
      </w:r>
      <w:r>
        <w:instrText xml:space="preserve"> PAGEREF _Toc31329 \h </w:instrText>
      </w:r>
      <w:r>
        <w:fldChar w:fldCharType="separate"/>
      </w:r>
      <w:r>
        <w:t>- 1 -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_Toc6166 </w:instrText>
      </w:r>
      <w:r>
        <w:rPr>
          <w:rFonts w:hint="eastAsia" w:ascii="方正小标宋_GBK" w:eastAsia="方正小标宋_GBK" w:cs="文星简黑体"/>
          <w:szCs w:val="44"/>
        </w:rPr>
        <w:fldChar w:fldCharType="separate"/>
      </w:r>
      <w:r>
        <w:rPr>
          <w:rFonts w:hint="eastAsia" w:ascii="黑体" w:hAnsi="黑体" w:eastAsia="黑体"/>
          <w:szCs w:val="32"/>
        </w:rPr>
        <w:t>一、项目情况简介</w:t>
      </w:r>
      <w:r>
        <w:tab/>
      </w:r>
      <w:r>
        <w:fldChar w:fldCharType="begin"/>
      </w:r>
      <w:r>
        <w:instrText xml:space="preserve"> PAGEREF _Toc6166 \h </w:instrText>
      </w:r>
      <w:r>
        <w:fldChar w:fldCharType="separate"/>
      </w:r>
      <w:r>
        <w:t>- 1 -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_Toc9737 </w:instrText>
      </w:r>
      <w:r>
        <w:rPr>
          <w:rFonts w:hint="eastAsia" w:ascii="方正小标宋_GBK" w:eastAsia="方正小标宋_GBK" w:cs="文星简黑体"/>
          <w:szCs w:val="44"/>
        </w:rPr>
        <w:fldChar w:fldCharType="separate"/>
      </w:r>
      <w:r>
        <w:rPr>
          <w:rFonts w:hint="eastAsia" w:ascii="黑体" w:hAnsi="黑体" w:eastAsia="黑体"/>
          <w:szCs w:val="32"/>
        </w:rPr>
        <w:t>二、评价结论和绩效分析</w:t>
      </w:r>
      <w:r>
        <w:tab/>
      </w:r>
      <w:r>
        <w:fldChar w:fldCharType="begin"/>
      </w:r>
      <w:r>
        <w:instrText xml:space="preserve"> PAGEREF _Toc9737 \h </w:instrText>
      </w:r>
      <w:r>
        <w:fldChar w:fldCharType="separate"/>
      </w:r>
      <w:r>
        <w:t>- 1 -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_Toc23914 </w:instrText>
      </w:r>
      <w:r>
        <w:rPr>
          <w:rFonts w:hint="eastAsia" w:ascii="方正小标宋_GBK" w:eastAsia="方正小标宋_GBK" w:cs="文星简黑体"/>
          <w:szCs w:val="44"/>
        </w:rPr>
        <w:fldChar w:fldCharType="separate"/>
      </w:r>
      <w:r>
        <w:rPr>
          <w:rFonts w:hint="eastAsia" w:eastAsia="楷体_GB2312"/>
          <w:bCs/>
          <w:kern w:val="0"/>
          <w:szCs w:val="32"/>
        </w:rPr>
        <w:t>（一）评价结论</w:t>
      </w:r>
      <w:r>
        <w:tab/>
      </w:r>
      <w:r>
        <w:fldChar w:fldCharType="begin"/>
      </w:r>
      <w:r>
        <w:instrText xml:space="preserve"> PAGEREF _Toc23914 \h </w:instrText>
      </w:r>
      <w:r>
        <w:fldChar w:fldCharType="separate"/>
      </w:r>
      <w:r>
        <w:t>- 1 -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_Toc4177 </w:instrText>
      </w:r>
      <w:r>
        <w:rPr>
          <w:rFonts w:hint="eastAsia" w:ascii="方正小标宋_GBK" w:eastAsia="方正小标宋_GBK" w:cs="文星简黑体"/>
          <w:szCs w:val="44"/>
        </w:rPr>
        <w:fldChar w:fldCharType="separate"/>
      </w:r>
      <w:r>
        <w:rPr>
          <w:rFonts w:hint="eastAsia" w:eastAsia="楷体_GB2312"/>
          <w:bCs/>
          <w:kern w:val="0"/>
          <w:szCs w:val="32"/>
        </w:rPr>
        <w:t>（二）绩效分析</w:t>
      </w:r>
      <w:r>
        <w:tab/>
      </w:r>
      <w:r>
        <w:fldChar w:fldCharType="begin"/>
      </w:r>
      <w:r>
        <w:instrText xml:space="preserve"> PAGEREF _Toc4177 \h </w:instrText>
      </w:r>
      <w:r>
        <w:fldChar w:fldCharType="separate"/>
      </w:r>
      <w:r>
        <w:t>- 2 -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_Toc13934 </w:instrText>
      </w:r>
      <w:r>
        <w:rPr>
          <w:rFonts w:hint="eastAsia" w:ascii="方正小标宋_GBK" w:eastAsia="方正小标宋_GBK" w:cs="文星简黑体"/>
          <w:szCs w:val="44"/>
        </w:rPr>
        <w:fldChar w:fldCharType="separate"/>
      </w:r>
      <w:r>
        <w:rPr>
          <w:rFonts w:hint="eastAsia" w:ascii="黑体" w:hAnsi="黑体" w:eastAsia="黑体"/>
          <w:szCs w:val="32"/>
        </w:rPr>
        <w:t>三、存在的问题</w:t>
      </w:r>
      <w:r>
        <w:tab/>
      </w:r>
      <w:r>
        <w:fldChar w:fldCharType="begin"/>
      </w:r>
      <w:r>
        <w:instrText xml:space="preserve"> PAGEREF _Toc13934 \h </w:instrText>
      </w:r>
      <w:r>
        <w:fldChar w:fldCharType="separate"/>
      </w:r>
      <w:r>
        <w:t>- 3 -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_Toc27085 </w:instrText>
      </w:r>
      <w:r>
        <w:rPr>
          <w:rFonts w:hint="eastAsia" w:ascii="方正小标宋_GBK" w:eastAsia="方正小标宋_GBK" w:cs="文星简黑体"/>
          <w:szCs w:val="44"/>
        </w:rPr>
        <w:fldChar w:fldCharType="separate"/>
      </w:r>
      <w:r>
        <w:rPr>
          <w:rFonts w:hint="eastAsia" w:eastAsia="楷体_GB2312"/>
          <w:bCs/>
          <w:kern w:val="0"/>
          <w:szCs w:val="32"/>
        </w:rPr>
        <w:t>（一）绩效意识淡薄，项目实施前未设绩效目标</w:t>
      </w:r>
      <w:r>
        <w:tab/>
      </w:r>
      <w:r>
        <w:fldChar w:fldCharType="begin"/>
      </w:r>
      <w:r>
        <w:instrText xml:space="preserve"> PAGEREF _Toc27085 \h </w:instrText>
      </w:r>
      <w:r>
        <w:fldChar w:fldCharType="separate"/>
      </w:r>
      <w:r>
        <w:t>- 3 -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_Toc30713 </w:instrText>
      </w:r>
      <w:r>
        <w:rPr>
          <w:rFonts w:hint="eastAsia" w:ascii="方正小标宋_GBK" w:eastAsia="方正小标宋_GBK" w:cs="文星简黑体"/>
          <w:szCs w:val="44"/>
        </w:rPr>
        <w:fldChar w:fldCharType="separate"/>
      </w:r>
      <w:r>
        <w:rPr>
          <w:rFonts w:hint="eastAsia" w:eastAsia="楷体_GB2312"/>
          <w:bCs/>
          <w:kern w:val="0"/>
          <w:szCs w:val="32"/>
        </w:rPr>
        <w:t>（二）重投入轻效益，可持续影响的关注力度有待提高</w:t>
      </w:r>
      <w:r>
        <w:tab/>
      </w:r>
      <w:r>
        <w:fldChar w:fldCharType="begin"/>
      </w:r>
      <w:r>
        <w:instrText xml:space="preserve"> PAGEREF _Toc30713 \h </w:instrText>
      </w:r>
      <w:r>
        <w:fldChar w:fldCharType="separate"/>
      </w:r>
      <w:r>
        <w:t>- 3 -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_Toc18507 </w:instrText>
      </w:r>
      <w:r>
        <w:rPr>
          <w:rFonts w:hint="eastAsia" w:ascii="方正小标宋_GBK" w:eastAsia="方正小标宋_GBK" w:cs="文星简黑体"/>
          <w:szCs w:val="44"/>
        </w:rPr>
        <w:fldChar w:fldCharType="separate"/>
      </w:r>
      <w:r>
        <w:rPr>
          <w:rFonts w:hint="eastAsia" w:eastAsia="楷体_GB2312"/>
          <w:bCs/>
          <w:kern w:val="0"/>
          <w:szCs w:val="32"/>
        </w:rPr>
        <w:t>（三）合同约定不规范，质量标准未明确</w:t>
      </w:r>
      <w:r>
        <w:tab/>
      </w:r>
      <w:r>
        <w:fldChar w:fldCharType="begin"/>
      </w:r>
      <w:r>
        <w:instrText xml:space="preserve"> PAGEREF _Toc18507 \h </w:instrText>
      </w:r>
      <w:r>
        <w:fldChar w:fldCharType="separate"/>
      </w:r>
      <w:r>
        <w:t>- 4 -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_Toc19398 </w:instrText>
      </w:r>
      <w:r>
        <w:rPr>
          <w:rFonts w:hint="eastAsia" w:ascii="方正小标宋_GBK" w:eastAsia="方正小标宋_GBK" w:cs="文星简黑体"/>
          <w:szCs w:val="44"/>
        </w:rPr>
        <w:fldChar w:fldCharType="separate"/>
      </w:r>
      <w:r>
        <w:rPr>
          <w:rFonts w:hint="eastAsia" w:eastAsia="楷体_GB2312"/>
          <w:bCs/>
          <w:kern w:val="0"/>
          <w:szCs w:val="32"/>
        </w:rPr>
        <w:t>（</w:t>
      </w:r>
      <w:r>
        <w:rPr>
          <w:rFonts w:hint="eastAsia" w:eastAsia="楷体_GB2312"/>
          <w:bCs/>
          <w:kern w:val="0"/>
          <w:szCs w:val="32"/>
          <w:lang w:val="en-US" w:eastAsia="zh-CN"/>
        </w:rPr>
        <w:t>四</w:t>
      </w:r>
      <w:r>
        <w:rPr>
          <w:rFonts w:hint="eastAsia" w:eastAsia="楷体_GB2312"/>
          <w:bCs/>
          <w:kern w:val="0"/>
          <w:szCs w:val="32"/>
        </w:rPr>
        <w:t>）竣工验收流程较简易</w:t>
      </w:r>
      <w:r>
        <w:tab/>
      </w:r>
      <w:r>
        <w:fldChar w:fldCharType="begin"/>
      </w:r>
      <w:r>
        <w:instrText xml:space="preserve"> PAGEREF _Toc19398 \h </w:instrText>
      </w:r>
      <w:r>
        <w:fldChar w:fldCharType="separate"/>
      </w:r>
      <w:r>
        <w:t>- 4 -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_Toc29998 </w:instrText>
      </w:r>
      <w:r>
        <w:rPr>
          <w:rFonts w:hint="eastAsia" w:ascii="方正小标宋_GBK" w:eastAsia="方正小标宋_GBK" w:cs="文星简黑体"/>
          <w:szCs w:val="44"/>
        </w:rPr>
        <w:fldChar w:fldCharType="separate"/>
      </w:r>
      <w:r>
        <w:rPr>
          <w:rFonts w:hint="eastAsia" w:ascii="黑体" w:hAnsi="黑体" w:eastAsia="黑体"/>
          <w:szCs w:val="32"/>
        </w:rPr>
        <w:t>四、意见建议</w:t>
      </w:r>
      <w:r>
        <w:tab/>
      </w:r>
      <w:r>
        <w:fldChar w:fldCharType="begin"/>
      </w:r>
      <w:r>
        <w:instrText xml:space="preserve"> PAGEREF _Toc29998 \h </w:instrText>
      </w:r>
      <w:r>
        <w:fldChar w:fldCharType="separate"/>
      </w:r>
      <w:r>
        <w:t>- 4 -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_Toc27102 </w:instrText>
      </w:r>
      <w:r>
        <w:rPr>
          <w:rFonts w:hint="eastAsia" w:ascii="方正小标宋_GBK" w:eastAsia="方正小标宋_GBK" w:cs="文星简黑体"/>
          <w:szCs w:val="44"/>
        </w:rPr>
        <w:fldChar w:fldCharType="separate"/>
      </w:r>
      <w:r>
        <w:rPr>
          <w:rFonts w:hint="eastAsia" w:eastAsia="楷体_GB2312"/>
          <w:bCs/>
          <w:kern w:val="0"/>
          <w:szCs w:val="32"/>
        </w:rPr>
        <w:t>（一）提高绩效管理意识，加强预算绩效管理机制的建立</w:t>
      </w:r>
      <w:r>
        <w:tab/>
      </w:r>
      <w:r>
        <w:fldChar w:fldCharType="begin"/>
      </w:r>
      <w:r>
        <w:instrText xml:space="preserve"> PAGEREF _Toc27102 \h </w:instrText>
      </w:r>
      <w:r>
        <w:fldChar w:fldCharType="separate"/>
      </w:r>
      <w:r>
        <w:t>- 4 -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_Toc21447 </w:instrText>
      </w:r>
      <w:r>
        <w:rPr>
          <w:rFonts w:hint="eastAsia" w:ascii="方正小标宋_GBK" w:eastAsia="方正小标宋_GBK" w:cs="文星简黑体"/>
          <w:szCs w:val="44"/>
        </w:rPr>
        <w:fldChar w:fldCharType="separate"/>
      </w:r>
      <w:r>
        <w:rPr>
          <w:rFonts w:hint="eastAsia" w:eastAsia="楷体_GB2312"/>
          <w:bCs/>
          <w:kern w:val="0"/>
          <w:szCs w:val="32"/>
        </w:rPr>
        <w:t>（</w:t>
      </w:r>
      <w:r>
        <w:rPr>
          <w:rFonts w:hint="eastAsia" w:eastAsia="楷体_GB2312"/>
          <w:bCs/>
          <w:kern w:val="0"/>
          <w:szCs w:val="32"/>
          <w:lang w:val="en-US" w:eastAsia="zh-CN"/>
        </w:rPr>
        <w:t>二</w:t>
      </w:r>
      <w:r>
        <w:rPr>
          <w:rFonts w:hint="eastAsia" w:eastAsia="楷体_GB2312"/>
          <w:bCs/>
          <w:kern w:val="0"/>
          <w:szCs w:val="32"/>
        </w:rPr>
        <w:t>）规范项目程序，避免验收流于形式</w:t>
      </w:r>
      <w:r>
        <w:tab/>
      </w:r>
      <w:r>
        <w:fldChar w:fldCharType="begin"/>
      </w:r>
      <w:r>
        <w:instrText xml:space="preserve"> PAGEREF _Toc21447 \h </w:instrText>
      </w:r>
      <w:r>
        <w:fldChar w:fldCharType="separate"/>
      </w:r>
      <w:r>
        <w:t>- 5 -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_Toc11788 </w:instrText>
      </w:r>
      <w:r>
        <w:rPr>
          <w:rFonts w:hint="eastAsia" w:ascii="方正小标宋_GBK" w:eastAsia="方正小标宋_GBK" w:cs="文星简黑体"/>
          <w:szCs w:val="44"/>
        </w:rPr>
        <w:fldChar w:fldCharType="separate"/>
      </w:r>
      <w:r>
        <w:rPr>
          <w:rFonts w:hint="eastAsia" w:ascii="黑体" w:hAnsi="黑体" w:eastAsia="黑体"/>
          <w:szCs w:val="32"/>
        </w:rPr>
        <w:t>前 言</w:t>
      </w:r>
      <w:r>
        <w:tab/>
      </w:r>
      <w:r>
        <w:fldChar w:fldCharType="begin"/>
      </w:r>
      <w:r>
        <w:instrText xml:space="preserve"> PAGEREF _Toc11788 \h </w:instrText>
      </w:r>
      <w:r>
        <w:fldChar w:fldCharType="separate"/>
      </w:r>
      <w:r>
        <w:t>- 6 -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_Toc18290 </w:instrText>
      </w:r>
      <w:r>
        <w:rPr>
          <w:rFonts w:hint="eastAsia" w:ascii="方正小标宋_GBK" w:eastAsia="方正小标宋_GBK" w:cs="文星简黑体"/>
          <w:szCs w:val="44"/>
        </w:rPr>
        <w:fldChar w:fldCharType="separate"/>
      </w:r>
      <w:r>
        <w:rPr>
          <w:rFonts w:hint="eastAsia" w:ascii="黑体" w:hAnsi="黑体" w:eastAsia="黑体"/>
          <w:szCs w:val="32"/>
        </w:rPr>
        <w:t>一、基本情况</w:t>
      </w:r>
      <w:r>
        <w:tab/>
      </w:r>
      <w:r>
        <w:fldChar w:fldCharType="begin"/>
      </w:r>
      <w:r>
        <w:instrText xml:space="preserve"> PAGEREF _Toc18290 \h </w:instrText>
      </w:r>
      <w:r>
        <w:fldChar w:fldCharType="separate"/>
      </w:r>
      <w:r>
        <w:t>- 6 -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_Toc29200 </w:instrText>
      </w:r>
      <w:r>
        <w:rPr>
          <w:rFonts w:hint="eastAsia" w:ascii="方正小标宋_GBK" w:eastAsia="方正小标宋_GBK" w:cs="文星简黑体"/>
          <w:szCs w:val="44"/>
        </w:rPr>
        <w:fldChar w:fldCharType="separate"/>
      </w:r>
      <w:r>
        <w:rPr>
          <w:rFonts w:hint="eastAsia" w:eastAsia="楷体_GB2312"/>
          <w:bCs/>
          <w:kern w:val="0"/>
          <w:szCs w:val="32"/>
        </w:rPr>
        <w:t>（一）项目概况</w:t>
      </w:r>
      <w:r>
        <w:tab/>
      </w:r>
      <w:r>
        <w:fldChar w:fldCharType="begin"/>
      </w:r>
      <w:r>
        <w:instrText xml:space="preserve"> PAGEREF _Toc29200 \h </w:instrText>
      </w:r>
      <w:r>
        <w:fldChar w:fldCharType="separate"/>
      </w:r>
      <w:r>
        <w:t>- 6 -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_Toc32628 </w:instrText>
      </w:r>
      <w:r>
        <w:rPr>
          <w:rFonts w:hint="eastAsia" w:ascii="方正小标宋_GBK" w:eastAsia="方正小标宋_GBK" w:cs="文星简黑体"/>
          <w:szCs w:val="44"/>
        </w:rPr>
        <w:fldChar w:fldCharType="separate"/>
      </w:r>
      <w:r>
        <w:rPr>
          <w:rFonts w:hint="eastAsia" w:eastAsia="楷体_GB2312"/>
          <w:bCs/>
          <w:kern w:val="0"/>
          <w:szCs w:val="32"/>
        </w:rPr>
        <w:t>（二）资金投入和使用情况</w:t>
      </w:r>
      <w:r>
        <w:tab/>
      </w:r>
      <w:r>
        <w:fldChar w:fldCharType="begin"/>
      </w:r>
      <w:r>
        <w:instrText xml:space="preserve"> PAGEREF _Toc32628 \h </w:instrText>
      </w:r>
      <w:r>
        <w:fldChar w:fldCharType="separate"/>
      </w:r>
      <w:r>
        <w:t>- 8 -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_Toc6781 </w:instrText>
      </w:r>
      <w:r>
        <w:rPr>
          <w:rFonts w:hint="eastAsia" w:ascii="方正小标宋_GBK" w:eastAsia="方正小标宋_GBK" w:cs="文星简黑体"/>
          <w:szCs w:val="44"/>
        </w:rPr>
        <w:fldChar w:fldCharType="separate"/>
      </w:r>
      <w:r>
        <w:rPr>
          <w:rFonts w:hint="eastAsia" w:eastAsia="楷体_GB2312"/>
          <w:bCs/>
          <w:kern w:val="0"/>
          <w:szCs w:val="32"/>
        </w:rPr>
        <w:t>（三）项目绩效目标</w:t>
      </w:r>
      <w:r>
        <w:tab/>
      </w:r>
      <w:r>
        <w:fldChar w:fldCharType="begin"/>
      </w:r>
      <w:r>
        <w:instrText xml:space="preserve"> PAGEREF _Toc6781 \h </w:instrText>
      </w:r>
      <w:r>
        <w:fldChar w:fldCharType="separate"/>
      </w:r>
      <w:r>
        <w:t>- 8 -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_Toc32496 </w:instrText>
      </w:r>
      <w:r>
        <w:rPr>
          <w:rFonts w:hint="eastAsia" w:ascii="方正小标宋_GBK" w:eastAsia="方正小标宋_GBK" w:cs="文星简黑体"/>
          <w:szCs w:val="44"/>
        </w:rPr>
        <w:fldChar w:fldCharType="separate"/>
      </w:r>
      <w:r>
        <w:rPr>
          <w:rFonts w:hint="eastAsia" w:ascii="黑体" w:hAnsi="黑体" w:eastAsia="黑体"/>
          <w:szCs w:val="32"/>
        </w:rPr>
        <w:t>二、绩效评价思路</w:t>
      </w:r>
      <w:r>
        <w:tab/>
      </w:r>
      <w:r>
        <w:fldChar w:fldCharType="begin"/>
      </w:r>
      <w:r>
        <w:instrText xml:space="preserve"> PAGEREF _Toc32496 \h </w:instrText>
      </w:r>
      <w:r>
        <w:fldChar w:fldCharType="separate"/>
      </w:r>
      <w:r>
        <w:t>- 9 -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_Toc29534 </w:instrText>
      </w:r>
      <w:r>
        <w:rPr>
          <w:rFonts w:hint="eastAsia" w:ascii="方正小标宋_GBK" w:eastAsia="方正小标宋_GBK" w:cs="文星简黑体"/>
          <w:szCs w:val="44"/>
        </w:rPr>
        <w:fldChar w:fldCharType="separate"/>
      </w:r>
      <w:r>
        <w:rPr>
          <w:rFonts w:hint="eastAsia" w:eastAsia="楷体_GB2312"/>
          <w:bCs/>
          <w:kern w:val="0"/>
          <w:szCs w:val="32"/>
        </w:rPr>
        <w:t>（一）评价目的</w:t>
      </w:r>
      <w:r>
        <w:tab/>
      </w:r>
      <w:r>
        <w:fldChar w:fldCharType="begin"/>
      </w:r>
      <w:r>
        <w:instrText xml:space="preserve"> PAGEREF _Toc29534 \h </w:instrText>
      </w:r>
      <w:r>
        <w:fldChar w:fldCharType="separate"/>
      </w:r>
      <w:r>
        <w:t>- 9 -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_Toc10610 </w:instrText>
      </w:r>
      <w:r>
        <w:rPr>
          <w:rFonts w:hint="eastAsia" w:ascii="方正小标宋_GBK" w:eastAsia="方正小标宋_GBK" w:cs="文星简黑体"/>
          <w:szCs w:val="44"/>
        </w:rPr>
        <w:fldChar w:fldCharType="separate"/>
      </w:r>
      <w:r>
        <w:rPr>
          <w:rFonts w:hint="eastAsia" w:eastAsia="楷体_GB2312"/>
          <w:bCs/>
          <w:kern w:val="0"/>
          <w:szCs w:val="32"/>
        </w:rPr>
        <w:t>（二）评价对象和范围</w:t>
      </w:r>
      <w:r>
        <w:tab/>
      </w:r>
      <w:r>
        <w:fldChar w:fldCharType="begin"/>
      </w:r>
      <w:r>
        <w:instrText xml:space="preserve"> PAGEREF _Toc10610 \h </w:instrText>
      </w:r>
      <w:r>
        <w:fldChar w:fldCharType="separate"/>
      </w:r>
      <w:r>
        <w:t>- 10 -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_Toc8974 </w:instrText>
      </w:r>
      <w:r>
        <w:rPr>
          <w:rFonts w:hint="eastAsia" w:ascii="方正小标宋_GBK" w:eastAsia="方正小标宋_GBK" w:cs="文星简黑体"/>
          <w:szCs w:val="44"/>
        </w:rPr>
        <w:fldChar w:fldCharType="separate"/>
      </w:r>
      <w:r>
        <w:rPr>
          <w:rFonts w:hint="eastAsia" w:eastAsia="楷体_GB2312"/>
          <w:bCs/>
          <w:kern w:val="0"/>
          <w:szCs w:val="32"/>
        </w:rPr>
        <w:t>（三）绩效评价原则及评价方法</w:t>
      </w:r>
      <w:r>
        <w:tab/>
      </w:r>
      <w:r>
        <w:fldChar w:fldCharType="begin"/>
      </w:r>
      <w:r>
        <w:instrText xml:space="preserve"> PAGEREF _Toc8974 \h </w:instrText>
      </w:r>
      <w:r>
        <w:fldChar w:fldCharType="separate"/>
      </w:r>
      <w:r>
        <w:t>- 10 -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_Toc8414 </w:instrText>
      </w:r>
      <w:r>
        <w:rPr>
          <w:rFonts w:hint="eastAsia" w:ascii="方正小标宋_GBK" w:eastAsia="方正小标宋_GBK" w:cs="文星简黑体"/>
          <w:szCs w:val="44"/>
        </w:rPr>
        <w:fldChar w:fldCharType="separate"/>
      </w:r>
      <w:r>
        <w:rPr>
          <w:rFonts w:hint="eastAsia" w:eastAsia="楷体_GB2312"/>
          <w:bCs/>
          <w:kern w:val="0"/>
          <w:szCs w:val="32"/>
        </w:rPr>
        <w:t>（四）评价依据</w:t>
      </w:r>
      <w:r>
        <w:tab/>
      </w:r>
      <w:r>
        <w:fldChar w:fldCharType="begin"/>
      </w:r>
      <w:r>
        <w:instrText xml:space="preserve"> PAGEREF _Toc8414 \h </w:instrText>
      </w:r>
      <w:r>
        <w:fldChar w:fldCharType="separate"/>
      </w:r>
      <w:r>
        <w:t>- 11 -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_Toc27895 </w:instrText>
      </w:r>
      <w:r>
        <w:rPr>
          <w:rFonts w:hint="eastAsia" w:ascii="方正小标宋_GBK" w:eastAsia="方正小标宋_GBK" w:cs="文星简黑体"/>
          <w:szCs w:val="44"/>
        </w:rPr>
        <w:fldChar w:fldCharType="separate"/>
      </w:r>
      <w:r>
        <w:rPr>
          <w:rFonts w:hint="eastAsia" w:eastAsia="楷体_GB2312"/>
          <w:bCs/>
          <w:kern w:val="0"/>
          <w:szCs w:val="32"/>
        </w:rPr>
        <w:t>（五）评价指标体系及评价标准</w:t>
      </w:r>
      <w:r>
        <w:tab/>
      </w:r>
      <w:r>
        <w:fldChar w:fldCharType="begin"/>
      </w:r>
      <w:r>
        <w:instrText xml:space="preserve"> PAGEREF _Toc27895 \h </w:instrText>
      </w:r>
      <w:r>
        <w:fldChar w:fldCharType="separate"/>
      </w:r>
      <w:r>
        <w:t>- 12 -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_Toc26562 </w:instrText>
      </w:r>
      <w:r>
        <w:rPr>
          <w:rFonts w:hint="eastAsia" w:ascii="方正小标宋_GBK" w:eastAsia="方正小标宋_GBK" w:cs="文星简黑体"/>
          <w:szCs w:val="44"/>
        </w:rPr>
        <w:fldChar w:fldCharType="separate"/>
      </w:r>
      <w:r>
        <w:rPr>
          <w:rFonts w:hint="eastAsia" w:eastAsia="楷体_GB2312"/>
          <w:bCs/>
          <w:kern w:val="0"/>
          <w:szCs w:val="32"/>
        </w:rPr>
        <w:t>（六）绩效评价工作过程</w:t>
      </w:r>
      <w:r>
        <w:tab/>
      </w:r>
      <w:r>
        <w:fldChar w:fldCharType="begin"/>
      </w:r>
      <w:r>
        <w:instrText xml:space="preserve"> PAGEREF _Toc26562 \h </w:instrText>
      </w:r>
      <w:r>
        <w:fldChar w:fldCharType="separate"/>
      </w:r>
      <w:r>
        <w:t>- 20 -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_Toc2827 </w:instrText>
      </w:r>
      <w:r>
        <w:rPr>
          <w:rFonts w:hint="eastAsia" w:ascii="方正小标宋_GBK" w:eastAsia="方正小标宋_GBK" w:cs="文星简黑体"/>
          <w:szCs w:val="44"/>
        </w:rPr>
        <w:fldChar w:fldCharType="separate"/>
      </w:r>
      <w:r>
        <w:rPr>
          <w:rFonts w:hint="eastAsia" w:ascii="黑体" w:hAnsi="黑体" w:eastAsia="黑体"/>
          <w:szCs w:val="32"/>
        </w:rPr>
        <w:t>三、评价结果</w:t>
      </w:r>
      <w:r>
        <w:tab/>
      </w:r>
      <w:r>
        <w:fldChar w:fldCharType="begin"/>
      </w:r>
      <w:r>
        <w:instrText xml:space="preserve"> PAGEREF _Toc2827 \h </w:instrText>
      </w:r>
      <w:r>
        <w:fldChar w:fldCharType="separate"/>
      </w:r>
      <w:r>
        <w:t>- 23 -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_Toc4964 </w:instrText>
      </w:r>
      <w:r>
        <w:rPr>
          <w:rFonts w:hint="eastAsia" w:ascii="方正小标宋_GBK" w:eastAsia="方正小标宋_GBK" w:cs="文星简黑体"/>
          <w:szCs w:val="44"/>
        </w:rPr>
        <w:fldChar w:fldCharType="separate"/>
      </w:r>
      <w:r>
        <w:rPr>
          <w:rFonts w:hint="eastAsia" w:eastAsia="楷体_GB2312"/>
          <w:bCs/>
          <w:kern w:val="0"/>
          <w:szCs w:val="32"/>
        </w:rPr>
        <w:t>（一）评价结论</w:t>
      </w:r>
      <w:r>
        <w:tab/>
      </w:r>
      <w:r>
        <w:fldChar w:fldCharType="begin"/>
      </w:r>
      <w:r>
        <w:instrText xml:space="preserve"> PAGEREF _Toc4964 \h </w:instrText>
      </w:r>
      <w:r>
        <w:fldChar w:fldCharType="separate"/>
      </w:r>
      <w:r>
        <w:t>- 23 -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_Toc23599 </w:instrText>
      </w:r>
      <w:r>
        <w:rPr>
          <w:rFonts w:hint="eastAsia" w:ascii="方正小标宋_GBK" w:eastAsia="方正小标宋_GBK" w:cs="文星简黑体"/>
          <w:szCs w:val="44"/>
        </w:rPr>
        <w:fldChar w:fldCharType="separate"/>
      </w:r>
      <w:r>
        <w:rPr>
          <w:rFonts w:hint="eastAsia" w:eastAsia="楷体_GB2312"/>
          <w:bCs/>
          <w:kern w:val="0"/>
          <w:szCs w:val="32"/>
        </w:rPr>
        <w:t>（二）主要绩效</w:t>
      </w:r>
      <w:r>
        <w:tab/>
      </w:r>
      <w:r>
        <w:fldChar w:fldCharType="begin"/>
      </w:r>
      <w:r>
        <w:instrText xml:space="preserve"> PAGEREF _Toc23599 \h </w:instrText>
      </w:r>
      <w:r>
        <w:fldChar w:fldCharType="separate"/>
      </w:r>
      <w:r>
        <w:t>- 24 -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_Toc29435 </w:instrText>
      </w:r>
      <w:r>
        <w:rPr>
          <w:rFonts w:hint="eastAsia" w:ascii="方正小标宋_GBK" w:eastAsia="方正小标宋_GBK" w:cs="文星简黑体"/>
          <w:szCs w:val="44"/>
        </w:rPr>
        <w:fldChar w:fldCharType="separate"/>
      </w:r>
      <w:r>
        <w:rPr>
          <w:rFonts w:hint="eastAsia" w:ascii="黑体" w:hAnsi="黑体" w:eastAsia="黑体"/>
          <w:szCs w:val="32"/>
        </w:rPr>
        <w:t>四、绩效评价指标分析</w:t>
      </w:r>
      <w:r>
        <w:tab/>
      </w:r>
      <w:r>
        <w:fldChar w:fldCharType="begin"/>
      </w:r>
      <w:r>
        <w:instrText xml:space="preserve"> PAGEREF _Toc29435 \h </w:instrText>
      </w:r>
      <w:r>
        <w:fldChar w:fldCharType="separate"/>
      </w:r>
      <w:r>
        <w:t>- 25 -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_Toc22270 </w:instrText>
      </w:r>
      <w:r>
        <w:rPr>
          <w:rFonts w:hint="eastAsia" w:ascii="方正小标宋_GBK" w:eastAsia="方正小标宋_GBK" w:cs="文星简黑体"/>
          <w:szCs w:val="44"/>
        </w:rPr>
        <w:fldChar w:fldCharType="separate"/>
      </w:r>
      <w:r>
        <w:rPr>
          <w:rFonts w:hint="eastAsia" w:eastAsia="楷体_GB2312"/>
          <w:bCs/>
          <w:kern w:val="0"/>
          <w:szCs w:val="32"/>
        </w:rPr>
        <w:t>（一）项目决策情况</w:t>
      </w:r>
      <w:r>
        <w:tab/>
      </w:r>
      <w:r>
        <w:fldChar w:fldCharType="begin"/>
      </w:r>
      <w:r>
        <w:instrText xml:space="preserve"> PAGEREF _Toc22270 \h </w:instrText>
      </w:r>
      <w:r>
        <w:fldChar w:fldCharType="separate"/>
      </w:r>
      <w:r>
        <w:t>- 25 -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_Toc32244 </w:instrText>
      </w:r>
      <w:r>
        <w:rPr>
          <w:rFonts w:hint="eastAsia" w:ascii="方正小标宋_GBK" w:eastAsia="方正小标宋_GBK" w:cs="文星简黑体"/>
          <w:szCs w:val="44"/>
        </w:rPr>
        <w:fldChar w:fldCharType="separate"/>
      </w:r>
      <w:r>
        <w:rPr>
          <w:rFonts w:hint="eastAsia" w:eastAsia="楷体_GB2312"/>
          <w:bCs/>
          <w:kern w:val="0"/>
          <w:szCs w:val="32"/>
        </w:rPr>
        <w:t>（二）项目过程情况</w:t>
      </w:r>
      <w:r>
        <w:tab/>
      </w:r>
      <w:r>
        <w:fldChar w:fldCharType="begin"/>
      </w:r>
      <w:r>
        <w:instrText xml:space="preserve"> PAGEREF _Toc32244 \h </w:instrText>
      </w:r>
      <w:r>
        <w:fldChar w:fldCharType="separate"/>
      </w:r>
      <w:r>
        <w:t>- 27 -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_Toc27520 </w:instrText>
      </w:r>
      <w:r>
        <w:rPr>
          <w:rFonts w:hint="eastAsia" w:ascii="方正小标宋_GBK" w:eastAsia="方正小标宋_GBK" w:cs="文星简黑体"/>
          <w:szCs w:val="44"/>
        </w:rPr>
        <w:fldChar w:fldCharType="separate"/>
      </w:r>
      <w:r>
        <w:rPr>
          <w:rFonts w:hint="eastAsia" w:eastAsia="楷体_GB2312"/>
          <w:bCs/>
          <w:kern w:val="0"/>
          <w:szCs w:val="32"/>
        </w:rPr>
        <w:t>（三）项目产出情况</w:t>
      </w:r>
      <w:r>
        <w:tab/>
      </w:r>
      <w:r>
        <w:fldChar w:fldCharType="begin"/>
      </w:r>
      <w:r>
        <w:instrText xml:space="preserve"> PAGEREF _Toc27520 \h </w:instrText>
      </w:r>
      <w:r>
        <w:fldChar w:fldCharType="separate"/>
      </w:r>
      <w:r>
        <w:t>- 29 -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_Toc10558 </w:instrText>
      </w:r>
      <w:r>
        <w:rPr>
          <w:rFonts w:hint="eastAsia" w:ascii="方正小标宋_GBK" w:eastAsia="方正小标宋_GBK" w:cs="文星简黑体"/>
          <w:szCs w:val="44"/>
        </w:rPr>
        <w:fldChar w:fldCharType="separate"/>
      </w:r>
      <w:r>
        <w:rPr>
          <w:rFonts w:hint="eastAsia" w:eastAsia="楷体_GB2312"/>
          <w:bCs/>
          <w:kern w:val="0"/>
          <w:szCs w:val="32"/>
        </w:rPr>
        <w:t>（四）项目效益情况</w:t>
      </w:r>
      <w:r>
        <w:tab/>
      </w:r>
      <w:r>
        <w:fldChar w:fldCharType="begin"/>
      </w:r>
      <w:r>
        <w:instrText xml:space="preserve"> PAGEREF _Toc10558 \h </w:instrText>
      </w:r>
      <w:r>
        <w:fldChar w:fldCharType="separate"/>
      </w:r>
      <w:r>
        <w:t>- 30 -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_Toc5074 </w:instrText>
      </w:r>
      <w:r>
        <w:rPr>
          <w:rFonts w:hint="eastAsia" w:ascii="方正小标宋_GBK" w:eastAsia="方正小标宋_GBK" w:cs="文星简黑体"/>
          <w:szCs w:val="44"/>
        </w:rPr>
        <w:fldChar w:fldCharType="separate"/>
      </w:r>
      <w:r>
        <w:rPr>
          <w:rFonts w:hint="eastAsia" w:ascii="黑体" w:hAnsi="黑体" w:eastAsia="黑体"/>
          <w:szCs w:val="32"/>
        </w:rPr>
        <w:t>五、主要经验及做法</w:t>
      </w:r>
      <w:r>
        <w:tab/>
      </w:r>
      <w:r>
        <w:fldChar w:fldCharType="begin"/>
      </w:r>
      <w:r>
        <w:instrText xml:space="preserve"> PAGEREF _Toc5074 \h </w:instrText>
      </w:r>
      <w:r>
        <w:fldChar w:fldCharType="separate"/>
      </w:r>
      <w:r>
        <w:t>- 32 -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_Toc990 </w:instrText>
      </w:r>
      <w:r>
        <w:rPr>
          <w:rFonts w:hint="eastAsia" w:ascii="方正小标宋_GBK" w:eastAsia="方正小标宋_GBK" w:cs="文星简黑体"/>
          <w:szCs w:val="44"/>
        </w:rPr>
        <w:fldChar w:fldCharType="separate"/>
      </w:r>
      <w:r>
        <w:rPr>
          <w:rFonts w:hint="eastAsia" w:ascii="黑体" w:hAnsi="黑体" w:eastAsia="黑体"/>
          <w:szCs w:val="32"/>
        </w:rPr>
        <w:t>六、存在的问题及原因分析</w:t>
      </w:r>
      <w:r>
        <w:tab/>
      </w:r>
      <w:r>
        <w:fldChar w:fldCharType="begin"/>
      </w:r>
      <w:r>
        <w:instrText xml:space="preserve"> PAGEREF _Toc990 \h </w:instrText>
      </w:r>
      <w:r>
        <w:fldChar w:fldCharType="separate"/>
      </w:r>
      <w:r>
        <w:t>- 33 -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_Toc4815 </w:instrText>
      </w:r>
      <w:r>
        <w:rPr>
          <w:rFonts w:hint="eastAsia" w:ascii="方正小标宋_GBK" w:eastAsia="方正小标宋_GBK" w:cs="文星简黑体"/>
          <w:szCs w:val="44"/>
        </w:rPr>
        <w:fldChar w:fldCharType="separate"/>
      </w:r>
      <w:r>
        <w:rPr>
          <w:rFonts w:hint="eastAsia" w:eastAsia="楷体_GB2312"/>
          <w:bCs/>
          <w:kern w:val="0"/>
          <w:szCs w:val="32"/>
        </w:rPr>
        <w:t>（一）绩效意识淡薄，项目实施前未设绩效目标</w:t>
      </w:r>
      <w:r>
        <w:tab/>
      </w:r>
      <w:r>
        <w:fldChar w:fldCharType="begin"/>
      </w:r>
      <w:r>
        <w:instrText xml:space="preserve"> PAGEREF _Toc4815 \h </w:instrText>
      </w:r>
      <w:r>
        <w:fldChar w:fldCharType="separate"/>
      </w:r>
      <w:r>
        <w:t>- 33 -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_Toc15723 </w:instrText>
      </w:r>
      <w:r>
        <w:rPr>
          <w:rFonts w:hint="eastAsia" w:ascii="方正小标宋_GBK" w:eastAsia="方正小标宋_GBK" w:cs="文星简黑体"/>
          <w:szCs w:val="44"/>
        </w:rPr>
        <w:fldChar w:fldCharType="separate"/>
      </w:r>
      <w:r>
        <w:rPr>
          <w:rFonts w:hint="eastAsia" w:eastAsia="楷体_GB2312"/>
          <w:bCs/>
          <w:kern w:val="0"/>
          <w:szCs w:val="32"/>
        </w:rPr>
        <w:t>（二）重投入轻效益，可持续影响的关注力度有待提高</w:t>
      </w:r>
      <w:r>
        <w:tab/>
      </w:r>
      <w:r>
        <w:fldChar w:fldCharType="begin"/>
      </w:r>
      <w:r>
        <w:instrText xml:space="preserve"> PAGEREF _Toc15723 \h </w:instrText>
      </w:r>
      <w:r>
        <w:fldChar w:fldCharType="separate"/>
      </w:r>
      <w:r>
        <w:t>- 34 -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_Toc6456 </w:instrText>
      </w:r>
      <w:r>
        <w:rPr>
          <w:rFonts w:hint="eastAsia" w:ascii="方正小标宋_GBK" w:eastAsia="方正小标宋_GBK" w:cs="文星简黑体"/>
          <w:szCs w:val="44"/>
        </w:rPr>
        <w:fldChar w:fldCharType="separate"/>
      </w:r>
      <w:r>
        <w:rPr>
          <w:rFonts w:hint="eastAsia" w:eastAsia="楷体_GB2312"/>
          <w:bCs/>
          <w:kern w:val="0"/>
          <w:szCs w:val="32"/>
        </w:rPr>
        <w:t>（三）合同约定不规范，质量标准未明确</w:t>
      </w:r>
      <w:r>
        <w:tab/>
      </w:r>
      <w:r>
        <w:fldChar w:fldCharType="begin"/>
      </w:r>
      <w:r>
        <w:instrText xml:space="preserve"> PAGEREF _Toc6456 \h </w:instrText>
      </w:r>
      <w:r>
        <w:fldChar w:fldCharType="separate"/>
      </w:r>
      <w:r>
        <w:t>- 34 -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_Toc3359 </w:instrText>
      </w:r>
      <w:r>
        <w:rPr>
          <w:rFonts w:hint="eastAsia" w:ascii="方正小标宋_GBK" w:eastAsia="方正小标宋_GBK" w:cs="文星简黑体"/>
          <w:szCs w:val="44"/>
        </w:rPr>
        <w:fldChar w:fldCharType="separate"/>
      </w:r>
      <w:r>
        <w:rPr>
          <w:rFonts w:hint="eastAsia" w:eastAsia="楷体_GB2312"/>
          <w:bCs/>
          <w:kern w:val="0"/>
          <w:szCs w:val="32"/>
        </w:rPr>
        <w:t>（</w:t>
      </w:r>
      <w:r>
        <w:rPr>
          <w:rFonts w:hint="eastAsia" w:eastAsia="楷体_GB2312"/>
          <w:bCs/>
          <w:kern w:val="0"/>
          <w:szCs w:val="32"/>
          <w:lang w:val="en-US" w:eastAsia="zh-CN"/>
        </w:rPr>
        <w:t>四</w:t>
      </w:r>
      <w:r>
        <w:rPr>
          <w:rFonts w:hint="eastAsia" w:eastAsia="楷体_GB2312"/>
          <w:bCs/>
          <w:kern w:val="0"/>
          <w:szCs w:val="32"/>
        </w:rPr>
        <w:t>）竣工验收流程较简易</w:t>
      </w:r>
      <w:r>
        <w:tab/>
      </w:r>
      <w:r>
        <w:fldChar w:fldCharType="begin"/>
      </w:r>
      <w:r>
        <w:instrText xml:space="preserve"> PAGEREF _Toc3359 \h </w:instrText>
      </w:r>
      <w:r>
        <w:fldChar w:fldCharType="separate"/>
      </w:r>
      <w:r>
        <w:t>- 34 -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_Toc3313 </w:instrText>
      </w:r>
      <w:r>
        <w:rPr>
          <w:rFonts w:hint="eastAsia" w:ascii="方正小标宋_GBK" w:eastAsia="方正小标宋_GBK" w:cs="文星简黑体"/>
          <w:szCs w:val="44"/>
        </w:rPr>
        <w:fldChar w:fldCharType="separate"/>
      </w:r>
      <w:r>
        <w:rPr>
          <w:rFonts w:hint="eastAsia" w:ascii="黑体" w:hAnsi="黑体" w:eastAsia="黑体"/>
          <w:szCs w:val="32"/>
        </w:rPr>
        <w:t>七、意见建议</w:t>
      </w:r>
      <w:r>
        <w:tab/>
      </w:r>
      <w:r>
        <w:fldChar w:fldCharType="begin"/>
      </w:r>
      <w:r>
        <w:instrText xml:space="preserve"> PAGEREF _Toc3313 \h </w:instrText>
      </w:r>
      <w:r>
        <w:fldChar w:fldCharType="separate"/>
      </w:r>
      <w:r>
        <w:t>- 34 -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_Toc26261 </w:instrText>
      </w:r>
      <w:r>
        <w:rPr>
          <w:rFonts w:hint="eastAsia" w:ascii="方正小标宋_GBK" w:eastAsia="方正小标宋_GBK" w:cs="文星简黑体"/>
          <w:szCs w:val="44"/>
        </w:rPr>
        <w:fldChar w:fldCharType="separate"/>
      </w:r>
      <w:r>
        <w:rPr>
          <w:rFonts w:hint="eastAsia" w:eastAsia="楷体_GB2312"/>
          <w:bCs/>
          <w:kern w:val="0"/>
          <w:szCs w:val="32"/>
        </w:rPr>
        <w:t>（一）提高绩效管理意识，加强预算绩效管理机制的建立</w:t>
      </w:r>
      <w:r>
        <w:tab/>
      </w:r>
      <w:r>
        <w:fldChar w:fldCharType="begin"/>
      </w:r>
      <w:r>
        <w:instrText xml:space="preserve"> PAGEREF _Toc26261 \h </w:instrText>
      </w:r>
      <w:r>
        <w:fldChar w:fldCharType="separate"/>
      </w:r>
      <w:r>
        <w:t>- 34 -</w:t>
      </w:r>
      <w:r>
        <w:fldChar w:fldCharType="end"/>
      </w:r>
      <w:r>
        <w:rPr>
          <w:rFonts w:hint="eastAsia" w:ascii="方正小标宋_GBK" w:eastAsia="方正小标宋_GBK" w:cs="文星简黑体"/>
          <w:szCs w:val="44"/>
        </w:rPr>
        <w:fldChar w:fldCharType="end"/>
      </w:r>
    </w:p>
    <w:p>
      <w:pPr>
        <w:pStyle w:val="13"/>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_Toc19274 </w:instrText>
      </w:r>
      <w:r>
        <w:rPr>
          <w:rFonts w:hint="eastAsia" w:ascii="方正小标宋_GBK" w:eastAsia="方正小标宋_GBK" w:cs="文星简黑体"/>
          <w:szCs w:val="44"/>
        </w:rPr>
        <w:fldChar w:fldCharType="separate"/>
      </w:r>
      <w:r>
        <w:rPr>
          <w:rFonts w:hint="eastAsia" w:eastAsia="楷体_GB2312"/>
          <w:bCs/>
          <w:kern w:val="0"/>
          <w:szCs w:val="32"/>
        </w:rPr>
        <w:t>（</w:t>
      </w:r>
      <w:r>
        <w:rPr>
          <w:rFonts w:hint="eastAsia" w:eastAsia="楷体_GB2312"/>
          <w:bCs/>
          <w:kern w:val="0"/>
          <w:szCs w:val="32"/>
          <w:lang w:val="en-US" w:eastAsia="zh-CN"/>
        </w:rPr>
        <w:t>二</w:t>
      </w:r>
      <w:r>
        <w:rPr>
          <w:rFonts w:hint="eastAsia" w:eastAsia="楷体_GB2312"/>
          <w:bCs/>
          <w:kern w:val="0"/>
          <w:szCs w:val="32"/>
        </w:rPr>
        <w:t>）规范项目程序，避免验收流于形式</w:t>
      </w:r>
      <w:r>
        <w:tab/>
      </w:r>
      <w:r>
        <w:fldChar w:fldCharType="begin"/>
      </w:r>
      <w:r>
        <w:instrText xml:space="preserve"> PAGEREF _Toc19274 \h </w:instrText>
      </w:r>
      <w:r>
        <w:fldChar w:fldCharType="separate"/>
      </w:r>
      <w:r>
        <w:t>- 37 -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_Toc4474 </w:instrText>
      </w:r>
      <w:r>
        <w:rPr>
          <w:rFonts w:hint="eastAsia" w:ascii="方正小标宋_GBK" w:eastAsia="方正小标宋_GBK" w:cs="文星简黑体"/>
          <w:szCs w:val="44"/>
        </w:rPr>
        <w:fldChar w:fldCharType="separate"/>
      </w:r>
      <w:r>
        <w:rPr>
          <w:rFonts w:hint="eastAsia" w:ascii="黑体" w:hAnsi="黑体" w:eastAsia="黑体"/>
          <w:szCs w:val="32"/>
        </w:rPr>
        <w:t>八、机构盖章</w:t>
      </w:r>
      <w:r>
        <w:tab/>
      </w:r>
      <w:r>
        <w:fldChar w:fldCharType="begin"/>
      </w:r>
      <w:r>
        <w:instrText xml:space="preserve"> PAGEREF _Toc4474 \h </w:instrText>
      </w:r>
      <w:r>
        <w:fldChar w:fldCharType="separate"/>
      </w:r>
      <w:r>
        <w:t>- 37 -</w:t>
      </w:r>
      <w:r>
        <w:fldChar w:fldCharType="end"/>
      </w:r>
      <w:r>
        <w:rPr>
          <w:rFonts w:hint="eastAsia" w:ascii="方正小标宋_GBK" w:eastAsia="方正小标宋_GBK" w:cs="文星简黑体"/>
          <w:szCs w:val="44"/>
        </w:rPr>
        <w:fldChar w:fldCharType="end"/>
      </w:r>
    </w:p>
    <w:p>
      <w:pPr>
        <w:pStyle w:val="11"/>
        <w:tabs>
          <w:tab w:val="right" w:leader="dot" w:pos="8844"/>
        </w:tabs>
      </w:pPr>
      <w:r>
        <w:rPr>
          <w:rFonts w:hint="eastAsia" w:ascii="方正小标宋_GBK" w:eastAsia="方正小标宋_GBK" w:cs="文星简黑体"/>
          <w:szCs w:val="44"/>
        </w:rPr>
        <w:fldChar w:fldCharType="begin"/>
      </w:r>
      <w:r>
        <w:rPr>
          <w:rFonts w:hint="eastAsia" w:ascii="方正小标宋_GBK" w:eastAsia="方正小标宋_GBK" w:cs="文星简黑体"/>
          <w:szCs w:val="44"/>
        </w:rPr>
        <w:instrText xml:space="preserve"> HYPERLINK \l _Toc18030 </w:instrText>
      </w:r>
      <w:r>
        <w:rPr>
          <w:rFonts w:hint="eastAsia" w:ascii="方正小标宋_GBK" w:eastAsia="方正小标宋_GBK" w:cs="文星简黑体"/>
          <w:szCs w:val="44"/>
        </w:rPr>
        <w:fldChar w:fldCharType="separate"/>
      </w:r>
      <w:r>
        <w:rPr>
          <w:rFonts w:hint="eastAsia" w:ascii="黑体" w:hAnsi="黑体" w:eastAsia="黑体"/>
          <w:szCs w:val="32"/>
        </w:rPr>
        <w:t>九、附件</w:t>
      </w:r>
      <w:r>
        <w:tab/>
      </w:r>
      <w:r>
        <w:fldChar w:fldCharType="begin"/>
      </w:r>
      <w:r>
        <w:instrText xml:space="preserve"> PAGEREF _Toc18030 \h </w:instrText>
      </w:r>
      <w:r>
        <w:fldChar w:fldCharType="separate"/>
      </w:r>
      <w:r>
        <w:t>- 37 -</w:t>
      </w:r>
      <w:r>
        <w:fldChar w:fldCharType="end"/>
      </w:r>
      <w:r>
        <w:rPr>
          <w:rFonts w:hint="eastAsia" w:ascii="方正小标宋_GBK" w:eastAsia="方正小标宋_GBK" w:cs="文星简黑体"/>
          <w:szCs w:val="44"/>
        </w:rPr>
        <w:fldChar w:fldCharType="end"/>
      </w:r>
    </w:p>
    <w:p>
      <w:pPr>
        <w:pStyle w:val="13"/>
        <w:tabs>
          <w:tab w:val="right" w:leader="dot" w:pos="8844"/>
        </w:tabs>
        <w:spacing w:line="520" w:lineRule="exact"/>
        <w:ind w:left="0" w:leftChars="0"/>
        <w:rPr>
          <w:rFonts w:hint="eastAsia" w:ascii="方正小标宋_GBK" w:eastAsia="方正小标宋_GBK" w:cs="文星简黑体"/>
          <w:sz w:val="44"/>
          <w:szCs w:val="44"/>
        </w:rPr>
        <w:sectPr>
          <w:footerReference r:id="rId7" w:type="default"/>
          <w:pgSz w:w="11906" w:h="16838"/>
          <w:pgMar w:top="1928" w:right="1531" w:bottom="1701" w:left="1531" w:header="737" w:footer="851" w:gutter="0"/>
          <w:pgNumType w:fmt="numberInDash" w:start="1"/>
          <w:cols w:space="720" w:num="1"/>
          <w:docGrid w:type="lines" w:linePitch="408" w:charSpace="0"/>
        </w:sectPr>
      </w:pPr>
      <w:r>
        <w:rPr>
          <w:rFonts w:hint="eastAsia" w:ascii="方正小标宋_GBK" w:eastAsia="方正小标宋_GBK" w:cs="文星简黑体"/>
          <w:szCs w:val="44"/>
        </w:rPr>
        <w:fldChar w:fldCharType="end"/>
      </w:r>
    </w:p>
    <w:bookmarkEnd w:id="12"/>
    <w:bookmarkEnd w:id="13"/>
    <w:bookmarkEnd w:id="14"/>
    <w:p>
      <w:pPr>
        <w:pStyle w:val="13"/>
        <w:tabs>
          <w:tab w:val="right" w:leader="dot" w:pos="8844"/>
        </w:tabs>
        <w:spacing w:line="540" w:lineRule="exact"/>
        <w:ind w:left="600"/>
        <w:jc w:val="center"/>
        <w:outlineLvl w:val="0"/>
        <w:rPr>
          <w:rFonts w:hint="eastAsia" w:ascii="方正小标宋_GBK" w:eastAsia="方正小标宋_GBK" w:cs="文星简黑体"/>
          <w:sz w:val="44"/>
          <w:szCs w:val="44"/>
        </w:rPr>
      </w:pPr>
      <w:bookmarkStart w:id="15" w:name="_Toc31329"/>
      <w:bookmarkStart w:id="16" w:name="_Toc21019"/>
      <w:bookmarkStart w:id="17" w:name="_Toc9121"/>
      <w:bookmarkStart w:id="18" w:name="_Toc31848"/>
      <w:r>
        <w:rPr>
          <w:rFonts w:hint="eastAsia" w:ascii="方正小标宋_GBK" w:eastAsia="方正小标宋_GBK" w:cs="文星简黑体"/>
          <w:sz w:val="44"/>
          <w:szCs w:val="44"/>
        </w:rPr>
        <w:t>摘 要</w:t>
      </w:r>
      <w:bookmarkEnd w:id="15"/>
    </w:p>
    <w:p>
      <w:pPr>
        <w:rPr>
          <w:rFonts w:hint="eastAsia"/>
        </w:rPr>
      </w:pPr>
    </w:p>
    <w:bookmarkEnd w:id="16"/>
    <w:bookmarkEnd w:id="17"/>
    <w:bookmarkEnd w:id="18"/>
    <w:p>
      <w:pPr>
        <w:spacing w:line="560" w:lineRule="exact"/>
        <w:ind w:firstLine="640" w:firstLineChars="200"/>
        <w:outlineLvl w:val="0"/>
        <w:rPr>
          <w:rFonts w:eastAsia="黑体"/>
          <w:sz w:val="32"/>
          <w:szCs w:val="32"/>
        </w:rPr>
      </w:pPr>
      <w:bookmarkStart w:id="19" w:name="_Toc27880"/>
      <w:bookmarkStart w:id="20" w:name="_Toc8252"/>
      <w:bookmarkStart w:id="21" w:name="_Toc16215"/>
      <w:bookmarkStart w:id="22" w:name="_Toc6166"/>
      <w:bookmarkStart w:id="23" w:name="_Toc5390"/>
      <w:bookmarkStart w:id="24" w:name="_Toc23453"/>
      <w:bookmarkStart w:id="25" w:name="_Toc2304"/>
      <w:bookmarkStart w:id="26" w:name="_Toc16853"/>
      <w:bookmarkStart w:id="27" w:name="_Toc28733"/>
      <w:bookmarkStart w:id="28" w:name="_Toc27160"/>
      <w:bookmarkStart w:id="29" w:name="_Toc24823"/>
      <w:bookmarkStart w:id="30" w:name="_Toc18320"/>
      <w:bookmarkStart w:id="31" w:name="_Toc9204"/>
      <w:bookmarkStart w:id="32" w:name="_Toc9682"/>
      <w:bookmarkStart w:id="33" w:name="_Toc25087"/>
      <w:bookmarkStart w:id="34" w:name="_Toc20244"/>
      <w:bookmarkStart w:id="35" w:name="_Toc13667"/>
      <w:bookmarkStart w:id="36" w:name="_Toc11056"/>
      <w:r>
        <w:rPr>
          <w:rFonts w:hint="eastAsia" w:ascii="黑体" w:hAnsi="黑体" w:eastAsia="黑体"/>
          <w:sz w:val="32"/>
          <w:szCs w:val="32"/>
        </w:rPr>
        <w:t>一、</w:t>
      </w:r>
      <w:bookmarkEnd w:id="19"/>
      <w:bookmarkEnd w:id="20"/>
      <w:bookmarkEnd w:id="21"/>
      <w:r>
        <w:rPr>
          <w:rFonts w:hint="eastAsia" w:ascii="黑体" w:hAnsi="黑体" w:eastAsia="黑体"/>
          <w:sz w:val="32"/>
          <w:szCs w:val="32"/>
        </w:rPr>
        <w:t>项目情况简介</w:t>
      </w:r>
      <w:bookmarkEnd w:id="22"/>
    </w:p>
    <w:p>
      <w:pPr>
        <w:pStyle w:val="26"/>
        <w:spacing w:line="560" w:lineRule="exact"/>
        <w:ind w:firstLine="640"/>
        <w:rPr>
          <w:rFonts w:hint="eastAsia" w:ascii="仿宋_GB2312" w:hAnsi="Calibri"/>
          <w:kern w:val="0"/>
          <w:sz w:val="32"/>
          <w:szCs w:val="32"/>
        </w:rPr>
      </w:pPr>
      <w:bookmarkStart w:id="37" w:name="_Toc245"/>
      <w:bookmarkStart w:id="38" w:name="_Toc32665"/>
      <w:bookmarkStart w:id="39" w:name="_Toc890"/>
      <w:bookmarkStart w:id="40" w:name="_Toc22380"/>
      <w:bookmarkStart w:id="41" w:name="_Toc16825"/>
      <w:bookmarkStart w:id="42" w:name="_Toc14154"/>
      <w:bookmarkStart w:id="43" w:name="_Toc30732"/>
      <w:bookmarkStart w:id="44" w:name="_Toc28760"/>
      <w:bookmarkStart w:id="45" w:name="_Toc8901"/>
      <w:bookmarkStart w:id="46" w:name="_Toc8965"/>
      <w:bookmarkStart w:id="47" w:name="_Toc4097"/>
      <w:r>
        <w:rPr>
          <w:rFonts w:hint="eastAsia" w:ascii="仿宋_GB2312" w:hAnsi="Calibri"/>
          <w:kern w:val="0"/>
          <w:sz w:val="32"/>
          <w:szCs w:val="32"/>
        </w:rPr>
        <w:t>实施污水沟清理、盖板隐蔽化处理等村级公益事业，在改善农民生产生活条件、促进农村社会管理创新和基层民主政治建设等方面具有重要意义。推进美丽乡村建设，首先要强化村级公益事业建设，通过改善农村人居环境，让群众真正享受到政策实惠，从而助推村级公益事业规范有序发展。</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村级公益事业建设一事一议财政奖补政策是党中央、国务院确定的重大惠民政策，在改善农民生产生活条件、推进社会主义新农村建设、促进农村社会管理创新和基层民主政治建设等方面具有重要意义。</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2022年度，青岛市即墨区潮海街道办事处共申报建设6个村级公益事业建设财政奖补项目，其中辛戈庄村经济合作社为部分污水沟清理、盖板隐蔽化处理项目，包含村内排水沟3700米盖板,项目涉及资金423,233.12元，其中区级财政资金300,000.00元，</w:t>
      </w:r>
      <w:r>
        <w:rPr>
          <w:rFonts w:hint="eastAsia" w:ascii="仿宋_GB2312" w:hAnsi="Calibri"/>
          <w:kern w:val="0"/>
          <w:sz w:val="32"/>
          <w:szCs w:val="32"/>
          <w:lang w:val="en-US" w:eastAsia="zh-CN"/>
        </w:rPr>
        <w:t>村庄自筹</w:t>
      </w:r>
      <w:r>
        <w:rPr>
          <w:rFonts w:hint="eastAsia" w:ascii="仿宋_GB2312" w:hAnsi="Calibri"/>
          <w:kern w:val="0"/>
          <w:sz w:val="32"/>
          <w:szCs w:val="32"/>
        </w:rPr>
        <w:t>123,233.12元。</w:t>
      </w:r>
    </w:p>
    <w:bookmarkEnd w:id="37"/>
    <w:bookmarkEnd w:id="38"/>
    <w:bookmarkEnd w:id="39"/>
    <w:bookmarkEnd w:id="40"/>
    <w:bookmarkEnd w:id="41"/>
    <w:bookmarkEnd w:id="42"/>
    <w:bookmarkEnd w:id="43"/>
    <w:bookmarkEnd w:id="44"/>
    <w:p>
      <w:pPr>
        <w:spacing w:line="560" w:lineRule="exact"/>
        <w:ind w:firstLine="640" w:firstLineChars="200"/>
        <w:outlineLvl w:val="0"/>
        <w:rPr>
          <w:rFonts w:hint="eastAsia" w:ascii="黑体" w:hAnsi="黑体" w:eastAsia="黑体"/>
          <w:sz w:val="32"/>
          <w:szCs w:val="32"/>
        </w:rPr>
      </w:pPr>
      <w:bookmarkStart w:id="48" w:name="_Toc9737"/>
      <w:r>
        <w:rPr>
          <w:rFonts w:hint="eastAsia" w:ascii="黑体" w:hAnsi="黑体" w:eastAsia="黑体"/>
          <w:sz w:val="32"/>
          <w:szCs w:val="32"/>
        </w:rPr>
        <w:t>二、评价结论和绩效分析</w:t>
      </w:r>
      <w:bookmarkEnd w:id="45"/>
      <w:bookmarkEnd w:id="46"/>
      <w:bookmarkEnd w:id="47"/>
      <w:bookmarkEnd w:id="48"/>
    </w:p>
    <w:p>
      <w:pPr>
        <w:pStyle w:val="26"/>
        <w:spacing w:line="560" w:lineRule="exact"/>
        <w:ind w:firstLine="640"/>
        <w:outlineLvl w:val="1"/>
        <w:rPr>
          <w:rFonts w:hint="eastAsia" w:eastAsia="楷体_GB2312"/>
          <w:bCs/>
          <w:kern w:val="0"/>
          <w:sz w:val="32"/>
          <w:szCs w:val="32"/>
        </w:rPr>
      </w:pPr>
      <w:bookmarkStart w:id="49" w:name="_Toc10953"/>
      <w:bookmarkStart w:id="50" w:name="_Toc17033"/>
      <w:bookmarkStart w:id="51" w:name="_Toc13689"/>
      <w:bookmarkStart w:id="52" w:name="_Toc2883"/>
      <w:bookmarkStart w:id="53" w:name="_Toc16237"/>
      <w:bookmarkStart w:id="54" w:name="_Toc22167"/>
      <w:bookmarkStart w:id="55" w:name="_Toc14701"/>
      <w:bookmarkStart w:id="56" w:name="_Toc29985"/>
      <w:bookmarkStart w:id="57" w:name="_Toc4895"/>
      <w:bookmarkStart w:id="58" w:name="_Toc23914"/>
      <w:bookmarkStart w:id="59" w:name="_Toc18429"/>
      <w:bookmarkStart w:id="60" w:name="_Toc24538"/>
      <w:r>
        <w:rPr>
          <w:rFonts w:hint="eastAsia" w:eastAsia="楷体_GB2312"/>
          <w:bCs/>
          <w:kern w:val="0"/>
          <w:sz w:val="32"/>
          <w:szCs w:val="32"/>
        </w:rPr>
        <w:t>（一）评价结论</w:t>
      </w:r>
      <w:bookmarkEnd w:id="49"/>
      <w:bookmarkEnd w:id="50"/>
      <w:bookmarkEnd w:id="51"/>
      <w:bookmarkEnd w:id="52"/>
      <w:bookmarkEnd w:id="53"/>
      <w:bookmarkEnd w:id="54"/>
      <w:bookmarkEnd w:id="55"/>
      <w:bookmarkEnd w:id="56"/>
      <w:bookmarkEnd w:id="57"/>
      <w:bookmarkEnd w:id="58"/>
      <w:bookmarkEnd w:id="59"/>
      <w:bookmarkEnd w:id="60"/>
    </w:p>
    <w:p>
      <w:pPr>
        <w:pStyle w:val="26"/>
        <w:spacing w:line="560" w:lineRule="exact"/>
        <w:ind w:firstLine="640"/>
        <w:rPr>
          <w:rFonts w:hint="eastAsia" w:ascii="仿宋_GB2312" w:hAnsi="Calibri"/>
          <w:kern w:val="0"/>
          <w:sz w:val="32"/>
          <w:szCs w:val="32"/>
        </w:rPr>
      </w:pPr>
      <w:bookmarkStart w:id="61" w:name="_Toc9102"/>
      <w:bookmarkStart w:id="62" w:name="_Toc1661"/>
      <w:bookmarkStart w:id="63" w:name="_Toc20607"/>
      <w:bookmarkStart w:id="64" w:name="_Toc8588"/>
      <w:r>
        <w:rPr>
          <w:rFonts w:hint="eastAsia" w:ascii="仿宋_GB2312" w:hAnsi="Calibri"/>
          <w:kern w:val="0"/>
          <w:sz w:val="32"/>
          <w:szCs w:val="32"/>
        </w:rPr>
        <w:t>青岛市即墨区潮海街道办事处（以下简称“潮海街道办事处”）为改善农村人居环境，改善农民生产生活条件，推进社会主义新农村建设，严格按照市、区关于村级公益事业建设的相关决策部署，积极推进实施一事一议财政奖补政策，辛戈庄村经济合作社申报实施了部分污水沟清理、盖板隐蔽化处理工程项目，改善了村庄排水条件，为村民日常生产生活提供了便利。但也存在绩效意识淡薄、未关注项目的效益发展情况、合同约定不规范，质量标准未明确、竣工验收流程较简易。评价小组通过数据采集、资料核查、问卷调查等方式，对青岛市即墨区潮海街道办事处辛戈庄村部分污水沟清理、盖板隐蔽化处理工程项目的决策、过程、产出、效益四个方面进行综合分析，最终评分结果如下：总得分为</w:t>
      </w:r>
      <w:r>
        <w:rPr>
          <w:rFonts w:hint="eastAsia" w:ascii="仿宋_GB2312" w:hAnsi="Calibri"/>
          <w:kern w:val="0"/>
          <w:sz w:val="32"/>
          <w:szCs w:val="32"/>
          <w:highlight w:val="none"/>
        </w:rPr>
        <w:t>8</w:t>
      </w:r>
      <w:r>
        <w:rPr>
          <w:rFonts w:hint="eastAsia" w:ascii="仿宋_GB2312" w:hAnsi="Calibri"/>
          <w:kern w:val="0"/>
          <w:sz w:val="32"/>
          <w:szCs w:val="32"/>
          <w:highlight w:val="none"/>
          <w:lang w:val="en-US" w:eastAsia="zh-CN"/>
        </w:rPr>
        <w:t>8</w:t>
      </w:r>
      <w:r>
        <w:rPr>
          <w:rFonts w:hint="eastAsia" w:ascii="仿宋_GB2312" w:hAnsi="Calibri"/>
          <w:kern w:val="0"/>
          <w:sz w:val="32"/>
          <w:szCs w:val="32"/>
        </w:rPr>
        <w:t>分，根据青岛市即墨区财政局《关于印发青岛市即墨区预算绩效管理办法的通知》（即财绩效〔2020〕260号），结合本次评价得分值，项目评价等级为“良”。</w:t>
      </w:r>
      <w:bookmarkEnd w:id="61"/>
      <w:bookmarkEnd w:id="62"/>
      <w:bookmarkEnd w:id="63"/>
      <w:bookmarkEnd w:id="64"/>
    </w:p>
    <w:p>
      <w:pPr>
        <w:pStyle w:val="26"/>
        <w:spacing w:line="560" w:lineRule="exact"/>
        <w:ind w:firstLine="640"/>
        <w:outlineLvl w:val="1"/>
        <w:rPr>
          <w:rFonts w:hint="eastAsia" w:eastAsia="楷体_GB2312"/>
          <w:bCs/>
          <w:kern w:val="0"/>
          <w:sz w:val="32"/>
          <w:szCs w:val="32"/>
        </w:rPr>
      </w:pPr>
      <w:bookmarkStart w:id="65" w:name="_Toc23718"/>
      <w:bookmarkStart w:id="66" w:name="_Toc12833"/>
      <w:bookmarkStart w:id="67" w:name="_Toc29943"/>
      <w:bookmarkStart w:id="68" w:name="_Toc4177"/>
      <w:bookmarkStart w:id="69" w:name="_Toc3649"/>
      <w:bookmarkStart w:id="70" w:name="_Toc15837"/>
      <w:bookmarkStart w:id="71" w:name="_Toc27814"/>
      <w:bookmarkStart w:id="72" w:name="_Toc954"/>
      <w:bookmarkStart w:id="73" w:name="_Toc25154"/>
      <w:bookmarkStart w:id="74" w:name="_Toc27713"/>
      <w:bookmarkStart w:id="75" w:name="_Toc7459"/>
      <w:bookmarkStart w:id="76" w:name="_Toc3763"/>
      <w:r>
        <w:rPr>
          <w:rFonts w:hint="eastAsia" w:eastAsia="楷体_GB2312"/>
          <w:bCs/>
          <w:kern w:val="0"/>
          <w:sz w:val="32"/>
          <w:szCs w:val="32"/>
        </w:rPr>
        <w:t>（二）绩效分析</w:t>
      </w:r>
      <w:bookmarkEnd w:id="65"/>
      <w:bookmarkEnd w:id="66"/>
      <w:bookmarkEnd w:id="67"/>
      <w:bookmarkEnd w:id="68"/>
      <w:bookmarkEnd w:id="69"/>
      <w:bookmarkEnd w:id="70"/>
      <w:bookmarkEnd w:id="71"/>
      <w:bookmarkEnd w:id="72"/>
      <w:bookmarkEnd w:id="73"/>
      <w:bookmarkEnd w:id="74"/>
      <w:bookmarkEnd w:id="75"/>
      <w:bookmarkEnd w:id="76"/>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1.主要绩效</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辛戈庄村部分污水沟清理、盖板隐蔽化处理工程项目共完成村内排水沟3700米盖板。</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2.主要效益情况</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辛戈庄村部分污水沟清理、盖板隐蔽化处理工程项目为村级公益事业建设财政奖补项目，主要产生社会效益及生态效益。</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（1）社会效益方面</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施工前照片，项目实施前村庄排水沟较破烂，淤泥及生活垃圾堆积，排水功能减弱，项目实施后，排水沟清除淤积，恢复排水功能，并加盖盖板，防止垃圾堆积，对提高村民生活质量，改善人居环境具有积极影响。</w:t>
      </w:r>
    </w:p>
    <w:p>
      <w:pPr>
        <w:pStyle w:val="26"/>
        <w:numPr>
          <w:ilvl w:val="0"/>
          <w:numId w:val="1"/>
        </w:numPr>
        <w:spacing w:line="560" w:lineRule="exact"/>
        <w:ind w:firstLine="640"/>
        <w:rPr>
          <w:rFonts w:hint="eastAsia" w:ascii="仿宋_GB2312" w:hAnsi="Calibri"/>
          <w:kern w:val="0"/>
          <w:sz w:val="32"/>
          <w:szCs w:val="32"/>
        </w:rPr>
      </w:pPr>
      <w:r>
        <w:rPr>
          <w:rFonts w:hint="eastAsia" w:ascii="仿宋_GB2312" w:hAnsi="Calibri"/>
          <w:kern w:val="0"/>
          <w:sz w:val="32"/>
          <w:szCs w:val="32"/>
        </w:rPr>
        <w:t>生态效益方面</w:t>
      </w:r>
    </w:p>
    <w:p>
      <w:pPr>
        <w:spacing w:line="560" w:lineRule="exact"/>
        <w:ind w:firstLine="640" w:firstLineChars="200"/>
        <w:rPr>
          <w:rFonts w:hint="eastAsia" w:ascii="仿宋_GB2312" w:hAnsi="Calibri"/>
          <w:kern w:val="0"/>
          <w:sz w:val="32"/>
          <w:szCs w:val="32"/>
        </w:rPr>
      </w:pPr>
      <w:bookmarkStart w:id="77" w:name="_Toc5976"/>
      <w:bookmarkStart w:id="78" w:name="_Toc29453"/>
      <w:r>
        <w:rPr>
          <w:rFonts w:hint="eastAsia" w:ascii="仿宋_GB2312" w:hAnsi="Calibri"/>
          <w:kern w:val="0"/>
          <w:sz w:val="32"/>
          <w:szCs w:val="32"/>
        </w:rPr>
        <w:t>项目实施前村庄排水沟淤泥较厚，垃圾堆积，严重影响村庄整体形象及周边环境，项目实施后村庄整体环境面貌得到较大改善，对建设美丽乡村具有积极影响。</w:t>
      </w:r>
      <w:bookmarkEnd w:id="77"/>
      <w:bookmarkEnd w:id="78"/>
    </w:p>
    <w:p>
      <w:pPr>
        <w:spacing w:line="560" w:lineRule="exact"/>
        <w:ind w:firstLine="640" w:firstLineChars="200"/>
        <w:outlineLvl w:val="0"/>
        <w:rPr>
          <w:rFonts w:hint="eastAsia" w:ascii="黑体" w:hAnsi="黑体" w:eastAsia="黑体"/>
          <w:sz w:val="32"/>
          <w:szCs w:val="32"/>
        </w:rPr>
      </w:pPr>
      <w:bookmarkStart w:id="79" w:name="_Toc13934"/>
      <w:r>
        <w:rPr>
          <w:rFonts w:hint="eastAsia" w:ascii="黑体" w:hAnsi="黑体" w:eastAsia="黑体"/>
          <w:sz w:val="32"/>
          <w:szCs w:val="32"/>
        </w:rPr>
        <w:t>三、存在的问题</w:t>
      </w:r>
      <w:bookmarkEnd w:id="79"/>
    </w:p>
    <w:p>
      <w:pPr>
        <w:pStyle w:val="26"/>
        <w:spacing w:line="560" w:lineRule="exact"/>
        <w:ind w:firstLine="640"/>
        <w:outlineLvl w:val="1"/>
        <w:rPr>
          <w:rFonts w:hint="eastAsia" w:eastAsia="楷体_GB2312"/>
          <w:bCs/>
          <w:kern w:val="0"/>
          <w:sz w:val="32"/>
          <w:szCs w:val="32"/>
        </w:rPr>
      </w:pPr>
      <w:bookmarkStart w:id="80" w:name="_Toc27085"/>
      <w:r>
        <w:rPr>
          <w:rFonts w:hint="eastAsia" w:eastAsia="楷体_GB2312"/>
          <w:bCs/>
          <w:kern w:val="0"/>
          <w:sz w:val="32"/>
          <w:szCs w:val="32"/>
        </w:rPr>
        <w:t>（一）绩效意识淡薄，项目实施前未设绩效目标</w:t>
      </w:r>
      <w:bookmarkEnd w:id="80"/>
    </w:p>
    <w:p>
      <w:pPr>
        <w:pStyle w:val="26"/>
        <w:spacing w:line="560" w:lineRule="exact"/>
        <w:ind w:firstLine="640"/>
        <w:rPr>
          <w:rFonts w:ascii="仿宋_GB2312" w:hAnsi="Calibri"/>
          <w:kern w:val="0"/>
          <w:sz w:val="32"/>
          <w:szCs w:val="32"/>
        </w:rPr>
      </w:pPr>
      <w:r>
        <w:rPr>
          <w:rFonts w:hint="eastAsia" w:ascii="仿宋_GB2312" w:hAnsi="Calibri"/>
          <w:kern w:val="0"/>
          <w:sz w:val="32"/>
          <w:szCs w:val="32"/>
        </w:rPr>
        <w:t>根据青岛市即墨区财政局《关于印发青岛市即墨区预算绩效管理办法的通知》（即财绩效〔2020〕260号）第七条“专项资金预算绩效目标，按照“谁申请、谁编制”的原则编制。”、第九条“专项资金绩效目标是编制专项资金预算的前置条件，也是开展专项资金绩效监控和评价的重要依据。各预算</w:t>
      </w:r>
      <w:r>
        <w:rPr>
          <w:rFonts w:hint="eastAsia" w:ascii="仿宋_GB2312" w:hAnsi="Calibri"/>
          <w:kern w:val="0"/>
          <w:sz w:val="32"/>
          <w:szCs w:val="32"/>
          <w:lang w:eastAsia="zh-CN"/>
        </w:rPr>
        <w:t>单位</w:t>
      </w:r>
      <w:r>
        <w:rPr>
          <w:rFonts w:hint="eastAsia" w:ascii="仿宋_GB2312" w:hAnsi="Calibri"/>
          <w:kern w:val="0"/>
          <w:sz w:val="32"/>
          <w:szCs w:val="32"/>
        </w:rPr>
        <w:t>要建立健全本</w:t>
      </w:r>
      <w:r>
        <w:rPr>
          <w:rFonts w:hint="eastAsia" w:ascii="仿宋_GB2312" w:hAnsi="Calibri"/>
          <w:kern w:val="0"/>
          <w:sz w:val="32"/>
          <w:szCs w:val="32"/>
          <w:lang w:eastAsia="zh-CN"/>
        </w:rPr>
        <w:t>单位</w:t>
      </w:r>
      <w:r>
        <w:rPr>
          <w:rFonts w:hint="eastAsia" w:ascii="仿宋_GB2312" w:hAnsi="Calibri"/>
          <w:kern w:val="0"/>
          <w:sz w:val="32"/>
          <w:szCs w:val="32"/>
        </w:rPr>
        <w:t>专项资金绩效目标编制管理的制度办法和决策程序，加强对所属单位的业务指导和专项资金绩效目标审核工作。”的要求，潮海街道办事处应负责或指导本级财政专项资金绩效目标的设定，但在实际工作中，潮海街道办事处未形成本级绩效体系，在项目预算申报前未指导、监督项目绩效目标的编制，预算绩效管理意识淡薄，绩效理念未树立。</w:t>
      </w:r>
    </w:p>
    <w:p>
      <w:pPr>
        <w:pStyle w:val="26"/>
        <w:spacing w:line="560" w:lineRule="exact"/>
        <w:ind w:firstLine="640"/>
        <w:outlineLvl w:val="1"/>
        <w:rPr>
          <w:rFonts w:hint="eastAsia" w:eastAsia="楷体_GB2312"/>
          <w:bCs/>
          <w:kern w:val="0"/>
          <w:sz w:val="32"/>
          <w:szCs w:val="32"/>
        </w:rPr>
      </w:pPr>
      <w:bookmarkStart w:id="81" w:name="_Toc30713"/>
      <w:r>
        <w:rPr>
          <w:rFonts w:hint="eastAsia" w:eastAsia="楷体_GB2312"/>
          <w:bCs/>
          <w:kern w:val="0"/>
          <w:sz w:val="32"/>
          <w:szCs w:val="32"/>
        </w:rPr>
        <w:t>（二）重投入轻效益，可持续影响的关注力度有待提高</w:t>
      </w:r>
      <w:bookmarkEnd w:id="81"/>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预算绩效管理的使命是提升资金使用绩效，优化资源配置，推动实现高质量发展。潮海街道办事处绩效理念尚未牢固树立，存在重投入轻管理、重支出轻绩效的意识，未在实际工作开展中将绩效理念和方法深度融入预算编制、执行、监督全过程，构建事前事中事后绩效管理闭环系统。</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预算</w:t>
      </w:r>
      <w:r>
        <w:rPr>
          <w:rFonts w:hint="eastAsia" w:ascii="仿宋_GB2312" w:hAnsi="Calibri"/>
          <w:kern w:val="0"/>
          <w:sz w:val="32"/>
          <w:szCs w:val="32"/>
          <w:lang w:eastAsia="zh-CN"/>
        </w:rPr>
        <w:t>单位</w:t>
      </w:r>
      <w:r>
        <w:rPr>
          <w:rFonts w:hint="eastAsia" w:ascii="仿宋_GB2312" w:hAnsi="Calibri"/>
          <w:kern w:val="0"/>
          <w:sz w:val="32"/>
          <w:szCs w:val="32"/>
        </w:rPr>
        <w:t>无法提供项目完成后的效益依据，未在部分污水沟清理、盖板隐蔽化处理工程项目完成后及时跟踪项目效益和村民满意度，未关注项目实施是否在经济、社会和生态方面产生积极影响，存在重投入轻效益问题，对项目的可持续影响关注力度不足。</w:t>
      </w:r>
    </w:p>
    <w:p>
      <w:pPr>
        <w:pStyle w:val="26"/>
        <w:spacing w:line="560" w:lineRule="exact"/>
        <w:ind w:firstLine="640"/>
        <w:outlineLvl w:val="1"/>
        <w:rPr>
          <w:rFonts w:eastAsia="楷体_GB2312"/>
          <w:bCs/>
          <w:kern w:val="0"/>
          <w:sz w:val="32"/>
          <w:szCs w:val="32"/>
        </w:rPr>
      </w:pPr>
      <w:bookmarkStart w:id="82" w:name="_Toc18507"/>
      <w:r>
        <w:rPr>
          <w:rFonts w:hint="eastAsia" w:eastAsia="楷体_GB2312"/>
          <w:bCs/>
          <w:kern w:val="0"/>
          <w:sz w:val="32"/>
          <w:szCs w:val="32"/>
        </w:rPr>
        <w:t>（三）合同约定不规范，质量标准未明确</w:t>
      </w:r>
      <w:bookmarkEnd w:id="82"/>
    </w:p>
    <w:p>
      <w:pPr>
        <w:pStyle w:val="26"/>
        <w:spacing w:line="560" w:lineRule="exact"/>
        <w:ind w:firstLine="640"/>
        <w:rPr>
          <w:rFonts w:ascii="仿宋_GB2312" w:hAnsi="Calibri"/>
          <w:kern w:val="0"/>
          <w:sz w:val="32"/>
          <w:szCs w:val="32"/>
        </w:rPr>
      </w:pPr>
      <w:r>
        <w:rPr>
          <w:rFonts w:hint="eastAsia" w:ascii="仿宋_GB2312" w:hAnsi="Calibri"/>
          <w:kern w:val="0"/>
          <w:sz w:val="32"/>
          <w:szCs w:val="32"/>
        </w:rPr>
        <w:t>根据潮海街道办事处提供的项目施工合同，合同内容对质量标准的要求仅为“工程质量符合合格标准”，但未对合格标准进行明确约定，不便于后续验收。</w:t>
      </w:r>
    </w:p>
    <w:p>
      <w:pPr>
        <w:pStyle w:val="26"/>
        <w:spacing w:line="560" w:lineRule="exact"/>
        <w:ind w:firstLine="640"/>
        <w:outlineLvl w:val="1"/>
        <w:rPr>
          <w:rFonts w:eastAsia="楷体_GB2312"/>
          <w:bCs/>
          <w:kern w:val="0"/>
          <w:sz w:val="32"/>
          <w:szCs w:val="32"/>
        </w:rPr>
      </w:pPr>
      <w:bookmarkStart w:id="83" w:name="_Toc19398"/>
      <w:r>
        <w:rPr>
          <w:rFonts w:hint="eastAsia" w:eastAsia="楷体_GB2312"/>
          <w:bCs/>
          <w:kern w:val="0"/>
          <w:sz w:val="32"/>
          <w:szCs w:val="32"/>
        </w:rPr>
        <w:t>（</w:t>
      </w:r>
      <w:r>
        <w:rPr>
          <w:rFonts w:hint="eastAsia" w:eastAsia="楷体_GB2312"/>
          <w:bCs/>
          <w:kern w:val="0"/>
          <w:sz w:val="32"/>
          <w:szCs w:val="32"/>
          <w:lang w:val="en-US" w:eastAsia="zh-CN"/>
        </w:rPr>
        <w:t>四</w:t>
      </w:r>
      <w:r>
        <w:rPr>
          <w:rFonts w:hint="eastAsia" w:eastAsia="楷体_GB2312"/>
          <w:bCs/>
          <w:kern w:val="0"/>
          <w:sz w:val="32"/>
          <w:szCs w:val="32"/>
        </w:rPr>
        <w:t>）竣工验收流程较简易</w:t>
      </w:r>
      <w:bookmarkEnd w:id="83"/>
    </w:p>
    <w:p>
      <w:pPr>
        <w:spacing w:line="560" w:lineRule="exact"/>
        <w:ind w:firstLine="640" w:firstLineChars="200"/>
        <w:rPr>
          <w:rFonts w:ascii="仿宋_GB2312" w:hAnsi="Calibri"/>
          <w:kern w:val="0"/>
          <w:sz w:val="32"/>
          <w:szCs w:val="32"/>
        </w:rPr>
      </w:pPr>
      <w:r>
        <w:rPr>
          <w:rFonts w:hint="eastAsia" w:ascii="仿宋_GB2312" w:hAnsi="Calibri"/>
          <w:kern w:val="0"/>
          <w:sz w:val="32"/>
          <w:szCs w:val="32"/>
        </w:rPr>
        <w:t>根据潮海街道办事处提供的项目验收报告表显示，项目竣工验收</w:t>
      </w:r>
      <w:r>
        <w:rPr>
          <w:rFonts w:hint="eastAsia" w:eastAsia="楷体_GB2312"/>
          <w:bCs/>
          <w:kern w:val="0"/>
          <w:sz w:val="32"/>
          <w:szCs w:val="32"/>
        </w:rPr>
        <w:t>较</w:t>
      </w:r>
      <w:r>
        <w:rPr>
          <w:rFonts w:hint="eastAsia" w:ascii="仿宋_GB2312" w:hAnsi="Calibri"/>
          <w:kern w:val="0"/>
          <w:sz w:val="32"/>
          <w:szCs w:val="32"/>
        </w:rPr>
        <w:t>简易，验收报告表只有村庄书记签字及相关</w:t>
      </w:r>
      <w:r>
        <w:rPr>
          <w:rFonts w:hint="eastAsia" w:ascii="仿宋_GB2312" w:hAnsi="Calibri"/>
          <w:kern w:val="0"/>
          <w:sz w:val="32"/>
          <w:szCs w:val="32"/>
          <w:lang w:eastAsia="zh-CN"/>
        </w:rPr>
        <w:t>单位</w:t>
      </w:r>
      <w:r>
        <w:rPr>
          <w:rFonts w:hint="eastAsia" w:ascii="仿宋_GB2312" w:hAnsi="Calibri"/>
          <w:kern w:val="0"/>
          <w:sz w:val="32"/>
          <w:szCs w:val="32"/>
        </w:rPr>
        <w:t>盖章，无验收意见及验收流程，对验收的内容、实际整修数量及质量状况无实质性验收情况表述，验收流于形式。</w:t>
      </w:r>
    </w:p>
    <w:p>
      <w:pPr>
        <w:spacing w:line="560" w:lineRule="exact"/>
        <w:ind w:firstLine="640" w:firstLineChars="200"/>
        <w:outlineLvl w:val="0"/>
        <w:rPr>
          <w:rFonts w:hint="eastAsia" w:ascii="黑体" w:hAnsi="黑体" w:eastAsia="黑体"/>
          <w:sz w:val="32"/>
          <w:szCs w:val="32"/>
        </w:rPr>
      </w:pPr>
      <w:bookmarkStart w:id="84" w:name="_Toc29998"/>
      <w:r>
        <w:rPr>
          <w:rFonts w:hint="eastAsia" w:ascii="黑体" w:hAnsi="黑体" w:eastAsia="黑体"/>
          <w:sz w:val="32"/>
          <w:szCs w:val="32"/>
        </w:rPr>
        <w:t>四、意见建议</w:t>
      </w:r>
      <w:bookmarkEnd w:id="84"/>
    </w:p>
    <w:p>
      <w:pPr>
        <w:pStyle w:val="26"/>
        <w:spacing w:line="560" w:lineRule="exact"/>
        <w:ind w:firstLine="640"/>
        <w:outlineLvl w:val="1"/>
        <w:rPr>
          <w:rFonts w:eastAsia="楷体_GB2312"/>
          <w:bCs/>
          <w:kern w:val="0"/>
          <w:sz w:val="32"/>
          <w:szCs w:val="32"/>
        </w:rPr>
      </w:pPr>
      <w:bookmarkStart w:id="85" w:name="_Toc14554"/>
      <w:bookmarkStart w:id="86" w:name="_Toc26317"/>
      <w:bookmarkStart w:id="87" w:name="_Toc27102"/>
      <w:bookmarkStart w:id="88" w:name="_Toc31260"/>
      <w:bookmarkStart w:id="89" w:name="_Toc22568"/>
      <w:bookmarkStart w:id="90" w:name="_Toc26169"/>
      <w:r>
        <w:rPr>
          <w:rFonts w:hint="eastAsia" w:eastAsia="楷体_GB2312"/>
          <w:bCs/>
          <w:kern w:val="0"/>
          <w:sz w:val="32"/>
          <w:szCs w:val="32"/>
        </w:rPr>
        <w:t>（一）提高绩效管理意识，加强预算绩效管理机制的建立</w:t>
      </w:r>
      <w:bookmarkEnd w:id="85"/>
      <w:bookmarkEnd w:id="86"/>
      <w:bookmarkEnd w:id="87"/>
      <w:bookmarkEnd w:id="88"/>
      <w:bookmarkEnd w:id="89"/>
      <w:bookmarkEnd w:id="90"/>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树立绩效理念，夯实绩效目标管理机制。坚持将绩效目标作为全过程预算绩效管理的“生命线”，按照“谁申请资金，谁编制目标；谁分配资金，谁审核目标”的原则，建立“层层把关、各负其责”的审核机制，切实提高编制质量，将绩效目标审核、批复、调整工作嵌入预算编制、批复、执行各环节，进一步提升预算绩效管理水平，实现绩效目标管理与预算管理有机结合。</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2.重视绩效监控，建立单位日常监控机制。明确绩效监控实施主体为预算</w:t>
      </w:r>
      <w:r>
        <w:rPr>
          <w:rFonts w:hint="eastAsia" w:ascii="仿宋_GB2312" w:hAnsi="Calibri"/>
          <w:kern w:val="0"/>
          <w:sz w:val="32"/>
          <w:szCs w:val="32"/>
          <w:lang w:eastAsia="zh-CN"/>
        </w:rPr>
        <w:t>单位</w:t>
      </w:r>
      <w:r>
        <w:rPr>
          <w:rFonts w:hint="eastAsia" w:ascii="仿宋_GB2312" w:hAnsi="Calibri"/>
          <w:kern w:val="0"/>
          <w:sz w:val="32"/>
          <w:szCs w:val="32"/>
        </w:rPr>
        <w:t>和单位，要求单位对纳入预算绩效管理的项目开展自我监控，重点把项目实施和管理情况、预算执行情况、项目产出目标的实现程度等作为绩效监控重点，对绩效监控发现的绩效偏差，分析原因，及时纠偏。</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关注项目的可持续影响，建立效益追踪机制。及时追踪项目实施的效益发展，加强对项目可持续影响的关注力度，例如关注项目实施对推进美丽乡村建设的积极影响，对改善交通条件、提高村庄人居环境质量的可持续影响等。</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4.强化结果运用，提升绩效管理的效果。建议完善结果反馈机制。建议单位对评价结果及时进行整改落实，将绩效评价结果与预算安排相结合，逐步建立以绩效为导向的单位预算编制模式，提高资金使用效益。</w:t>
      </w:r>
    </w:p>
    <w:p>
      <w:pPr>
        <w:pStyle w:val="26"/>
        <w:spacing w:line="560" w:lineRule="exact"/>
        <w:ind w:firstLine="640"/>
        <w:outlineLvl w:val="1"/>
        <w:rPr>
          <w:rFonts w:eastAsia="楷体_GB2312"/>
          <w:bCs/>
          <w:kern w:val="0"/>
          <w:sz w:val="32"/>
          <w:szCs w:val="32"/>
        </w:rPr>
      </w:pPr>
      <w:bookmarkStart w:id="91" w:name="_Toc3339"/>
      <w:bookmarkStart w:id="92" w:name="_Toc16287"/>
      <w:bookmarkStart w:id="93" w:name="_Toc6418"/>
      <w:bookmarkStart w:id="94" w:name="_Toc12394"/>
      <w:bookmarkStart w:id="95" w:name="_Toc20194"/>
      <w:bookmarkStart w:id="96" w:name="_Toc21447"/>
      <w:r>
        <w:rPr>
          <w:rFonts w:hint="eastAsia" w:eastAsia="楷体_GB2312"/>
          <w:bCs/>
          <w:kern w:val="0"/>
          <w:sz w:val="32"/>
          <w:szCs w:val="32"/>
        </w:rPr>
        <w:t>（</w:t>
      </w:r>
      <w:r>
        <w:rPr>
          <w:rFonts w:hint="eastAsia" w:eastAsia="楷体_GB2312"/>
          <w:bCs/>
          <w:kern w:val="0"/>
          <w:sz w:val="32"/>
          <w:szCs w:val="32"/>
          <w:lang w:val="en-US" w:eastAsia="zh-CN"/>
        </w:rPr>
        <w:t>二</w:t>
      </w:r>
      <w:r>
        <w:rPr>
          <w:rFonts w:hint="eastAsia" w:eastAsia="楷体_GB2312"/>
          <w:bCs/>
          <w:kern w:val="0"/>
          <w:sz w:val="32"/>
          <w:szCs w:val="32"/>
        </w:rPr>
        <w:t>）规范项目程序，避免验收流于形式</w:t>
      </w:r>
      <w:bookmarkEnd w:id="91"/>
      <w:bookmarkEnd w:id="92"/>
      <w:bookmarkEnd w:id="93"/>
      <w:bookmarkEnd w:id="94"/>
      <w:bookmarkEnd w:id="95"/>
      <w:bookmarkEnd w:id="96"/>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建议项目施工前，在招标公告或合同内容中对质量标准和保修责任进行明确、细致的约定，重视项目验收，对项目成果和项目过程进行严格审定，杜绝出现“走过场”的形式主义。</w:t>
      </w: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p>
      <w:pPr>
        <w:pStyle w:val="26"/>
        <w:spacing w:line="560" w:lineRule="exact"/>
        <w:ind w:firstLine="640"/>
        <w:rPr>
          <w:rFonts w:hint="eastAsia" w:ascii="仿宋_GB2312" w:hAnsi="Calibri"/>
          <w:kern w:val="0"/>
          <w:sz w:val="32"/>
          <w:szCs w:val="32"/>
        </w:rPr>
      </w:pPr>
    </w:p>
    <w:bookmarkEnd w:id="23"/>
    <w:bookmarkEnd w:id="24"/>
    <w:bookmarkEnd w:id="25"/>
    <w:bookmarkEnd w:id="26"/>
    <w:bookmarkEnd w:id="27"/>
    <w:bookmarkEnd w:id="28"/>
    <w:bookmarkEnd w:id="29"/>
    <w:bookmarkEnd w:id="30"/>
    <w:bookmarkEnd w:id="31"/>
    <w:bookmarkEnd w:id="32"/>
    <w:bookmarkEnd w:id="33"/>
    <w:bookmarkEnd w:id="34"/>
    <w:bookmarkEnd w:id="35"/>
    <w:bookmarkEnd w:id="36"/>
    <w:p>
      <w:pPr>
        <w:spacing w:line="560" w:lineRule="exact"/>
        <w:jc w:val="center"/>
        <w:rPr>
          <w:rFonts w:hint="eastAsia" w:ascii="方正小标宋_GBK" w:eastAsia="方正小标宋_GBK" w:cs="文星简黑体"/>
          <w:sz w:val="44"/>
          <w:szCs w:val="44"/>
        </w:rPr>
      </w:pPr>
      <w:bookmarkStart w:id="97" w:name="_Toc44684529"/>
      <w:bookmarkStart w:id="98" w:name="_Toc15579"/>
      <w:bookmarkStart w:id="99" w:name="_Toc521"/>
      <w:r>
        <w:rPr>
          <w:rFonts w:hint="eastAsia" w:ascii="方正小标宋_GBK" w:eastAsia="方正小标宋_GBK" w:cs="文星简黑体"/>
          <w:sz w:val="44"/>
          <w:szCs w:val="44"/>
        </w:rPr>
        <w:t>青岛市即墨区潮海街道办事处</w:t>
      </w:r>
    </w:p>
    <w:p>
      <w:pPr>
        <w:spacing w:line="560" w:lineRule="exact"/>
        <w:jc w:val="center"/>
        <w:rPr>
          <w:rFonts w:hint="eastAsia" w:ascii="方正小标宋_GBK" w:eastAsia="方正小标宋_GBK" w:cs="文星简黑体"/>
          <w:sz w:val="44"/>
          <w:szCs w:val="44"/>
        </w:rPr>
      </w:pPr>
      <w:r>
        <w:rPr>
          <w:rFonts w:hint="eastAsia" w:ascii="方正小标宋_GBK" w:eastAsia="方正小标宋_GBK" w:cs="文星简黑体"/>
          <w:sz w:val="44"/>
          <w:szCs w:val="44"/>
        </w:rPr>
        <w:t>辛戈庄村部分污水沟清理、盖板隐蔽化处理工程项目</w:t>
      </w:r>
    </w:p>
    <w:p>
      <w:pPr>
        <w:spacing w:line="560" w:lineRule="exact"/>
        <w:jc w:val="center"/>
        <w:rPr>
          <w:rFonts w:hint="eastAsia" w:ascii="方正小标宋_GBK" w:eastAsia="方正小标宋_GBK" w:cs="文星简黑体"/>
          <w:sz w:val="44"/>
          <w:szCs w:val="44"/>
        </w:rPr>
      </w:pPr>
      <w:bookmarkStart w:id="100" w:name="_Toc27058"/>
      <w:bookmarkStart w:id="101" w:name="_Toc31184"/>
      <w:bookmarkStart w:id="102" w:name="_Toc23731"/>
      <w:bookmarkStart w:id="103" w:name="_Toc32241"/>
      <w:bookmarkStart w:id="104" w:name="_Toc7130"/>
      <w:r>
        <w:rPr>
          <w:rFonts w:hint="eastAsia" w:ascii="方正小标宋_GBK" w:eastAsia="方正小标宋_GBK" w:cs="文星简黑体"/>
          <w:sz w:val="44"/>
          <w:szCs w:val="44"/>
        </w:rPr>
        <w:t>绩效评价报告</w:t>
      </w:r>
      <w:bookmarkEnd w:id="100"/>
      <w:bookmarkEnd w:id="101"/>
      <w:bookmarkEnd w:id="102"/>
      <w:bookmarkEnd w:id="103"/>
      <w:bookmarkEnd w:id="104"/>
    </w:p>
    <w:p>
      <w:pPr>
        <w:spacing w:line="560" w:lineRule="exact"/>
        <w:jc w:val="center"/>
        <w:outlineLvl w:val="0"/>
        <w:rPr>
          <w:rFonts w:ascii="黑体" w:hAnsi="黑体" w:eastAsia="黑体"/>
          <w:sz w:val="32"/>
          <w:szCs w:val="32"/>
        </w:rPr>
      </w:pPr>
      <w:bookmarkStart w:id="105" w:name="_Toc11788"/>
      <w:r>
        <w:rPr>
          <w:rFonts w:hint="eastAsia" w:ascii="黑体" w:hAnsi="黑体" w:eastAsia="黑体"/>
          <w:sz w:val="32"/>
          <w:szCs w:val="32"/>
        </w:rPr>
        <w:t>前 言</w:t>
      </w:r>
      <w:bookmarkEnd w:id="97"/>
      <w:bookmarkEnd w:id="98"/>
      <w:bookmarkEnd w:id="99"/>
      <w:bookmarkEnd w:id="105"/>
    </w:p>
    <w:p>
      <w:pPr>
        <w:pStyle w:val="26"/>
        <w:spacing w:line="560" w:lineRule="exact"/>
        <w:ind w:firstLine="640"/>
        <w:rPr>
          <w:rFonts w:hint="eastAsia" w:ascii="仿宋_GB2312" w:hAnsi="Calibri"/>
          <w:kern w:val="0"/>
          <w:sz w:val="32"/>
          <w:szCs w:val="32"/>
        </w:rPr>
      </w:pPr>
      <w:bookmarkStart w:id="106" w:name="_Toc9732"/>
      <w:bookmarkStart w:id="107" w:name="_Toc10109"/>
      <w:bookmarkStart w:id="108" w:name="_Toc6164"/>
      <w:r>
        <w:rPr>
          <w:rFonts w:hint="eastAsia" w:ascii="仿宋_GB2312" w:hAnsi="Calibri"/>
          <w:kern w:val="0"/>
          <w:sz w:val="32"/>
          <w:szCs w:val="32"/>
        </w:rPr>
        <w:t>为加快推进绩效评价管理工作，提高财政资金使用效益，根据财政部《关于印发&lt;项目支出绩效评价管理办法&gt;的通知》（财预〔2020〕10号）、青岛市财政局《关于印发&lt;市级财政绩效评价操作指南&gt;的通知》（青财绩〔2020〕6号）、青岛市即墨区财政局《关于印发青岛市即墨区预算绩效管理办法的通知》（即财绩效〔2020〕260号）等文件要求，受青岛市即墨区潮海街道办事处委托，青岛大信英德会计师事务所有限公司作为第三方独立评价机构，对青岛市即墨区潮海街道办事处辛戈庄村部分污水沟清理、盖板隐蔽化处理工程项目进行绩效评价，评价时段为2023年</w:t>
      </w:r>
      <w:r>
        <w:rPr>
          <w:rFonts w:hint="eastAsia" w:ascii="仿宋_GB2312" w:hAnsi="Calibri"/>
          <w:kern w:val="0"/>
          <w:sz w:val="32"/>
          <w:szCs w:val="32"/>
          <w:lang w:val="en-US" w:eastAsia="zh-CN"/>
        </w:rPr>
        <w:t>9</w:t>
      </w:r>
      <w:r>
        <w:rPr>
          <w:rFonts w:hint="eastAsia" w:ascii="仿宋_GB2312" w:hAnsi="Calibri"/>
          <w:kern w:val="0"/>
          <w:sz w:val="32"/>
          <w:szCs w:val="32"/>
        </w:rPr>
        <w:t>月4日-2023年</w:t>
      </w:r>
      <w:r>
        <w:rPr>
          <w:rFonts w:hint="eastAsia" w:ascii="仿宋_GB2312" w:hAnsi="Calibri"/>
          <w:kern w:val="0"/>
          <w:sz w:val="32"/>
          <w:szCs w:val="32"/>
          <w:lang w:val="en-US" w:eastAsia="zh-CN"/>
        </w:rPr>
        <w:t>9</w:t>
      </w:r>
      <w:r>
        <w:rPr>
          <w:rFonts w:hint="eastAsia" w:ascii="仿宋_GB2312" w:hAnsi="Calibri"/>
          <w:kern w:val="0"/>
          <w:sz w:val="32"/>
          <w:szCs w:val="32"/>
        </w:rPr>
        <w:t>月</w:t>
      </w:r>
      <w:r>
        <w:rPr>
          <w:rFonts w:hint="eastAsia" w:ascii="仿宋_GB2312" w:hAnsi="Calibri"/>
          <w:kern w:val="0"/>
          <w:sz w:val="32"/>
          <w:szCs w:val="32"/>
          <w:lang w:val="en-US" w:eastAsia="zh-CN"/>
        </w:rPr>
        <w:t>25</w:t>
      </w:r>
      <w:r>
        <w:rPr>
          <w:rFonts w:hint="eastAsia" w:ascii="仿宋_GB2312" w:hAnsi="Calibri"/>
          <w:kern w:val="0"/>
          <w:sz w:val="32"/>
          <w:szCs w:val="32"/>
        </w:rPr>
        <w:t>日，经过资金使用情况核查、项目数据采集、访谈、社会调查等必要的评价程序，运用绩效原理和统计方法，在梳理、分析评价数据资料的基础上，形成本评价报告。</w:t>
      </w:r>
      <w:bookmarkEnd w:id="106"/>
      <w:bookmarkEnd w:id="107"/>
      <w:bookmarkEnd w:id="108"/>
    </w:p>
    <w:p>
      <w:pPr>
        <w:spacing w:line="560" w:lineRule="exact"/>
        <w:ind w:firstLine="640" w:firstLineChars="200"/>
        <w:outlineLvl w:val="0"/>
        <w:rPr>
          <w:rFonts w:hint="eastAsia" w:ascii="黑体" w:hAnsi="黑体" w:eastAsia="黑体"/>
          <w:sz w:val="32"/>
          <w:szCs w:val="32"/>
        </w:rPr>
      </w:pPr>
      <w:bookmarkStart w:id="109" w:name="_Toc20349"/>
      <w:bookmarkStart w:id="110" w:name="_Toc18290"/>
      <w:bookmarkStart w:id="111" w:name="_Toc31149"/>
      <w:bookmarkStart w:id="112" w:name="_Toc6294"/>
      <w:r>
        <w:rPr>
          <w:rFonts w:hint="eastAsia" w:ascii="黑体" w:hAnsi="黑体" w:eastAsia="黑体"/>
          <w:sz w:val="32"/>
          <w:szCs w:val="32"/>
        </w:rPr>
        <w:t>一、基本情况</w:t>
      </w:r>
      <w:bookmarkEnd w:id="109"/>
      <w:bookmarkEnd w:id="110"/>
      <w:bookmarkEnd w:id="111"/>
      <w:bookmarkEnd w:id="112"/>
    </w:p>
    <w:p>
      <w:pPr>
        <w:pStyle w:val="26"/>
        <w:spacing w:line="560" w:lineRule="exact"/>
        <w:ind w:firstLine="640"/>
        <w:outlineLvl w:val="1"/>
        <w:rPr>
          <w:rFonts w:hint="eastAsia" w:eastAsia="楷体_GB2312"/>
          <w:bCs/>
          <w:kern w:val="0"/>
          <w:sz w:val="32"/>
          <w:szCs w:val="32"/>
        </w:rPr>
      </w:pPr>
      <w:bookmarkStart w:id="113" w:name="_Toc27850"/>
      <w:bookmarkStart w:id="114" w:name="_Toc30039"/>
      <w:bookmarkStart w:id="115" w:name="_Toc7731"/>
      <w:bookmarkStart w:id="116" w:name="_Toc29200"/>
      <w:r>
        <w:rPr>
          <w:rFonts w:hint="eastAsia" w:eastAsia="楷体_GB2312"/>
          <w:bCs/>
          <w:kern w:val="0"/>
          <w:sz w:val="32"/>
          <w:szCs w:val="32"/>
        </w:rPr>
        <w:t>（一）项目概况</w:t>
      </w:r>
      <w:bookmarkEnd w:id="113"/>
      <w:bookmarkEnd w:id="114"/>
      <w:bookmarkEnd w:id="115"/>
      <w:bookmarkEnd w:id="116"/>
    </w:p>
    <w:p>
      <w:pPr>
        <w:pStyle w:val="26"/>
        <w:spacing w:line="560" w:lineRule="exact"/>
        <w:ind w:firstLine="640"/>
        <w:rPr>
          <w:rFonts w:hint="eastAsia" w:ascii="仿宋_GB2312" w:hAnsi="Calibri"/>
          <w:kern w:val="0"/>
          <w:sz w:val="32"/>
          <w:szCs w:val="32"/>
        </w:rPr>
      </w:pPr>
      <w:bookmarkStart w:id="117" w:name="_Toc12924"/>
      <w:bookmarkStart w:id="118" w:name="_Toc9238"/>
      <w:bookmarkStart w:id="119" w:name="_Toc31667"/>
      <w:bookmarkStart w:id="120" w:name="_Toc9816"/>
      <w:bookmarkStart w:id="121" w:name="_Toc32158"/>
      <w:bookmarkStart w:id="122" w:name="_Toc7634"/>
      <w:bookmarkStart w:id="123" w:name="_Toc20300"/>
      <w:bookmarkStart w:id="124" w:name="_Toc20133"/>
      <w:r>
        <w:rPr>
          <w:rFonts w:hint="eastAsia" w:ascii="仿宋_GB2312" w:hAnsi="Calibri"/>
          <w:kern w:val="0"/>
          <w:sz w:val="32"/>
          <w:szCs w:val="32"/>
        </w:rPr>
        <w:t>1.项目情况</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实施部分污水沟清理、盖板隐蔽化处理等</w:t>
      </w:r>
      <w:r>
        <w:rPr>
          <w:rFonts w:ascii="仿宋_GB2312" w:hAnsi="Calibri"/>
          <w:kern w:val="0"/>
          <w:sz w:val="32"/>
          <w:szCs w:val="32"/>
        </w:rPr>
        <w:t>村级公益事业，在改善农民生产生活条件、促进农村社会管理创新和基层民主政治建设等方面具有重要意义。推进美丽乡村建设，首先要强化村级公益事业建设，通过改善农村人居环境，让群众真正享受到政策实惠，从而助推村级公益事业规范有序发展。</w:t>
      </w:r>
    </w:p>
    <w:p>
      <w:pPr>
        <w:pStyle w:val="26"/>
        <w:spacing w:line="560" w:lineRule="exact"/>
        <w:ind w:firstLine="640"/>
        <w:rPr>
          <w:rFonts w:ascii="仿宋_GB2312" w:hAnsi="Calibri"/>
          <w:kern w:val="0"/>
          <w:sz w:val="32"/>
          <w:szCs w:val="32"/>
        </w:rPr>
      </w:pPr>
      <w:r>
        <w:rPr>
          <w:rFonts w:ascii="仿宋_GB2312" w:hAnsi="Calibri"/>
          <w:kern w:val="0"/>
          <w:sz w:val="32"/>
          <w:szCs w:val="32"/>
        </w:rPr>
        <w:t>村级公益事业建设一事一议财政奖补政策是党中央、国务院确定的重大惠民政策，在改善农民生产生活条件、推进社会主义新农村建设、促进农村社会管理创新和基层民主政治建设等方面具有重要意义。</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2022年度，青岛市即墨区潮海街道办事处共申报建设6个村级公益事业建设财政奖补项目，其中辛戈庄村经济合作社为部分污水沟清理、盖板隐蔽化处理项目，包含村内排水沟3700米盖板，项目涉及资金423,233.12元，其中区级财政资金300,000.00元，</w:t>
      </w:r>
      <w:r>
        <w:rPr>
          <w:rFonts w:hint="eastAsia" w:ascii="仿宋_GB2312" w:hAnsi="Calibri"/>
          <w:kern w:val="0"/>
          <w:sz w:val="32"/>
          <w:szCs w:val="32"/>
          <w:lang w:val="en-US" w:eastAsia="zh-CN"/>
        </w:rPr>
        <w:t>村庄自筹</w:t>
      </w:r>
      <w:r>
        <w:rPr>
          <w:rFonts w:hint="eastAsia" w:ascii="仿宋_GB2312" w:hAnsi="Calibri"/>
          <w:kern w:val="0"/>
          <w:sz w:val="32"/>
          <w:szCs w:val="32"/>
        </w:rPr>
        <w:t>123,233.12元。</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2.项目依据</w:t>
      </w:r>
      <w:bookmarkEnd w:id="117"/>
      <w:bookmarkEnd w:id="118"/>
      <w:bookmarkEnd w:id="119"/>
      <w:bookmarkEnd w:id="120"/>
      <w:bookmarkEnd w:id="121"/>
      <w:bookmarkEnd w:id="122"/>
      <w:bookmarkEnd w:id="123"/>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本项目主要依据《青岛市财政局、青岛市农村综合改革领导小组办公室关于修订&lt;青岛市村级公益事业建设财政奖补项目和资金管理办法&gt;的通知》（青财规</w:t>
      </w:r>
      <w:r>
        <w:rPr>
          <w:rFonts w:hint="eastAsia" w:ascii="宋体" w:hAnsi="宋体" w:eastAsia="宋体" w:cs="宋体"/>
          <w:kern w:val="0"/>
          <w:sz w:val="32"/>
          <w:szCs w:val="32"/>
        </w:rPr>
        <w:t>〔</w:t>
      </w:r>
      <w:r>
        <w:rPr>
          <w:rFonts w:hint="eastAsia" w:ascii="仿宋_GB2312" w:hAnsi="Calibri"/>
          <w:kern w:val="0"/>
          <w:sz w:val="32"/>
          <w:szCs w:val="32"/>
        </w:rPr>
        <w:t>2018</w:t>
      </w:r>
      <w:r>
        <w:rPr>
          <w:rFonts w:hint="eastAsia" w:ascii="宋体" w:hAnsi="宋体" w:eastAsia="宋体" w:cs="宋体"/>
          <w:kern w:val="0"/>
          <w:sz w:val="32"/>
          <w:szCs w:val="32"/>
        </w:rPr>
        <w:t>〕</w:t>
      </w:r>
      <w:r>
        <w:rPr>
          <w:rFonts w:hint="eastAsia" w:ascii="仿宋_GB2312" w:hAnsi="Calibri"/>
          <w:kern w:val="0"/>
          <w:sz w:val="32"/>
          <w:szCs w:val="32"/>
        </w:rPr>
        <w:t>4号）、关于印发《即墨区政府投资项目管理办法》的通知（即政发</w:t>
      </w:r>
      <w:r>
        <w:rPr>
          <w:rFonts w:hint="eastAsia" w:ascii="宋体" w:hAnsi="宋体" w:eastAsia="宋体" w:cs="宋体"/>
          <w:kern w:val="0"/>
          <w:sz w:val="32"/>
          <w:szCs w:val="32"/>
        </w:rPr>
        <w:t>〔</w:t>
      </w:r>
      <w:r>
        <w:rPr>
          <w:rFonts w:hint="eastAsia" w:ascii="仿宋_GB2312" w:hAnsi="Calibri"/>
          <w:kern w:val="0"/>
          <w:sz w:val="32"/>
          <w:szCs w:val="32"/>
        </w:rPr>
        <w:t>2015</w:t>
      </w:r>
      <w:r>
        <w:rPr>
          <w:rFonts w:hint="eastAsia" w:ascii="宋体" w:hAnsi="宋体" w:eastAsia="宋体" w:cs="宋体"/>
          <w:kern w:val="0"/>
          <w:sz w:val="32"/>
          <w:szCs w:val="32"/>
        </w:rPr>
        <w:t>〕</w:t>
      </w:r>
      <w:r>
        <w:rPr>
          <w:rFonts w:hint="eastAsia" w:ascii="仿宋_GB2312" w:hAnsi="Calibri"/>
          <w:kern w:val="0"/>
          <w:sz w:val="32"/>
          <w:szCs w:val="32"/>
        </w:rPr>
        <w:t>4号）、《青岛市即墨区财政局关于做好2022年农村公益事业财政奖补工作的通知》（即财农</w:t>
      </w:r>
      <w:r>
        <w:rPr>
          <w:rFonts w:hint="eastAsia" w:ascii="宋体" w:hAnsi="宋体" w:eastAsia="宋体" w:cs="宋体"/>
          <w:kern w:val="0"/>
          <w:sz w:val="32"/>
          <w:szCs w:val="32"/>
        </w:rPr>
        <w:t>〔</w:t>
      </w:r>
      <w:r>
        <w:rPr>
          <w:rFonts w:hint="eastAsia" w:ascii="仿宋_GB2312" w:hAnsi="Calibri"/>
          <w:kern w:val="0"/>
          <w:sz w:val="32"/>
          <w:szCs w:val="32"/>
        </w:rPr>
        <w:t>2022</w:t>
      </w:r>
      <w:r>
        <w:rPr>
          <w:rFonts w:hint="eastAsia" w:ascii="宋体" w:hAnsi="宋体" w:eastAsia="宋体" w:cs="宋体"/>
          <w:kern w:val="0"/>
          <w:sz w:val="32"/>
          <w:szCs w:val="32"/>
        </w:rPr>
        <w:t>〕</w:t>
      </w:r>
      <w:r>
        <w:rPr>
          <w:rFonts w:hint="eastAsia" w:ascii="仿宋_GB2312" w:hAnsi="Calibri" w:eastAsia="宋体"/>
          <w:kern w:val="0"/>
          <w:sz w:val="32"/>
          <w:szCs w:val="32"/>
        </w:rPr>
        <w:t>97</w:t>
      </w:r>
      <w:r>
        <w:rPr>
          <w:rFonts w:hint="eastAsia" w:ascii="仿宋_GB2312" w:hAnsi="Calibri"/>
          <w:kern w:val="0"/>
          <w:sz w:val="32"/>
          <w:szCs w:val="32"/>
        </w:rPr>
        <w:t>号）等市区相关政策的规定。</w:t>
      </w:r>
    </w:p>
    <w:bookmarkEnd w:id="124"/>
    <w:p>
      <w:pPr>
        <w:pStyle w:val="26"/>
        <w:spacing w:line="560" w:lineRule="exact"/>
        <w:ind w:firstLine="640"/>
        <w:rPr>
          <w:rFonts w:hint="eastAsia" w:ascii="仿宋_GB2312" w:hAnsi="Calibri"/>
          <w:kern w:val="0"/>
          <w:sz w:val="32"/>
          <w:szCs w:val="32"/>
        </w:rPr>
      </w:pPr>
      <w:bookmarkStart w:id="125" w:name="_Toc13262"/>
      <w:bookmarkStart w:id="126" w:name="_Toc31191"/>
      <w:bookmarkStart w:id="127" w:name="_Toc1475"/>
      <w:bookmarkStart w:id="128" w:name="_Toc23966"/>
      <w:bookmarkStart w:id="129" w:name="_Toc24612"/>
      <w:bookmarkStart w:id="130" w:name="_Toc24487"/>
      <w:bookmarkStart w:id="131" w:name="_Toc28326"/>
      <w:bookmarkStart w:id="132" w:name="_Toc17604"/>
      <w:r>
        <w:rPr>
          <w:rFonts w:hint="eastAsia" w:ascii="仿宋_GB2312" w:hAnsi="Calibri"/>
          <w:kern w:val="0"/>
          <w:sz w:val="32"/>
          <w:szCs w:val="32"/>
        </w:rPr>
        <w:t>3.主要内容及实施情况</w:t>
      </w:r>
      <w:bookmarkEnd w:id="125"/>
      <w:bookmarkEnd w:id="126"/>
      <w:bookmarkEnd w:id="127"/>
      <w:bookmarkEnd w:id="128"/>
      <w:bookmarkEnd w:id="129"/>
      <w:bookmarkEnd w:id="130"/>
      <w:bookmarkEnd w:id="131"/>
      <w:bookmarkEnd w:id="132"/>
    </w:p>
    <w:p>
      <w:pPr>
        <w:pStyle w:val="26"/>
        <w:spacing w:line="560" w:lineRule="exact"/>
        <w:ind w:firstLine="640"/>
        <w:rPr>
          <w:rFonts w:eastAsia="楷体_GB2312"/>
          <w:bCs/>
          <w:kern w:val="0"/>
          <w:sz w:val="32"/>
          <w:szCs w:val="32"/>
        </w:rPr>
      </w:pPr>
      <w:bookmarkStart w:id="133" w:name="_Toc3792"/>
      <w:bookmarkStart w:id="134" w:name="_Toc32431"/>
      <w:bookmarkStart w:id="135" w:name="_Toc7720"/>
      <w:bookmarkStart w:id="136" w:name="_Toc21166"/>
      <w:bookmarkStart w:id="137" w:name="_Toc2950"/>
      <w:bookmarkStart w:id="138" w:name="_Toc4462"/>
      <w:bookmarkStart w:id="139" w:name="_Toc23451"/>
      <w:bookmarkStart w:id="140" w:name="_Toc30017"/>
      <w:r>
        <w:rPr>
          <w:rFonts w:hint="eastAsia" w:ascii="仿宋_GB2312" w:hAnsi="Calibri"/>
          <w:kern w:val="0"/>
          <w:sz w:val="32"/>
          <w:szCs w:val="32"/>
        </w:rPr>
        <w:t>辛戈庄村部分污水沟清理、盖板隐蔽化处理工程项目主要内容为村内排水沟3700米盖板，合同约定项目工期为2022年9月10日至2022年11月10日，于2022年12月18日完成验收，2022年12月30日完成竣工结算。</w:t>
      </w:r>
      <w:bookmarkEnd w:id="133"/>
      <w:bookmarkEnd w:id="134"/>
      <w:bookmarkEnd w:id="135"/>
      <w:bookmarkEnd w:id="136"/>
      <w:bookmarkEnd w:id="137"/>
    </w:p>
    <w:p>
      <w:pPr>
        <w:pStyle w:val="26"/>
        <w:spacing w:line="560" w:lineRule="exact"/>
        <w:ind w:firstLine="640"/>
        <w:outlineLvl w:val="1"/>
        <w:rPr>
          <w:rFonts w:hint="eastAsia" w:eastAsia="楷体_GB2312"/>
          <w:bCs/>
          <w:kern w:val="0"/>
          <w:sz w:val="32"/>
          <w:szCs w:val="32"/>
        </w:rPr>
      </w:pPr>
      <w:bookmarkStart w:id="141" w:name="_Toc32628"/>
      <w:r>
        <w:rPr>
          <w:rFonts w:hint="eastAsia" w:eastAsia="楷体_GB2312"/>
          <w:bCs/>
          <w:kern w:val="0"/>
          <w:sz w:val="32"/>
          <w:szCs w:val="32"/>
        </w:rPr>
        <w:t>（二）资金投入和使用情况</w:t>
      </w:r>
      <w:bookmarkEnd w:id="138"/>
      <w:bookmarkEnd w:id="139"/>
      <w:bookmarkEnd w:id="140"/>
      <w:bookmarkEnd w:id="141"/>
    </w:p>
    <w:p>
      <w:pPr>
        <w:pStyle w:val="26"/>
        <w:spacing w:line="560" w:lineRule="exact"/>
        <w:ind w:firstLine="640"/>
        <w:rPr>
          <w:rFonts w:hint="eastAsia" w:ascii="仿宋_GB2312" w:hAnsi="Calibri"/>
          <w:kern w:val="0"/>
          <w:sz w:val="32"/>
          <w:szCs w:val="32"/>
        </w:rPr>
      </w:pPr>
      <w:bookmarkStart w:id="142" w:name="_Toc19542"/>
      <w:bookmarkStart w:id="143" w:name="_Toc6424"/>
      <w:bookmarkStart w:id="144" w:name="_Toc13394"/>
      <w:bookmarkStart w:id="145" w:name="_Toc21699"/>
      <w:bookmarkStart w:id="146" w:name="_Toc23729"/>
      <w:bookmarkStart w:id="147" w:name="_Toc30839"/>
      <w:bookmarkStart w:id="148" w:name="_Toc30506"/>
      <w:bookmarkStart w:id="149" w:name="_Toc31626"/>
      <w:r>
        <w:rPr>
          <w:rFonts w:hint="eastAsia" w:ascii="仿宋_GB2312" w:hAnsi="Calibri"/>
          <w:kern w:val="0"/>
          <w:sz w:val="32"/>
          <w:szCs w:val="32"/>
        </w:rPr>
        <w:t>项目预算为424,900.00元，竣工结算价格为423,233.12元，资金到位60,000.00元，其中区财政奖补资金60,000.00元，</w:t>
      </w:r>
      <w:r>
        <w:rPr>
          <w:rFonts w:hint="eastAsia" w:ascii="仿宋_GB2312" w:hAnsi="Calibri"/>
          <w:kern w:val="0"/>
          <w:sz w:val="32"/>
          <w:szCs w:val="32"/>
          <w:lang w:val="en-US" w:eastAsia="zh-CN"/>
        </w:rPr>
        <w:t>村庄自筹</w:t>
      </w:r>
      <w:r>
        <w:rPr>
          <w:rFonts w:hint="eastAsia" w:ascii="仿宋_GB2312" w:hAnsi="Calibri"/>
          <w:kern w:val="0"/>
          <w:sz w:val="32"/>
          <w:szCs w:val="32"/>
        </w:rPr>
        <w:t>0.00元，</w:t>
      </w:r>
      <w:r>
        <w:rPr>
          <w:rFonts w:hint="eastAsia" w:ascii="仿宋_GB2312" w:hAnsi="Calibri"/>
          <w:kern w:val="0"/>
          <w:sz w:val="32"/>
          <w:szCs w:val="32"/>
          <w:lang w:val="en-US" w:eastAsia="zh-CN"/>
        </w:rPr>
        <w:t>已全部支付</w:t>
      </w:r>
      <w:r>
        <w:rPr>
          <w:rFonts w:hint="eastAsia" w:ascii="仿宋_GB2312" w:hAnsi="Calibri"/>
          <w:kern w:val="0"/>
          <w:sz w:val="32"/>
          <w:szCs w:val="32"/>
        </w:rPr>
        <w:t>,具体情况如下：</w:t>
      </w:r>
      <w:bookmarkEnd w:id="142"/>
      <w:bookmarkEnd w:id="143"/>
      <w:bookmarkEnd w:id="144"/>
      <w:bookmarkEnd w:id="145"/>
      <w:bookmarkEnd w:id="146"/>
    </w:p>
    <w:tbl>
      <w:tblPr>
        <w:tblW w:w="886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6"/>
        <w:gridCol w:w="1844"/>
        <w:gridCol w:w="1266"/>
        <w:gridCol w:w="1819"/>
        <w:gridCol w:w="1207"/>
        <w:gridCol w:w="2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6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序号</w:t>
            </w:r>
          </w:p>
        </w:tc>
        <w:tc>
          <w:tcPr>
            <w:tcW w:w="311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收上级拨款</w:t>
            </w:r>
          </w:p>
        </w:tc>
        <w:tc>
          <w:tcPr>
            <w:tcW w:w="3026"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支付项目款</w:t>
            </w:r>
          </w:p>
        </w:tc>
        <w:tc>
          <w:tcPr>
            <w:tcW w:w="20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6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时间</w:t>
            </w:r>
          </w:p>
        </w:tc>
        <w:tc>
          <w:tcPr>
            <w:tcW w:w="12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金额</w:t>
            </w:r>
          </w:p>
        </w:tc>
        <w:tc>
          <w:tcPr>
            <w:tcW w:w="18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时间</w:t>
            </w:r>
          </w:p>
        </w:tc>
        <w:tc>
          <w:tcPr>
            <w:tcW w:w="12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金额</w:t>
            </w:r>
          </w:p>
        </w:tc>
        <w:tc>
          <w:tcPr>
            <w:tcW w:w="20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2023年1月18日</w:t>
            </w:r>
          </w:p>
        </w:tc>
        <w:tc>
          <w:tcPr>
            <w:tcW w:w="126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kern w:val="0"/>
                <w:sz w:val="21"/>
                <w:szCs w:val="21"/>
                <w:lang/>
              </w:rPr>
            </w:pPr>
            <w:r>
              <w:rPr>
                <w:rFonts w:hint="eastAsia" w:ascii="宋体" w:hAnsi="宋体" w:eastAsia="宋体" w:cs="宋体"/>
                <w:color w:val="000000"/>
                <w:kern w:val="0"/>
                <w:sz w:val="21"/>
                <w:szCs w:val="21"/>
                <w:lang/>
              </w:rPr>
              <w:t xml:space="preserve">60,000.00 </w:t>
            </w:r>
          </w:p>
        </w:tc>
        <w:tc>
          <w:tcPr>
            <w:tcW w:w="18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2023年9月25日</w:t>
            </w:r>
          </w:p>
        </w:tc>
        <w:tc>
          <w:tcPr>
            <w:tcW w:w="12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 xml:space="preserve">60,000.00 </w:t>
            </w:r>
          </w:p>
        </w:tc>
        <w:tc>
          <w:tcPr>
            <w:tcW w:w="2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rPr>
              <w:t>合计</w:t>
            </w:r>
          </w:p>
        </w:tc>
        <w:tc>
          <w:tcPr>
            <w:tcW w:w="18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126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kern w:val="0"/>
                <w:sz w:val="21"/>
                <w:szCs w:val="21"/>
                <w:lang/>
              </w:rPr>
            </w:pPr>
            <w:r>
              <w:rPr>
                <w:rFonts w:hint="eastAsia" w:ascii="宋体" w:hAnsi="宋体" w:eastAsia="宋体" w:cs="宋体"/>
                <w:color w:val="000000"/>
                <w:kern w:val="0"/>
                <w:sz w:val="21"/>
                <w:szCs w:val="21"/>
                <w:lang/>
              </w:rPr>
              <w:t>60,000.00</w:t>
            </w:r>
          </w:p>
        </w:tc>
        <w:tc>
          <w:tcPr>
            <w:tcW w:w="181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120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rPr>
              <w:t>60,000.00</w:t>
            </w:r>
          </w:p>
        </w:tc>
        <w:tc>
          <w:tcPr>
            <w:tcW w:w="20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r>
    </w:tbl>
    <w:p>
      <w:pPr>
        <w:pStyle w:val="26"/>
        <w:spacing w:line="560" w:lineRule="exact"/>
        <w:ind w:firstLine="640"/>
        <w:outlineLvl w:val="1"/>
        <w:rPr>
          <w:rFonts w:hint="eastAsia" w:eastAsia="楷体_GB2312"/>
          <w:bCs/>
          <w:kern w:val="0"/>
          <w:sz w:val="32"/>
          <w:szCs w:val="32"/>
        </w:rPr>
      </w:pPr>
      <w:bookmarkStart w:id="150" w:name="_Toc6781"/>
      <w:r>
        <w:rPr>
          <w:rFonts w:hint="eastAsia" w:eastAsia="楷体_GB2312"/>
          <w:bCs/>
          <w:kern w:val="0"/>
          <w:sz w:val="32"/>
          <w:szCs w:val="32"/>
        </w:rPr>
        <w:t>（三）项目绩效目标</w:t>
      </w:r>
      <w:bookmarkEnd w:id="147"/>
      <w:bookmarkEnd w:id="148"/>
      <w:bookmarkEnd w:id="149"/>
      <w:bookmarkEnd w:id="150"/>
    </w:p>
    <w:p>
      <w:pPr>
        <w:pStyle w:val="26"/>
        <w:spacing w:line="540" w:lineRule="exact"/>
        <w:ind w:firstLine="640"/>
        <w:rPr>
          <w:rFonts w:hint="eastAsia" w:ascii="仿宋_GB2312" w:hAnsi="Calibri"/>
          <w:kern w:val="0"/>
          <w:sz w:val="32"/>
          <w:szCs w:val="32"/>
        </w:rPr>
      </w:pPr>
      <w:bookmarkStart w:id="151" w:name="_Toc4751"/>
      <w:bookmarkStart w:id="152" w:name="_Toc13574"/>
      <w:bookmarkStart w:id="153" w:name="_Toc14463"/>
      <w:bookmarkStart w:id="154" w:name="_Toc26274"/>
      <w:bookmarkStart w:id="155" w:name="_Toc30903"/>
      <w:bookmarkStart w:id="156" w:name="_Toc7176"/>
      <w:bookmarkStart w:id="157" w:name="_Toc13192"/>
      <w:bookmarkStart w:id="158" w:name="_Toc3704"/>
      <w:r>
        <w:rPr>
          <w:rFonts w:hint="eastAsia" w:ascii="仿宋_GB2312" w:hAnsi="Calibri"/>
          <w:kern w:val="0"/>
          <w:sz w:val="32"/>
          <w:szCs w:val="32"/>
        </w:rPr>
        <w:t>1.项目总目标</w:t>
      </w:r>
      <w:bookmarkEnd w:id="151"/>
      <w:bookmarkEnd w:id="152"/>
      <w:bookmarkEnd w:id="153"/>
      <w:bookmarkEnd w:id="154"/>
      <w:bookmarkEnd w:id="155"/>
      <w:bookmarkEnd w:id="156"/>
      <w:bookmarkEnd w:id="157"/>
    </w:p>
    <w:p>
      <w:pPr>
        <w:pStyle w:val="26"/>
        <w:spacing w:line="540" w:lineRule="exact"/>
        <w:ind w:firstLine="640"/>
        <w:rPr>
          <w:rFonts w:ascii="仿宋_GB2312" w:hAnsi="Calibri"/>
          <w:kern w:val="0"/>
          <w:sz w:val="32"/>
          <w:szCs w:val="32"/>
        </w:rPr>
      </w:pPr>
      <w:bookmarkStart w:id="159" w:name="_Toc7544"/>
      <w:bookmarkStart w:id="160" w:name="_Toc5205"/>
      <w:bookmarkStart w:id="161" w:name="_Toc29436"/>
      <w:bookmarkStart w:id="162" w:name="_Toc22292"/>
      <w:bookmarkStart w:id="163" w:name="_Toc5281"/>
      <w:bookmarkStart w:id="164" w:name="_Toc7174"/>
      <w:bookmarkStart w:id="165" w:name="_Toc24553"/>
      <w:r>
        <w:rPr>
          <w:rFonts w:hint="eastAsia" w:ascii="仿宋_GB2312" w:hAnsi="Calibri"/>
          <w:kern w:val="0"/>
          <w:sz w:val="32"/>
          <w:szCs w:val="32"/>
        </w:rPr>
        <w:t>完成村内排水沟3700米盖板，改善村庄内涝问题，提升村庄整体环境样貌，推动美丽乡村建设。</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2.主要绩效目标</w:t>
      </w:r>
      <w:bookmarkEnd w:id="159"/>
      <w:bookmarkEnd w:id="160"/>
      <w:bookmarkEnd w:id="161"/>
      <w:bookmarkEnd w:id="162"/>
      <w:bookmarkEnd w:id="163"/>
      <w:bookmarkEnd w:id="164"/>
      <w:bookmarkEnd w:id="165"/>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本次项目涉及部分污水沟清理、盖板隐蔽化处理，潮海街道办事处、辛戈庄村委均未做绩效申报，无法明确其主要绩效目标，根据潮海街道办事处提供的项目材料、项目实际情况及村级公益事业建设实质，总结了主要绩效目标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（1）项目产出方面:</w:t>
      </w:r>
    </w:p>
    <w:tbl>
      <w:tblPr>
        <w:tblW w:w="8850"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6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310" w:type="dxa"/>
            <w:vAlign w:val="top"/>
          </w:tcPr>
          <w:p>
            <w:pPr>
              <w:pStyle w:val="26"/>
              <w:spacing w:line="520" w:lineRule="exact"/>
              <w:ind w:firstLine="562"/>
              <w:rPr>
                <w:rFonts w:ascii="仿宋_GB2312" w:hAnsi="Calibri"/>
                <w:b/>
                <w:kern w:val="0"/>
                <w:sz w:val="28"/>
                <w:szCs w:val="28"/>
              </w:rPr>
            </w:pPr>
            <w:r>
              <w:rPr>
                <w:rFonts w:hint="eastAsia" w:ascii="仿宋_GB2312" w:hAnsi="Calibri"/>
                <w:b/>
                <w:kern w:val="0"/>
                <w:sz w:val="28"/>
                <w:szCs w:val="28"/>
              </w:rPr>
              <w:t>产出指标</w:t>
            </w:r>
          </w:p>
        </w:tc>
        <w:tc>
          <w:tcPr>
            <w:tcW w:w="6540" w:type="dxa"/>
            <w:vAlign w:val="top"/>
          </w:tcPr>
          <w:p>
            <w:pPr>
              <w:pStyle w:val="26"/>
              <w:spacing w:line="520" w:lineRule="exact"/>
              <w:ind w:firstLine="0" w:firstLineChars="0"/>
              <w:jc w:val="center"/>
              <w:rPr>
                <w:rFonts w:ascii="仿宋_GB2312" w:hAnsi="Calibri"/>
                <w:b/>
                <w:kern w:val="0"/>
                <w:sz w:val="28"/>
                <w:szCs w:val="28"/>
              </w:rPr>
            </w:pPr>
            <w:r>
              <w:rPr>
                <w:rFonts w:hint="eastAsia" w:ascii="仿宋_GB2312" w:hAnsi="Calibri"/>
                <w:b/>
                <w:kern w:val="0"/>
                <w:sz w:val="28"/>
                <w:szCs w:val="28"/>
              </w:rPr>
              <w:t>目标内容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2310" w:type="dxa"/>
            <w:vAlign w:val="center"/>
          </w:tcPr>
          <w:p>
            <w:pPr>
              <w:pStyle w:val="26"/>
              <w:spacing w:line="520" w:lineRule="exact"/>
              <w:ind w:firstLine="560"/>
              <w:rPr>
                <w:rFonts w:hint="eastAsia" w:ascii="仿宋_GB2312" w:hAnsi="Calibri"/>
                <w:kern w:val="0"/>
                <w:sz w:val="28"/>
                <w:szCs w:val="28"/>
              </w:rPr>
            </w:pPr>
            <w:r>
              <w:rPr>
                <w:rFonts w:hint="eastAsia" w:ascii="仿宋_GB2312" w:hAnsi="Calibri"/>
                <w:kern w:val="0"/>
                <w:sz w:val="28"/>
                <w:szCs w:val="28"/>
              </w:rPr>
              <w:t>数量指标</w:t>
            </w:r>
          </w:p>
        </w:tc>
        <w:tc>
          <w:tcPr>
            <w:tcW w:w="6540"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完成村内排水沟3700米盖板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2310" w:type="dxa"/>
            <w:vAlign w:val="top"/>
          </w:tcPr>
          <w:p>
            <w:pPr>
              <w:pStyle w:val="26"/>
              <w:spacing w:line="520" w:lineRule="exact"/>
              <w:ind w:firstLine="560"/>
              <w:rPr>
                <w:rFonts w:hint="eastAsia" w:ascii="仿宋_GB2312" w:hAnsi="Calibri"/>
                <w:kern w:val="0"/>
                <w:sz w:val="28"/>
                <w:szCs w:val="28"/>
              </w:rPr>
            </w:pPr>
            <w:r>
              <w:rPr>
                <w:rFonts w:hint="eastAsia" w:ascii="仿宋_GB2312" w:hAnsi="Calibri"/>
                <w:kern w:val="0"/>
                <w:sz w:val="28"/>
                <w:szCs w:val="28"/>
              </w:rPr>
              <w:t>质量指标</w:t>
            </w:r>
          </w:p>
        </w:tc>
        <w:tc>
          <w:tcPr>
            <w:tcW w:w="6540" w:type="dxa"/>
            <w:vAlign w:val="center"/>
          </w:tcPr>
          <w:p>
            <w:pPr>
              <w:pStyle w:val="26"/>
              <w:spacing w:line="520" w:lineRule="exact"/>
              <w:ind w:firstLine="0" w:firstLineChars="0"/>
              <w:rPr>
                <w:rFonts w:ascii="仿宋_GB2312" w:hAnsi="Calibri"/>
                <w:kern w:val="0"/>
                <w:sz w:val="28"/>
                <w:szCs w:val="28"/>
              </w:rPr>
            </w:pPr>
            <w:r>
              <w:rPr>
                <w:rFonts w:hint="eastAsia" w:ascii="仿宋_GB2312" w:hAnsi="Calibri"/>
                <w:kern w:val="0"/>
                <w:sz w:val="28"/>
                <w:szCs w:val="28"/>
              </w:rPr>
              <w:t>排水沟质量达标率100%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310" w:type="dxa"/>
            <w:vAlign w:val="top"/>
          </w:tcPr>
          <w:p>
            <w:pPr>
              <w:pStyle w:val="26"/>
              <w:spacing w:line="520" w:lineRule="exact"/>
              <w:ind w:firstLine="560"/>
              <w:rPr>
                <w:rFonts w:hint="eastAsia" w:ascii="仿宋_GB2312" w:hAnsi="Calibri"/>
                <w:kern w:val="0"/>
                <w:sz w:val="28"/>
                <w:szCs w:val="28"/>
              </w:rPr>
            </w:pPr>
            <w:r>
              <w:rPr>
                <w:rFonts w:hint="eastAsia" w:ascii="仿宋_GB2312" w:hAnsi="Calibri"/>
                <w:kern w:val="0"/>
                <w:sz w:val="28"/>
                <w:szCs w:val="28"/>
              </w:rPr>
              <w:t>时效指标</w:t>
            </w:r>
          </w:p>
        </w:tc>
        <w:tc>
          <w:tcPr>
            <w:tcW w:w="6540"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2022年11月10日完成所有工程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310" w:type="dxa"/>
            <w:vAlign w:val="center"/>
          </w:tcPr>
          <w:p>
            <w:pPr>
              <w:pStyle w:val="26"/>
              <w:spacing w:line="520" w:lineRule="exact"/>
              <w:ind w:firstLine="560"/>
              <w:rPr>
                <w:rFonts w:hint="eastAsia" w:ascii="仿宋_GB2312" w:hAnsi="Calibri"/>
                <w:kern w:val="0"/>
                <w:sz w:val="28"/>
                <w:szCs w:val="28"/>
              </w:rPr>
            </w:pPr>
            <w:r>
              <w:rPr>
                <w:rFonts w:hint="eastAsia" w:ascii="仿宋_GB2312" w:hAnsi="Calibri"/>
                <w:kern w:val="0"/>
                <w:sz w:val="28"/>
                <w:szCs w:val="28"/>
              </w:rPr>
              <w:t>成本指标</w:t>
            </w:r>
          </w:p>
        </w:tc>
        <w:tc>
          <w:tcPr>
            <w:tcW w:w="6540"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工程实际成本在申报的预算范围内；工程实际支出符合项目结算金额</w:t>
            </w:r>
          </w:p>
        </w:tc>
      </w:tr>
    </w:tbl>
    <w:p>
      <w:pPr>
        <w:pStyle w:val="26"/>
        <w:spacing w:line="560" w:lineRule="exact"/>
        <w:ind w:left="640" w:leftChars="200" w:firstLine="0" w:firstLineChars="0"/>
        <w:rPr>
          <w:rFonts w:hint="eastAsia" w:ascii="仿宋_GB2312" w:hAnsi="Calibri"/>
          <w:kern w:val="0"/>
          <w:sz w:val="32"/>
          <w:szCs w:val="32"/>
        </w:rPr>
      </w:pPr>
      <w:r>
        <w:rPr>
          <w:rFonts w:hint="eastAsia" w:ascii="仿宋_GB2312" w:hAnsi="Calibri"/>
          <w:kern w:val="0"/>
          <w:sz w:val="32"/>
          <w:szCs w:val="32"/>
        </w:rPr>
        <w:t>（2）项目效益方面：</w:t>
      </w:r>
    </w:p>
    <w:tbl>
      <w:tblPr>
        <w:tblW w:w="894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9"/>
        <w:gridCol w:w="6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2559" w:type="dxa"/>
            <w:vAlign w:val="top"/>
          </w:tcPr>
          <w:p>
            <w:pPr>
              <w:pStyle w:val="26"/>
              <w:spacing w:line="520" w:lineRule="exact"/>
              <w:ind w:firstLine="0" w:firstLineChars="0"/>
              <w:jc w:val="center"/>
              <w:rPr>
                <w:rFonts w:ascii="仿宋_GB2312" w:hAnsi="Calibri"/>
                <w:b/>
                <w:kern w:val="0"/>
                <w:sz w:val="28"/>
                <w:szCs w:val="28"/>
              </w:rPr>
            </w:pPr>
            <w:r>
              <w:rPr>
                <w:rFonts w:hint="eastAsia" w:ascii="仿宋_GB2312" w:hAnsi="Calibri"/>
                <w:b/>
                <w:kern w:val="0"/>
                <w:sz w:val="28"/>
                <w:szCs w:val="28"/>
              </w:rPr>
              <w:t>效益指标</w:t>
            </w:r>
          </w:p>
        </w:tc>
        <w:tc>
          <w:tcPr>
            <w:tcW w:w="6381" w:type="dxa"/>
            <w:vAlign w:val="top"/>
          </w:tcPr>
          <w:p>
            <w:pPr>
              <w:pStyle w:val="26"/>
              <w:spacing w:line="520" w:lineRule="exact"/>
              <w:ind w:firstLine="0" w:firstLineChars="0"/>
              <w:jc w:val="center"/>
              <w:rPr>
                <w:rFonts w:ascii="仿宋_GB2312" w:hAnsi="Calibri"/>
                <w:b/>
                <w:kern w:val="0"/>
                <w:sz w:val="28"/>
                <w:szCs w:val="28"/>
              </w:rPr>
            </w:pPr>
            <w:r>
              <w:rPr>
                <w:rFonts w:hint="eastAsia" w:ascii="仿宋_GB2312" w:hAnsi="Calibri"/>
                <w:b/>
                <w:kern w:val="0"/>
                <w:sz w:val="28"/>
                <w:szCs w:val="28"/>
              </w:rPr>
              <w:t>目标内容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2559" w:type="dxa"/>
            <w:vAlign w:val="center"/>
          </w:tcPr>
          <w:p>
            <w:pPr>
              <w:pStyle w:val="26"/>
              <w:spacing w:line="520" w:lineRule="exact"/>
              <w:ind w:firstLine="0" w:firstLineChars="0"/>
              <w:jc w:val="center"/>
              <w:rPr>
                <w:rFonts w:ascii="仿宋_GB2312" w:hAnsi="Calibri"/>
                <w:kern w:val="0"/>
                <w:sz w:val="28"/>
                <w:szCs w:val="28"/>
              </w:rPr>
            </w:pPr>
            <w:r>
              <w:rPr>
                <w:rFonts w:hint="eastAsia" w:ascii="仿宋_GB2312" w:hAnsi="Calibri"/>
                <w:kern w:val="0"/>
                <w:sz w:val="28"/>
                <w:szCs w:val="28"/>
              </w:rPr>
              <w:t>经济效益</w:t>
            </w:r>
          </w:p>
        </w:tc>
        <w:tc>
          <w:tcPr>
            <w:tcW w:w="6381"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项目实施有助于完善基础设施，对带动镇村的开发建设和经济发展具有积极影响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2559" w:type="dxa"/>
            <w:vAlign w:val="center"/>
          </w:tcPr>
          <w:p>
            <w:pPr>
              <w:pStyle w:val="26"/>
              <w:spacing w:line="52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社会效益指标</w:t>
            </w:r>
          </w:p>
        </w:tc>
        <w:tc>
          <w:tcPr>
            <w:tcW w:w="6381"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①项目实施改善村庄排水不畅问题；</w:t>
            </w:r>
          </w:p>
          <w:p>
            <w:pPr>
              <w:pStyle w:val="26"/>
              <w:spacing w:line="520" w:lineRule="exact"/>
              <w:ind w:firstLine="0" w:firstLineChars="0"/>
              <w:rPr>
                <w:rFonts w:ascii="仿宋_GB2312" w:hAnsi="Calibri"/>
                <w:kern w:val="0"/>
                <w:sz w:val="28"/>
                <w:szCs w:val="28"/>
              </w:rPr>
            </w:pPr>
            <w:r>
              <w:rPr>
                <w:rFonts w:hint="eastAsia" w:ascii="仿宋_GB2312" w:hAnsi="Calibri"/>
                <w:kern w:val="0"/>
                <w:sz w:val="28"/>
                <w:szCs w:val="28"/>
              </w:rPr>
              <w:t>②项目实施改善人居环境、提高村民生活质量；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2559" w:type="dxa"/>
            <w:vAlign w:val="center"/>
          </w:tcPr>
          <w:p>
            <w:pPr>
              <w:pStyle w:val="26"/>
              <w:spacing w:line="52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生态效益指标</w:t>
            </w:r>
          </w:p>
        </w:tc>
        <w:tc>
          <w:tcPr>
            <w:tcW w:w="6381"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①项目实施改善村庄整体环境面貌；</w:t>
            </w:r>
          </w:p>
          <w:p>
            <w:pPr>
              <w:pStyle w:val="26"/>
              <w:spacing w:line="520" w:lineRule="exact"/>
              <w:ind w:firstLine="0" w:firstLineChars="0"/>
              <w:rPr>
                <w:rFonts w:ascii="仿宋_GB2312" w:hAnsi="Calibri"/>
                <w:kern w:val="0"/>
                <w:sz w:val="28"/>
                <w:szCs w:val="28"/>
              </w:rPr>
            </w:pPr>
            <w:r>
              <w:rPr>
                <w:rFonts w:hint="eastAsia" w:ascii="仿宋_GB2312" w:hAnsi="Calibri"/>
                <w:kern w:val="0"/>
                <w:sz w:val="28"/>
                <w:szCs w:val="28"/>
              </w:rPr>
              <w:t>②项目实施推进美丽乡村建设；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0" w:hRule="atLeast"/>
        </w:trPr>
        <w:tc>
          <w:tcPr>
            <w:tcW w:w="2559" w:type="dxa"/>
            <w:vAlign w:val="center"/>
          </w:tcPr>
          <w:p>
            <w:pPr>
              <w:pStyle w:val="26"/>
              <w:spacing w:line="52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可持续影响指标</w:t>
            </w:r>
          </w:p>
        </w:tc>
        <w:tc>
          <w:tcPr>
            <w:tcW w:w="6381" w:type="dxa"/>
            <w:vAlign w:val="center"/>
          </w:tcPr>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①已修建的排水沟是否得到良好的养护，未出现淤积、开裂、塌陷等现象；</w:t>
            </w:r>
          </w:p>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②已修建的排水沟是否发挥预期作用，未出现排水不畅等不良情况；</w:t>
            </w:r>
          </w:p>
          <w:p>
            <w:pPr>
              <w:pStyle w:val="26"/>
              <w:spacing w:line="520" w:lineRule="exact"/>
              <w:ind w:firstLine="0" w:firstLineChars="0"/>
              <w:rPr>
                <w:rFonts w:hint="eastAsia" w:ascii="仿宋_GB2312" w:hAnsi="Calibri"/>
                <w:kern w:val="0"/>
                <w:sz w:val="28"/>
                <w:szCs w:val="28"/>
              </w:rPr>
            </w:pPr>
            <w:r>
              <w:rPr>
                <w:rFonts w:hint="eastAsia" w:ascii="仿宋_GB2312" w:hAnsi="Calibri"/>
                <w:kern w:val="0"/>
                <w:sz w:val="28"/>
                <w:szCs w:val="28"/>
              </w:rPr>
              <w:t>③设立相关管护措施或资金保障。</w:t>
            </w:r>
          </w:p>
        </w:tc>
      </w:tr>
    </w:tbl>
    <w:p>
      <w:pPr>
        <w:pStyle w:val="26"/>
        <w:numPr>
          <w:ilvl w:val="0"/>
          <w:numId w:val="1"/>
        </w:numPr>
        <w:spacing w:line="560" w:lineRule="exact"/>
        <w:ind w:firstLine="640"/>
        <w:rPr>
          <w:rFonts w:hint="eastAsia" w:ascii="仿宋_GB2312" w:hAnsi="Calibri"/>
          <w:kern w:val="0"/>
          <w:sz w:val="32"/>
          <w:szCs w:val="32"/>
        </w:rPr>
      </w:pPr>
      <w:r>
        <w:rPr>
          <w:rFonts w:hint="eastAsia" w:ascii="仿宋_GB2312" w:hAnsi="Calibri"/>
          <w:kern w:val="0"/>
          <w:sz w:val="32"/>
          <w:szCs w:val="32"/>
        </w:rPr>
        <w:t>满意度方面：村民满意度≥95%</w:t>
      </w:r>
    </w:p>
    <w:p>
      <w:pPr>
        <w:spacing w:line="560" w:lineRule="exact"/>
        <w:ind w:firstLine="640" w:firstLineChars="200"/>
        <w:outlineLvl w:val="0"/>
        <w:rPr>
          <w:rFonts w:hint="eastAsia" w:ascii="黑体" w:hAnsi="黑体" w:eastAsia="黑体"/>
          <w:sz w:val="32"/>
          <w:szCs w:val="32"/>
        </w:rPr>
      </w:pPr>
      <w:bookmarkStart w:id="166" w:name="_Toc23993"/>
      <w:bookmarkStart w:id="167" w:name="_Toc32496"/>
      <w:bookmarkStart w:id="168" w:name="_Toc23207"/>
      <w:r>
        <w:rPr>
          <w:rFonts w:hint="eastAsia" w:ascii="黑体" w:hAnsi="黑体" w:eastAsia="黑体"/>
          <w:sz w:val="32"/>
          <w:szCs w:val="32"/>
        </w:rPr>
        <w:t>二、绩效评价</w:t>
      </w:r>
      <w:bookmarkEnd w:id="158"/>
      <w:r>
        <w:rPr>
          <w:rFonts w:hint="eastAsia" w:ascii="黑体" w:hAnsi="黑体" w:eastAsia="黑体"/>
          <w:sz w:val="32"/>
          <w:szCs w:val="32"/>
        </w:rPr>
        <w:t>思路</w:t>
      </w:r>
      <w:bookmarkEnd w:id="166"/>
      <w:bookmarkEnd w:id="167"/>
      <w:bookmarkEnd w:id="168"/>
    </w:p>
    <w:p>
      <w:pPr>
        <w:pStyle w:val="26"/>
        <w:spacing w:line="540" w:lineRule="exact"/>
        <w:ind w:firstLine="640"/>
        <w:outlineLvl w:val="1"/>
        <w:rPr>
          <w:rFonts w:hint="eastAsia" w:eastAsia="楷体_GB2312"/>
          <w:bCs/>
          <w:kern w:val="0"/>
          <w:sz w:val="32"/>
          <w:szCs w:val="32"/>
        </w:rPr>
      </w:pPr>
      <w:bookmarkStart w:id="169" w:name="_Toc15917"/>
      <w:bookmarkStart w:id="170" w:name="_Toc29534"/>
      <w:bookmarkStart w:id="171" w:name="_Toc18521"/>
      <w:bookmarkStart w:id="172" w:name="_Toc26237"/>
      <w:r>
        <w:rPr>
          <w:rFonts w:hint="eastAsia" w:eastAsia="楷体_GB2312"/>
          <w:bCs/>
          <w:kern w:val="0"/>
          <w:sz w:val="32"/>
          <w:szCs w:val="32"/>
        </w:rPr>
        <w:t>（一）评价目的</w:t>
      </w:r>
      <w:bookmarkEnd w:id="169"/>
      <w:bookmarkEnd w:id="170"/>
      <w:bookmarkEnd w:id="171"/>
      <w:bookmarkEnd w:id="172"/>
    </w:p>
    <w:p>
      <w:pPr>
        <w:pStyle w:val="26"/>
        <w:spacing w:line="540" w:lineRule="exact"/>
        <w:ind w:firstLine="640"/>
        <w:rPr>
          <w:rFonts w:hint="eastAsia" w:ascii="仿宋_GB2312" w:hAnsi="Calibri"/>
          <w:kern w:val="0"/>
          <w:sz w:val="32"/>
          <w:szCs w:val="32"/>
        </w:rPr>
      </w:pPr>
      <w:bookmarkStart w:id="173" w:name="_Toc23290"/>
      <w:bookmarkStart w:id="174" w:name="_Toc26769"/>
      <w:bookmarkStart w:id="175" w:name="_Toc1167"/>
      <w:bookmarkStart w:id="176" w:name="_Toc21671"/>
      <w:bookmarkStart w:id="177" w:name="_Toc13578"/>
      <w:bookmarkStart w:id="178" w:name="_Toc32735"/>
      <w:bookmarkStart w:id="179" w:name="_Toc18949"/>
      <w:bookmarkStart w:id="180" w:name="_Toc7079"/>
      <w:bookmarkStart w:id="181" w:name="_Toc20437"/>
      <w:r>
        <w:rPr>
          <w:rFonts w:hint="eastAsia" w:ascii="仿宋_GB2312" w:hAnsi="Calibri"/>
          <w:kern w:val="0"/>
          <w:sz w:val="32"/>
          <w:szCs w:val="32"/>
        </w:rPr>
        <w:t>通过对辛戈庄村部分污水沟清理、盖板隐蔽化处理工程项目的决策、过程、产出和效益四个方面进行客观、公正的评价，总结项目实施过程中的经验，发现问题，提出改进该项目立项投入、组织实施、运行管理的具体建议，进一步加强项目管理，提高财政资金的使用效益，为下一步预算资金安排或同类项目实施提供重要参考，达到避免资金浪费、滥用的目的。</w:t>
      </w:r>
      <w:bookmarkEnd w:id="173"/>
      <w:bookmarkEnd w:id="174"/>
      <w:bookmarkEnd w:id="175"/>
      <w:bookmarkEnd w:id="176"/>
      <w:bookmarkEnd w:id="177"/>
      <w:bookmarkEnd w:id="178"/>
      <w:bookmarkEnd w:id="179"/>
      <w:bookmarkEnd w:id="180"/>
      <w:bookmarkEnd w:id="181"/>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评价关注点：通过收集与本项目相关文件，按照预算绩效管理的思路，评价部分污水沟清理、盖板隐蔽化处理项目整个实施周期的决策依据是否明确、充分，预算申请是否科学规范，资金使用情况是否及时合规，项目实施是否按照相关制度执行，档案资料是否完整，是否推进过程和效益跟踪，积极开展监督和审查工作，以提高项目质量，确保完成项目确定的计划目标。</w:t>
      </w:r>
    </w:p>
    <w:p>
      <w:pPr>
        <w:pStyle w:val="26"/>
        <w:spacing w:line="540" w:lineRule="exact"/>
        <w:ind w:firstLine="640"/>
        <w:outlineLvl w:val="1"/>
        <w:rPr>
          <w:rFonts w:hint="eastAsia" w:eastAsia="楷体_GB2312"/>
          <w:bCs/>
          <w:kern w:val="0"/>
          <w:sz w:val="32"/>
          <w:szCs w:val="32"/>
        </w:rPr>
      </w:pPr>
      <w:bookmarkStart w:id="182" w:name="_Toc10610"/>
      <w:bookmarkStart w:id="183" w:name="_Toc26583"/>
      <w:bookmarkStart w:id="184" w:name="_Toc28551"/>
      <w:bookmarkStart w:id="185" w:name="_Toc20116"/>
      <w:r>
        <w:rPr>
          <w:rFonts w:hint="eastAsia" w:eastAsia="楷体_GB2312"/>
          <w:bCs/>
          <w:kern w:val="0"/>
          <w:sz w:val="32"/>
          <w:szCs w:val="32"/>
        </w:rPr>
        <w:t>（二）评价对象和范围</w:t>
      </w:r>
      <w:bookmarkEnd w:id="182"/>
      <w:bookmarkEnd w:id="183"/>
      <w:bookmarkEnd w:id="184"/>
      <w:bookmarkEnd w:id="185"/>
    </w:p>
    <w:p>
      <w:pPr>
        <w:pStyle w:val="26"/>
        <w:spacing w:line="540" w:lineRule="exact"/>
        <w:ind w:firstLine="640"/>
        <w:rPr>
          <w:rFonts w:hint="eastAsia" w:ascii="仿宋_GB2312" w:hAnsi="Calibri"/>
          <w:kern w:val="0"/>
          <w:sz w:val="32"/>
          <w:szCs w:val="32"/>
        </w:rPr>
      </w:pPr>
      <w:bookmarkStart w:id="186" w:name="_Toc21402"/>
      <w:bookmarkStart w:id="187" w:name="_Toc32653"/>
      <w:bookmarkStart w:id="188" w:name="_Toc16579"/>
      <w:bookmarkStart w:id="189" w:name="_Toc8995"/>
      <w:bookmarkStart w:id="190" w:name="_Toc13800"/>
      <w:bookmarkStart w:id="191" w:name="_Toc51"/>
      <w:bookmarkStart w:id="192" w:name="_Toc26940"/>
      <w:bookmarkStart w:id="193" w:name="_Toc4063"/>
      <w:bookmarkStart w:id="194" w:name="_Toc24747"/>
      <w:r>
        <w:rPr>
          <w:rFonts w:hint="eastAsia" w:ascii="仿宋_GB2312" w:hAnsi="Calibri"/>
          <w:kern w:val="0"/>
          <w:sz w:val="32"/>
          <w:szCs w:val="32"/>
        </w:rPr>
        <w:t>评价对象为青岛市即墨区潮海街道办事处</w:t>
      </w:r>
      <w:bookmarkEnd w:id="186"/>
      <w:r>
        <w:rPr>
          <w:rFonts w:hint="eastAsia" w:ascii="仿宋_GB2312" w:hAnsi="Calibri"/>
          <w:kern w:val="0"/>
          <w:sz w:val="32"/>
          <w:szCs w:val="32"/>
        </w:rPr>
        <w:t>辛戈庄村部分污水沟清理、盖板隐蔽化处理工程项目；评价的主要内容为项目周期绩效目标的实现程度及效果，资金投入和使用情况，为实现绩效目标制定的制度、采取的措施等</w:t>
      </w:r>
      <w:bookmarkEnd w:id="187"/>
      <w:bookmarkEnd w:id="188"/>
      <w:bookmarkEnd w:id="189"/>
      <w:bookmarkEnd w:id="190"/>
      <w:bookmarkEnd w:id="191"/>
      <w:bookmarkEnd w:id="192"/>
      <w:bookmarkEnd w:id="193"/>
      <w:bookmarkEnd w:id="194"/>
      <w:r>
        <w:rPr>
          <w:rFonts w:hint="eastAsia" w:ascii="仿宋_GB2312" w:hAnsi="Calibri"/>
          <w:kern w:val="0"/>
          <w:sz w:val="32"/>
          <w:szCs w:val="32"/>
        </w:rPr>
        <w:t>；评价的时间范围为2022年。</w:t>
      </w:r>
    </w:p>
    <w:p>
      <w:pPr>
        <w:pStyle w:val="26"/>
        <w:spacing w:line="540" w:lineRule="exact"/>
        <w:ind w:firstLine="640"/>
        <w:outlineLvl w:val="1"/>
        <w:rPr>
          <w:rFonts w:hint="eastAsia" w:eastAsia="楷体_GB2312"/>
          <w:bCs/>
          <w:kern w:val="0"/>
          <w:sz w:val="32"/>
          <w:szCs w:val="32"/>
        </w:rPr>
      </w:pPr>
      <w:bookmarkStart w:id="195" w:name="_Toc8974"/>
      <w:bookmarkStart w:id="196" w:name="_Toc985"/>
      <w:bookmarkStart w:id="197" w:name="_Toc21097"/>
      <w:bookmarkStart w:id="198" w:name="_Toc16104"/>
      <w:r>
        <w:rPr>
          <w:rFonts w:hint="eastAsia" w:eastAsia="楷体_GB2312"/>
          <w:bCs/>
          <w:kern w:val="0"/>
          <w:sz w:val="32"/>
          <w:szCs w:val="32"/>
        </w:rPr>
        <w:t>（三）绩效评价原则及评价方法</w:t>
      </w:r>
      <w:bookmarkEnd w:id="195"/>
      <w:bookmarkEnd w:id="196"/>
      <w:bookmarkEnd w:id="197"/>
      <w:bookmarkEnd w:id="198"/>
    </w:p>
    <w:p>
      <w:pPr>
        <w:pStyle w:val="26"/>
        <w:spacing w:line="540" w:lineRule="exact"/>
        <w:ind w:firstLine="640"/>
        <w:rPr>
          <w:rFonts w:hint="eastAsia" w:ascii="仿宋_GB2312" w:hAnsi="Calibri"/>
          <w:kern w:val="0"/>
          <w:sz w:val="32"/>
          <w:szCs w:val="32"/>
        </w:rPr>
      </w:pPr>
      <w:bookmarkStart w:id="199" w:name="_Toc3668"/>
      <w:bookmarkStart w:id="200" w:name="_Toc11242"/>
      <w:bookmarkStart w:id="201" w:name="_Toc28856"/>
      <w:bookmarkStart w:id="202" w:name="_Toc23926"/>
      <w:bookmarkStart w:id="203" w:name="_Toc27288"/>
      <w:bookmarkStart w:id="204" w:name="_Toc22847"/>
      <w:bookmarkStart w:id="205" w:name="_Toc19758"/>
      <w:bookmarkStart w:id="206" w:name="_Toc2709"/>
      <w:r>
        <w:rPr>
          <w:rFonts w:hint="eastAsia" w:ascii="仿宋_GB2312" w:hAnsi="Calibri"/>
          <w:kern w:val="0"/>
          <w:sz w:val="32"/>
          <w:szCs w:val="32"/>
        </w:rPr>
        <w:t>1.评价原则：按照科学规范、绩效相关、政策相符、依据充分、公平公正、分级分类、独立评价等原则，根据青岛市即墨区财政局《关于印发青岛市即墨区预算绩效管理办法的通知》（即财绩效〔2020〕260号）等文件规定，依据项目单位提交的相关材料，按照“项目决策-项目过程-项目产出-项目效益”的绩效逻辑路径，在明确评价范围、项目目标、评价方法的基础上，制定科学的绩效评价指标体系，从绩效角度对项目的整个实施周期情况进行合理、客观的评价。</w:t>
      </w:r>
      <w:bookmarkEnd w:id="199"/>
      <w:bookmarkEnd w:id="200"/>
      <w:bookmarkEnd w:id="201"/>
      <w:bookmarkEnd w:id="202"/>
      <w:bookmarkEnd w:id="203"/>
      <w:bookmarkEnd w:id="204"/>
      <w:bookmarkEnd w:id="205"/>
      <w:bookmarkEnd w:id="206"/>
    </w:p>
    <w:p>
      <w:pPr>
        <w:pStyle w:val="26"/>
        <w:spacing w:line="540" w:lineRule="exact"/>
        <w:ind w:firstLine="640"/>
        <w:rPr>
          <w:rFonts w:hint="eastAsia" w:ascii="仿宋_GB2312" w:hAnsi="Calibri"/>
          <w:kern w:val="0"/>
          <w:sz w:val="32"/>
          <w:szCs w:val="32"/>
        </w:rPr>
      </w:pPr>
      <w:bookmarkStart w:id="207" w:name="_Toc31889"/>
      <w:bookmarkStart w:id="208" w:name="_Toc16712"/>
      <w:bookmarkStart w:id="209" w:name="_Toc24237"/>
      <w:bookmarkStart w:id="210" w:name="_Toc23636"/>
      <w:bookmarkStart w:id="211" w:name="_Toc2795"/>
      <w:bookmarkStart w:id="212" w:name="_Toc13296"/>
      <w:bookmarkStart w:id="213" w:name="_Toc21714"/>
      <w:bookmarkStart w:id="214" w:name="_Toc2912"/>
      <w:r>
        <w:rPr>
          <w:rFonts w:hint="eastAsia" w:ascii="仿宋_GB2312" w:hAnsi="Calibri"/>
          <w:kern w:val="0"/>
          <w:sz w:val="32"/>
          <w:szCs w:val="32"/>
        </w:rPr>
        <w:t>2.评价方法：为了保证评价工作的科学性，本次采用定性分析与定量分析相结合的方法，选择适当的一种或几种技术方法对项目进行评价，主要方法如下：</w:t>
      </w:r>
      <w:bookmarkEnd w:id="207"/>
      <w:bookmarkEnd w:id="208"/>
      <w:bookmarkEnd w:id="209"/>
      <w:bookmarkEnd w:id="210"/>
      <w:bookmarkEnd w:id="211"/>
      <w:bookmarkEnd w:id="212"/>
      <w:bookmarkEnd w:id="213"/>
      <w:bookmarkEnd w:id="214"/>
      <w:bookmarkStart w:id="215" w:name="_Toc30894"/>
    </w:p>
    <w:p>
      <w:pPr>
        <w:pStyle w:val="26"/>
        <w:spacing w:line="540" w:lineRule="exact"/>
        <w:ind w:firstLine="640"/>
        <w:rPr>
          <w:rFonts w:hint="eastAsia" w:ascii="仿宋_GB2312" w:hAnsi="Calibri"/>
          <w:kern w:val="0"/>
          <w:sz w:val="32"/>
          <w:szCs w:val="32"/>
        </w:rPr>
      </w:pPr>
      <w:bookmarkStart w:id="216" w:name="_Toc22195"/>
      <w:bookmarkStart w:id="217" w:name="_Toc25621"/>
      <w:bookmarkStart w:id="218" w:name="_Toc7691"/>
      <w:bookmarkStart w:id="219" w:name="_Toc6085"/>
      <w:bookmarkStart w:id="220" w:name="_Toc30035"/>
      <w:bookmarkStart w:id="221" w:name="_Toc1283"/>
      <w:bookmarkStart w:id="222" w:name="_Toc2223"/>
      <w:r>
        <w:rPr>
          <w:rFonts w:hint="eastAsia" w:ascii="仿宋_GB2312" w:hAnsi="Calibri"/>
          <w:kern w:val="0"/>
          <w:sz w:val="32"/>
          <w:szCs w:val="32"/>
        </w:rPr>
        <w:t>（1）因素分析法</w:t>
      </w:r>
      <w:bookmarkStart w:id="223" w:name="_Toc14905"/>
      <w:bookmarkStart w:id="224" w:name="_Toc26278"/>
      <w:bookmarkStart w:id="225" w:name="_Toc19277"/>
      <w:bookmarkStart w:id="226" w:name="_Toc6760"/>
      <w:bookmarkStart w:id="227" w:name="_Toc16496"/>
      <w:bookmarkStart w:id="228" w:name="_Toc4983"/>
      <w:bookmarkStart w:id="229" w:name="_Toc23909"/>
      <w:bookmarkEnd w:id="216"/>
      <w:bookmarkEnd w:id="217"/>
      <w:bookmarkEnd w:id="218"/>
      <w:bookmarkEnd w:id="219"/>
      <w:bookmarkEnd w:id="220"/>
      <w:bookmarkEnd w:id="221"/>
      <w:bookmarkEnd w:id="222"/>
      <w:r>
        <w:rPr>
          <w:rFonts w:hint="eastAsia" w:ascii="仿宋_GB2312" w:hAnsi="Calibri"/>
          <w:kern w:val="0"/>
          <w:sz w:val="32"/>
          <w:szCs w:val="32"/>
        </w:rPr>
        <w:t>。用于评价项目管理类指标，对项目管理中发现的不足进行因素分析，发现相关的内外因素，追溯问题产生的原因，明确责任归属，为后续纠偏完善提供参考</w:t>
      </w:r>
      <w:bookmarkEnd w:id="223"/>
      <w:bookmarkEnd w:id="224"/>
      <w:bookmarkEnd w:id="225"/>
      <w:bookmarkEnd w:id="226"/>
      <w:bookmarkEnd w:id="227"/>
      <w:bookmarkEnd w:id="228"/>
      <w:bookmarkEnd w:id="229"/>
      <w:r>
        <w:rPr>
          <w:rFonts w:hint="eastAsia" w:ascii="仿宋_GB2312" w:hAnsi="Calibri"/>
          <w:kern w:val="0"/>
          <w:sz w:val="32"/>
          <w:szCs w:val="32"/>
        </w:rPr>
        <w:t>。</w:t>
      </w:r>
    </w:p>
    <w:bookmarkEnd w:id="215"/>
    <w:p>
      <w:pPr>
        <w:pStyle w:val="26"/>
        <w:spacing w:line="540" w:lineRule="exact"/>
        <w:ind w:firstLine="640"/>
        <w:rPr>
          <w:rFonts w:hint="eastAsia" w:ascii="仿宋_GB2312" w:hAnsi="Calibri"/>
          <w:kern w:val="0"/>
          <w:sz w:val="32"/>
          <w:szCs w:val="32"/>
        </w:rPr>
      </w:pPr>
      <w:bookmarkStart w:id="230" w:name="_Toc24591"/>
      <w:bookmarkStart w:id="231" w:name="_Toc16234"/>
      <w:bookmarkStart w:id="232" w:name="_Toc17336"/>
      <w:bookmarkStart w:id="233" w:name="_Toc27006"/>
      <w:bookmarkStart w:id="234" w:name="_Toc9532"/>
      <w:bookmarkStart w:id="235" w:name="_Toc29597"/>
      <w:bookmarkStart w:id="236" w:name="_Toc18251"/>
      <w:bookmarkStart w:id="237" w:name="_Toc25678"/>
      <w:r>
        <w:rPr>
          <w:rFonts w:hint="eastAsia" w:ascii="仿宋_GB2312" w:hAnsi="Calibri"/>
          <w:kern w:val="0"/>
          <w:sz w:val="32"/>
          <w:szCs w:val="32"/>
        </w:rPr>
        <w:t>（2）比较法。将项目实施结果与既定目标、相关规定进行对比，综合分析绩效目标实现程度，考评的重点是</w:t>
      </w:r>
      <w:r>
        <w:rPr>
          <w:rFonts w:hint="eastAsia" w:ascii="仿宋_GB2312" w:hAnsi="Calibri"/>
          <w:kern w:val="0"/>
          <w:sz w:val="32"/>
          <w:szCs w:val="32"/>
          <w:lang w:eastAsia="zh-CN"/>
        </w:rPr>
        <w:t>单位</w:t>
      </w:r>
      <w:r>
        <w:rPr>
          <w:rFonts w:hint="eastAsia" w:ascii="仿宋_GB2312" w:hAnsi="Calibri"/>
          <w:kern w:val="0"/>
          <w:sz w:val="32"/>
          <w:szCs w:val="32"/>
        </w:rPr>
        <w:t>是否达到计划目标。主要评价</w:t>
      </w:r>
      <w:r>
        <w:rPr>
          <w:rFonts w:hint="eastAsia" w:ascii="仿宋_GB2312" w:hAnsi="Calibri"/>
          <w:kern w:val="0"/>
          <w:sz w:val="32"/>
          <w:szCs w:val="32"/>
          <w:lang w:eastAsia="zh-CN"/>
        </w:rPr>
        <w:t>单位</w:t>
      </w:r>
      <w:r>
        <w:rPr>
          <w:rFonts w:hint="eastAsia" w:ascii="仿宋_GB2312" w:hAnsi="Calibri"/>
          <w:kern w:val="0"/>
          <w:sz w:val="32"/>
          <w:szCs w:val="32"/>
        </w:rPr>
        <w:t>是否设立目标，目标设置是否合理明确，设立目标是否完成及未完成原因分析。</w:t>
      </w:r>
      <w:bookmarkEnd w:id="230"/>
      <w:bookmarkEnd w:id="231"/>
      <w:bookmarkEnd w:id="232"/>
      <w:bookmarkEnd w:id="233"/>
      <w:bookmarkEnd w:id="234"/>
      <w:bookmarkEnd w:id="235"/>
      <w:bookmarkEnd w:id="236"/>
      <w:bookmarkEnd w:id="237"/>
    </w:p>
    <w:p>
      <w:pPr>
        <w:pStyle w:val="26"/>
        <w:spacing w:line="540" w:lineRule="exact"/>
        <w:ind w:firstLine="640"/>
        <w:rPr>
          <w:rFonts w:hint="eastAsia" w:ascii="仿宋_GB2312" w:hAnsi="Calibri"/>
          <w:kern w:val="0"/>
          <w:sz w:val="32"/>
          <w:szCs w:val="32"/>
        </w:rPr>
      </w:pPr>
      <w:bookmarkStart w:id="238" w:name="_Toc6718"/>
      <w:bookmarkStart w:id="239" w:name="_Toc31247"/>
      <w:bookmarkStart w:id="240" w:name="_Toc24193"/>
      <w:bookmarkStart w:id="241" w:name="_Toc20128"/>
      <w:bookmarkStart w:id="242" w:name="_Toc21319"/>
      <w:bookmarkStart w:id="243" w:name="_Toc18919"/>
      <w:bookmarkStart w:id="244" w:name="_Toc1882"/>
      <w:bookmarkStart w:id="245" w:name="_Toc32409"/>
      <w:r>
        <w:rPr>
          <w:rFonts w:hint="eastAsia" w:ascii="仿宋_GB2312" w:hAnsi="Calibri"/>
          <w:kern w:val="0"/>
          <w:sz w:val="32"/>
          <w:szCs w:val="32"/>
        </w:rPr>
        <w:t>（3）成本效益分析法。是指将投入与产出、效益进行关联性分析，了解投入的实际效果情况。</w:t>
      </w:r>
      <w:bookmarkEnd w:id="238"/>
      <w:bookmarkEnd w:id="239"/>
      <w:bookmarkEnd w:id="240"/>
      <w:bookmarkEnd w:id="241"/>
      <w:bookmarkEnd w:id="242"/>
      <w:bookmarkEnd w:id="243"/>
      <w:bookmarkEnd w:id="244"/>
      <w:bookmarkEnd w:id="245"/>
    </w:p>
    <w:p>
      <w:pPr>
        <w:pStyle w:val="26"/>
        <w:spacing w:line="540" w:lineRule="exact"/>
        <w:ind w:firstLine="640"/>
        <w:rPr>
          <w:rFonts w:hint="eastAsia" w:ascii="仿宋_GB2312" w:hAnsi="Calibri"/>
          <w:kern w:val="0"/>
          <w:sz w:val="32"/>
          <w:szCs w:val="32"/>
        </w:rPr>
      </w:pPr>
      <w:bookmarkStart w:id="246" w:name="_Toc24108"/>
      <w:bookmarkStart w:id="247" w:name="_Toc27808"/>
      <w:bookmarkStart w:id="248" w:name="_Toc17686"/>
      <w:bookmarkStart w:id="249" w:name="_Toc2439"/>
      <w:bookmarkStart w:id="250" w:name="_Toc20114"/>
      <w:bookmarkStart w:id="251" w:name="_Toc11879"/>
      <w:bookmarkStart w:id="252" w:name="_Toc3257"/>
      <w:bookmarkStart w:id="253" w:name="_Toc22757"/>
      <w:r>
        <w:rPr>
          <w:rFonts w:hint="eastAsia" w:ascii="仿宋_GB2312" w:hAnsi="Calibri"/>
          <w:kern w:val="0"/>
          <w:sz w:val="32"/>
          <w:szCs w:val="32"/>
        </w:rPr>
        <w:t>（4）公众评判法。通过专家评估、公众问卷及抽样调查等形式对项目相关方进行社会调研，了解其对项目的看法和建议，分析其对项目的满意度，用以直接反映项目的现实状况和具体效果。</w:t>
      </w:r>
      <w:bookmarkEnd w:id="246"/>
      <w:r>
        <w:rPr>
          <w:rFonts w:hint="eastAsia" w:ascii="仿宋_GB2312" w:hAnsi="Calibri"/>
          <w:kern w:val="0"/>
          <w:sz w:val="32"/>
          <w:szCs w:val="32"/>
        </w:rPr>
        <w:t>（见附件2 问卷调查表）</w:t>
      </w:r>
      <w:bookmarkEnd w:id="247"/>
      <w:bookmarkEnd w:id="248"/>
      <w:bookmarkEnd w:id="249"/>
      <w:bookmarkEnd w:id="250"/>
      <w:bookmarkEnd w:id="251"/>
      <w:bookmarkEnd w:id="252"/>
      <w:bookmarkEnd w:id="253"/>
    </w:p>
    <w:p>
      <w:pPr>
        <w:pStyle w:val="26"/>
        <w:spacing w:line="540" w:lineRule="exact"/>
        <w:ind w:firstLine="640"/>
        <w:outlineLvl w:val="1"/>
        <w:rPr>
          <w:rFonts w:hint="eastAsia" w:eastAsia="楷体_GB2312"/>
          <w:bCs/>
          <w:kern w:val="0"/>
          <w:sz w:val="32"/>
          <w:szCs w:val="32"/>
        </w:rPr>
      </w:pPr>
      <w:bookmarkStart w:id="254" w:name="_Toc8414"/>
      <w:bookmarkStart w:id="255" w:name="_Toc27404"/>
      <w:bookmarkStart w:id="256" w:name="_Toc17621"/>
      <w:r>
        <w:rPr>
          <w:rFonts w:hint="eastAsia" w:eastAsia="楷体_GB2312"/>
          <w:bCs/>
          <w:kern w:val="0"/>
          <w:sz w:val="32"/>
          <w:szCs w:val="32"/>
        </w:rPr>
        <w:t>（四）评价依据</w:t>
      </w:r>
      <w:bookmarkEnd w:id="254"/>
      <w:bookmarkEnd w:id="255"/>
      <w:bookmarkEnd w:id="256"/>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1.《中共中央国务院关于全面实施预算绩效管理的意见》（中发〔2018〕34号）；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2.《关于推进政府购买服务第三方绩效评价工作的指导意见》（财综〔2018〕42号）；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3.《关于贯彻落实&lt;中共中央国务院关于全面实施预算绩效管理的意见&gt;的通知》（财预〔2018〕167号）；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4.《项目支出绩效评价管理办法》（财预〔2020〕10号）；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5.《青岛市财政局关于印发&lt;市级财政绩效评价操作指南&gt;的通知》（青财绩〔2020〕6号）；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6.青岛市即墨区财政局《关于印发青岛市即墨区预算绩效管理办法的通知》（即财绩效〔2020〕260号）；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7.《青岛市财政局、青岛市农村综合改革领导小组办公室关于修订&lt;青岛市村级公益事业建设财政奖补项目和资金管理办法&gt;的通知》（青财规〔2018〕4号）；</w:t>
      </w:r>
    </w:p>
    <w:p>
      <w:pPr>
        <w:pStyle w:val="26"/>
        <w:spacing w:line="540" w:lineRule="exact"/>
        <w:ind w:firstLine="640"/>
        <w:rPr>
          <w:rFonts w:hint="eastAsia" w:ascii="仿宋_GB2312" w:hAnsi="Calibri"/>
          <w:kern w:val="0"/>
          <w:sz w:val="32"/>
          <w:szCs w:val="32"/>
        </w:rPr>
      </w:pPr>
      <w:r>
        <w:rPr>
          <w:rFonts w:hint="eastAsia" w:ascii="仿宋_GB2312" w:hAnsi="Calibri"/>
          <w:kern w:val="0"/>
          <w:sz w:val="32"/>
          <w:szCs w:val="32"/>
        </w:rPr>
        <w:t>8.青岛市即墨区人民政府关于印发《即墨区政府投资项目管理办法》的通知（即政发〔2015〕4号）；</w:t>
      </w:r>
    </w:p>
    <w:p>
      <w:pPr>
        <w:pStyle w:val="26"/>
        <w:spacing w:line="540" w:lineRule="exact"/>
        <w:ind w:firstLine="640"/>
        <w:rPr>
          <w:rFonts w:ascii="仿宋_GB2312" w:hAnsi="Calibri"/>
          <w:kern w:val="0"/>
          <w:sz w:val="32"/>
          <w:szCs w:val="32"/>
        </w:rPr>
      </w:pPr>
      <w:r>
        <w:rPr>
          <w:rFonts w:hint="eastAsia" w:ascii="仿宋_GB2312" w:hAnsi="Calibri"/>
          <w:kern w:val="0"/>
          <w:sz w:val="32"/>
          <w:szCs w:val="32"/>
        </w:rPr>
        <w:t>9.《青岛市即墨区财政局关于做好2022年农村公益事业财政奖补工作的通知》（即财农〔2022〕97号）。</w:t>
      </w:r>
    </w:p>
    <w:p>
      <w:pPr>
        <w:pStyle w:val="26"/>
        <w:spacing w:line="540" w:lineRule="exact"/>
        <w:ind w:firstLine="640"/>
        <w:outlineLvl w:val="1"/>
        <w:rPr>
          <w:rFonts w:hint="eastAsia" w:eastAsia="楷体_GB2312"/>
          <w:bCs/>
          <w:kern w:val="0"/>
          <w:sz w:val="32"/>
          <w:szCs w:val="32"/>
        </w:rPr>
      </w:pPr>
      <w:bookmarkStart w:id="257" w:name="_Toc27895"/>
      <w:bookmarkStart w:id="258" w:name="_Toc11755"/>
      <w:bookmarkStart w:id="259" w:name="_Toc31491"/>
      <w:bookmarkStart w:id="260" w:name="_Toc23390"/>
      <w:r>
        <w:rPr>
          <w:rFonts w:hint="eastAsia" w:eastAsia="楷体_GB2312"/>
          <w:bCs/>
          <w:kern w:val="0"/>
          <w:sz w:val="32"/>
          <w:szCs w:val="32"/>
        </w:rPr>
        <w:t>（五）评价指标体系及评价标准</w:t>
      </w:r>
      <w:bookmarkEnd w:id="257"/>
      <w:bookmarkEnd w:id="258"/>
      <w:bookmarkEnd w:id="259"/>
      <w:bookmarkEnd w:id="260"/>
    </w:p>
    <w:p>
      <w:pPr>
        <w:pStyle w:val="26"/>
        <w:spacing w:line="540" w:lineRule="exact"/>
        <w:ind w:firstLine="640"/>
        <w:rPr>
          <w:rFonts w:ascii="仿宋_GB2312" w:hAnsi="Calibri"/>
          <w:kern w:val="0"/>
          <w:sz w:val="32"/>
          <w:szCs w:val="32"/>
        </w:rPr>
      </w:pPr>
      <w:r>
        <w:rPr>
          <w:rFonts w:hint="eastAsia" w:ascii="仿宋_GB2312" w:hAnsi="Calibri"/>
          <w:kern w:val="0"/>
          <w:sz w:val="32"/>
          <w:szCs w:val="32"/>
        </w:rPr>
        <w:t>青岛市即墨区潮海街道办事处辛戈庄村部分污水沟清理、盖板隐蔽化处理工程项目绩效评价指标体系从项目决策、项目过程、项目产出和项目效益四个方面综合设置。具体指标体系如下：</w:t>
      </w:r>
    </w:p>
    <w:p>
      <w:pPr>
        <w:pStyle w:val="26"/>
        <w:spacing w:line="540" w:lineRule="exact"/>
        <w:ind w:firstLine="640"/>
        <w:rPr>
          <w:rFonts w:ascii="仿宋_GB2312" w:hAnsi="Calibri"/>
          <w:kern w:val="0"/>
          <w:sz w:val="28"/>
          <w:szCs w:val="28"/>
        </w:rPr>
      </w:pPr>
      <w:r>
        <w:rPr>
          <w:rFonts w:hint="eastAsia" w:ascii="仿宋_GB2312" w:hAnsi="Calibri"/>
          <w:kern w:val="0"/>
          <w:sz w:val="32"/>
          <w:szCs w:val="32"/>
        </w:rPr>
        <w:t>评价标准：根据青岛市即墨区财政局《关于印发青岛市即墨区预算绩效管理办法的通知》（即财绩效〔2020〕260号）文件的规定：绩效评价结果采取评分和评级相结合的方式，评价结果分为优、良、中、差，总分设置为100分，评分在90分（含）-100分为优；80分（含）-90分为良；70分（含）-80分为中，70分以下为差。</w:t>
      </w:r>
    </w:p>
    <w:p>
      <w:pPr>
        <w:pStyle w:val="26"/>
        <w:spacing w:line="540" w:lineRule="exact"/>
        <w:ind w:firstLine="560"/>
        <w:jc w:val="center"/>
        <w:rPr>
          <w:rFonts w:ascii="仿宋_GB2312" w:hAnsi="Calibri"/>
          <w:kern w:val="0"/>
          <w:sz w:val="28"/>
          <w:szCs w:val="28"/>
        </w:rPr>
        <w:sectPr>
          <w:footerReference r:id="rId8" w:type="default"/>
          <w:pgSz w:w="11906" w:h="16838"/>
          <w:pgMar w:top="1928" w:right="1531" w:bottom="1701" w:left="1531" w:header="737" w:footer="851" w:gutter="0"/>
          <w:pgNumType w:fmt="numberInDash" w:start="1"/>
          <w:cols w:space="720" w:num="1"/>
          <w:docGrid w:type="lines" w:linePitch="408" w:charSpace="0"/>
        </w:sectPr>
      </w:pPr>
    </w:p>
    <w:p>
      <w:pPr>
        <w:pStyle w:val="26"/>
        <w:spacing w:line="560" w:lineRule="exact"/>
        <w:ind w:firstLine="560"/>
        <w:jc w:val="center"/>
        <w:rPr>
          <w:rFonts w:ascii="仿宋_GB2312" w:hAnsi="Calibri"/>
          <w:kern w:val="0"/>
          <w:sz w:val="28"/>
          <w:szCs w:val="28"/>
        </w:rPr>
      </w:pPr>
      <w:r>
        <w:rPr>
          <w:rFonts w:hint="eastAsia" w:ascii="仿宋_GB2312" w:hAnsi="Calibri"/>
          <w:kern w:val="0"/>
          <w:sz w:val="28"/>
          <w:szCs w:val="28"/>
        </w:rPr>
        <w:t>辛戈庄村部分污水沟清理、盖板隐蔽化处理工程项目</w:t>
      </w:r>
      <w:r>
        <w:rPr>
          <w:rFonts w:ascii="仿宋_GB2312" w:hAnsi="Calibri"/>
          <w:kern w:val="0"/>
          <w:sz w:val="28"/>
          <w:szCs w:val="28"/>
        </w:rPr>
        <w:t>绩效评价指标体系</w:t>
      </w:r>
    </w:p>
    <w:p>
      <w:pPr>
        <w:pStyle w:val="26"/>
        <w:spacing w:line="560" w:lineRule="exact"/>
        <w:ind w:firstLine="560"/>
        <w:jc w:val="center"/>
        <w:rPr>
          <w:rFonts w:ascii="仿宋_GB2312" w:hAnsi="Calibri"/>
          <w:kern w:val="0"/>
          <w:sz w:val="28"/>
          <w:szCs w:val="28"/>
        </w:rPr>
      </w:pPr>
    </w:p>
    <w:tbl>
      <w:tblPr>
        <w:tblW w:w="134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3"/>
        <w:gridCol w:w="1112"/>
        <w:gridCol w:w="1289"/>
        <w:gridCol w:w="870"/>
        <w:gridCol w:w="537"/>
        <w:gridCol w:w="3029"/>
        <w:gridCol w:w="803"/>
        <w:gridCol w:w="4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58" w:hRule="atLeast"/>
          <w:tblHeader/>
        </w:trPr>
        <w:tc>
          <w:tcPr>
            <w:tcW w:w="11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cs="仿宋_GB2312"/>
                <w:b/>
                <w:bCs/>
                <w:color w:val="000000"/>
                <w:sz w:val="21"/>
                <w:szCs w:val="21"/>
              </w:rPr>
            </w:pPr>
            <w:r>
              <w:rPr>
                <w:rFonts w:hint="eastAsia" w:ascii="仿宋_GB2312" w:hAnsi="宋体" w:cs="仿宋_GB2312"/>
                <w:b/>
                <w:bCs/>
                <w:color w:val="000000"/>
                <w:kern w:val="0"/>
                <w:sz w:val="21"/>
                <w:szCs w:val="21"/>
                <w:lang/>
              </w:rPr>
              <w:t>一级</w:t>
            </w:r>
            <w:r>
              <w:rPr>
                <w:rFonts w:hint="eastAsia" w:ascii="仿宋_GB2312" w:hAnsi="宋体" w:cs="仿宋_GB2312"/>
                <w:b/>
                <w:bCs/>
                <w:color w:val="000000"/>
                <w:kern w:val="0"/>
                <w:sz w:val="21"/>
                <w:szCs w:val="21"/>
                <w:lang/>
              </w:rPr>
              <w:br/>
            </w:r>
            <w:r>
              <w:rPr>
                <w:rFonts w:hint="eastAsia" w:ascii="仿宋_GB2312" w:hAnsi="宋体" w:cs="仿宋_GB2312"/>
                <w:b/>
                <w:bCs/>
                <w:color w:val="000000"/>
                <w:kern w:val="0"/>
                <w:sz w:val="21"/>
                <w:szCs w:val="21"/>
                <w:lang/>
              </w:rPr>
              <w:t>指标</w:t>
            </w:r>
          </w:p>
        </w:tc>
        <w:tc>
          <w:tcPr>
            <w:tcW w:w="11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二级指标</w:t>
            </w:r>
          </w:p>
        </w:tc>
        <w:tc>
          <w:tcPr>
            <w:tcW w:w="12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三级指标</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四级指标</w:t>
            </w:r>
          </w:p>
        </w:tc>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权重</w:t>
            </w:r>
          </w:p>
        </w:tc>
        <w:tc>
          <w:tcPr>
            <w:tcW w:w="30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指标解释</w:t>
            </w:r>
          </w:p>
        </w:tc>
        <w:tc>
          <w:tcPr>
            <w:tcW w:w="8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标杆值</w:t>
            </w:r>
          </w:p>
        </w:tc>
        <w:tc>
          <w:tcPr>
            <w:tcW w:w="4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58" w:hRule="atLeast"/>
        </w:trPr>
        <w:tc>
          <w:tcPr>
            <w:tcW w:w="114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决策</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（15分）</w:t>
            </w:r>
          </w:p>
        </w:tc>
        <w:tc>
          <w:tcPr>
            <w:tcW w:w="1112" w:type="dxa"/>
            <w:tcBorders>
              <w:top w:val="single" w:color="000000" w:sz="4" w:space="0"/>
              <w:left w:val="single" w:color="000000" w:sz="4" w:space="0"/>
              <w:bottom w:val="nil"/>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项目立项（4分）</w:t>
            </w:r>
          </w:p>
        </w:tc>
        <w:tc>
          <w:tcPr>
            <w:tcW w:w="12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立项依据</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充分性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4</w:t>
            </w:r>
          </w:p>
        </w:tc>
        <w:tc>
          <w:tcPr>
            <w:tcW w:w="302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项目立项是否符合法律法规、相关政策、发展规划以及</w:t>
            </w:r>
            <w:r>
              <w:rPr>
                <w:rFonts w:hint="eastAsia" w:ascii="仿宋_GB2312" w:hAnsi="宋体" w:cs="仿宋_GB2312"/>
                <w:color w:val="000000"/>
                <w:kern w:val="0"/>
                <w:sz w:val="21"/>
                <w:szCs w:val="21"/>
                <w:lang w:eastAsia="zh-CN"/>
              </w:rPr>
              <w:t>单位</w:t>
            </w:r>
            <w:r>
              <w:rPr>
                <w:rFonts w:hint="eastAsia" w:ascii="仿宋_GB2312" w:hAnsi="宋体" w:cs="仿宋_GB2312"/>
                <w:color w:val="000000"/>
                <w:kern w:val="0"/>
                <w:sz w:val="21"/>
                <w:szCs w:val="21"/>
                <w:lang/>
              </w:rPr>
              <w:t>职责，用以反映和考核项目立项依据情况。</w:t>
            </w:r>
          </w:p>
        </w:tc>
        <w:tc>
          <w:tcPr>
            <w:tcW w:w="8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充分</w:t>
            </w:r>
          </w:p>
        </w:tc>
        <w:tc>
          <w:tcPr>
            <w:tcW w:w="4634"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①项目是否符合国家法律法规和相关政策（2分）；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②项目是否有充分的实施依据或事前已经过必要的集体决策等（2分）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2项各占1/2权重分，每有一项不满足，则扣除相应权重分。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80" w:hRule="atLeast"/>
        </w:trPr>
        <w:tc>
          <w:tcPr>
            <w:tcW w:w="11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绩效目标（5分）</w:t>
            </w:r>
          </w:p>
        </w:tc>
        <w:tc>
          <w:tcPr>
            <w:tcW w:w="12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绩效目标</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合理性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3</w:t>
            </w:r>
          </w:p>
        </w:tc>
        <w:tc>
          <w:tcPr>
            <w:tcW w:w="302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项目所设定的绩效目标是否依据充分，是否符合客观实际，用以反映和考核项目绩效目标与项目实施的相符情况。</w:t>
            </w:r>
          </w:p>
        </w:tc>
        <w:tc>
          <w:tcPr>
            <w:tcW w:w="8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合理</w:t>
            </w:r>
          </w:p>
        </w:tc>
        <w:tc>
          <w:tcPr>
            <w:tcW w:w="4634"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①项目有绩效目标（1分）；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②项目绩效目标与实际工作内容具有相关性（0.5分）；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③项目预期产出效益和效果符合上级或本级实施方案要求（0.5分）；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④绩效目标与预算确定的项目投资额或资金量相匹配（1分）。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每有一项不满足，则扣除相应权重分。</w:t>
            </w:r>
          </w:p>
        </w:tc>
      </w:tr>
    </w:tbl>
    <w:p/>
    <w:tbl>
      <w:tblPr>
        <w:tblW w:w="134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37"/>
        <w:gridCol w:w="1111"/>
        <w:gridCol w:w="1286"/>
        <w:gridCol w:w="870"/>
        <w:gridCol w:w="16"/>
        <w:gridCol w:w="521"/>
        <w:gridCol w:w="16"/>
        <w:gridCol w:w="2802"/>
        <w:gridCol w:w="209"/>
        <w:gridCol w:w="537"/>
        <w:gridCol w:w="263"/>
        <w:gridCol w:w="46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80" w:hRule="atLeast"/>
        </w:trPr>
        <w:tc>
          <w:tcPr>
            <w:tcW w:w="1137"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决策</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（15分）</w:t>
            </w:r>
          </w:p>
        </w:tc>
        <w:tc>
          <w:tcPr>
            <w:tcW w:w="111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绩效目标（5分）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绩效指标</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明确性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2</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依据绩效目标设定的绩效指标是否清晰、细化、可衡量等，用以反映和考核项目绩效目标的明细化情况。</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明确</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①将项目绩效目标细化分解为具体的绩效指标，指标值清晰、可衡量（1分）；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②指标值与项目年度任务相对应（1分）。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2项各占1/2权重分，每有一项不满足，则扣除相应权重分。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资金投入（6分）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预算编制</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科学性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3</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项目预算编制是否经过科学论证、有明确标准，资金额度与年度目标是否相适应，用以反映和考核项目预算编制的科学性、合理性情况。</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科学</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①编制预算且获得批复（1分）；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②预算编制经过科学论证（0.5分）；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③预算内容与项目内容匹配（0.5分）；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④预算额度测算依据充分，按照标准编制（1分）；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4项各占1/4权重分，每有一项不满足，则扣除相应权重分。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7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资金安排</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合理性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3</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考察项目资金安排是否有测算依据，预算安排内容与专项资金的设立目的及年度工作重点是否一致，用以反映和考核项目预算资金分配的科学性、合理性。</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合理</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①项目资金安排有测算依据得1/2权重分；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②预算安排与年度任务完成情况相匹配得1/2权重分；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00" w:hRule="atLeast"/>
        </w:trPr>
        <w:tc>
          <w:tcPr>
            <w:tcW w:w="11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过程</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（20分）</w:t>
            </w:r>
          </w:p>
        </w:tc>
        <w:tc>
          <w:tcPr>
            <w:tcW w:w="111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资金管理（14分）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预算执行率</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项目预算资金是否按照计划执行，用以反映或考核项目预算执行情况。预算执行率=（实际支出金额/预算安排金额）×100%。</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≥95%</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预算执行率达95%以上，则得满分，否则按完成比例得分。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6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资金使用</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合规性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6</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项目专项资金使用是否符合相关的财务管理制度规定，用以反映和考核项目资金的规范运行情况。</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合规</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①符合《青岛市财政局、青岛市农村综合改革领导小组办公室关于修订&lt;青岛市村级公益事业建设财政奖补项目和资金管理办法&gt;的通知》（青财规[2018]4号）的规定；（1分）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②资金的拨付申请有完整的审批程序和手续；（2分）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③符合项目预算批复或合同规定的用途；（1分）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④不存在截留、挤占、挪用、虚列支出等情况。（2分）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4项全部符合视为使用合规，得满分；存在①或③或④不满足时属于严重违规事项，本项指标不得分；在①③④同时符合，②不符合时，本项指标扣2分；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0" w:hRule="atLeast"/>
        </w:trPr>
        <w:tc>
          <w:tcPr>
            <w:tcW w:w="1137"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过程</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（20分）</w:t>
            </w:r>
          </w:p>
        </w:tc>
        <w:tc>
          <w:tcPr>
            <w:tcW w:w="111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组织实施</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（6分）</w:t>
            </w:r>
            <w:r>
              <w:rPr>
                <w:rStyle w:val="36"/>
                <w:sz w:val="21"/>
                <w:szCs w:val="21"/>
                <w:lang/>
              </w:rPr>
              <w:t xml:space="preserve"> </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制度健全性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2</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项目实施单位的管理制度是否健全，是否已制定或具有相应的业务管理制度，制度是否合法、合规、完整。用以反映和考核业务管理制度对项目顺利实施的保障情况。</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健全</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①项目开展是否具有明确、完整的实施方案或管理制度；（1分）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②管理制度是否合法合规，能够为项目的顺利实施提供保障；（1分）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6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执行</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有效性</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4</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项目实施是否符合相关管理规定，用以反映和考核相关管理制度的有效执行情况。</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有效</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①项目实施过程遵守相关法律法规和相关管理规定（2）；</w:t>
            </w:r>
          </w:p>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②项目竣工验收完整，相关材料归档齐全（2分）；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 xml:space="preserve">                                                                 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70" w:hRule="atLeast"/>
        </w:trPr>
        <w:tc>
          <w:tcPr>
            <w:tcW w:w="11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(32分)</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产出数量（8分）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实际完成率</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项目实施的实际产出数与计划产出数的比率，用以反映和考核项目产出数量目标的实现程度。实际完成率=（实际产出数/计划产出数）×100%。</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实际产出数：本年度内符合项目要求的实际产出的产品或提供的服务数量。</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计划产出数：项目绩效目标确定的在本年度内计划产出的产品或提供的服务数量。</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100%</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kern w:val="0"/>
                <w:sz w:val="21"/>
                <w:szCs w:val="21"/>
                <w:highlight w:val="yellow"/>
                <w:lang/>
              </w:rPr>
            </w:pPr>
            <w:r>
              <w:rPr>
                <w:rFonts w:hint="eastAsia" w:ascii="仿宋_GB2312" w:hAnsi="宋体" w:cs="仿宋_GB2312"/>
                <w:color w:val="000000"/>
                <w:kern w:val="0"/>
                <w:sz w:val="21"/>
                <w:szCs w:val="21"/>
                <w:lang/>
              </w:rPr>
              <w:t>村内排水沟3700米盖板</w:t>
            </w:r>
          </w:p>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实际完成率达100%，则得满分；低于100%，按完成比例得分。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产出质量（8分）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质量达标率</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验收合格率</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项目完成后验收情况是否满足验收标准要求，用以反映和考核项目验收阶段的合规性、标准性。</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100%</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排水沟盖板质量达标100%</w:t>
            </w:r>
          </w:p>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验收合格率达100%，则得满分，低于100%，按完成比例得分。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产出时效</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（8分）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完成及时率</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完成期限</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3027"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各项目是否均按照计划、文件批复等相关规定及时完成，用以反映和考核项目产出时效目标的实现程度。项目完成及时率=及时完成的产出数/实际产出数*100%</w:t>
            </w:r>
          </w:p>
        </w:tc>
        <w:tc>
          <w:tcPr>
            <w:tcW w:w="8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100%</w:t>
            </w:r>
          </w:p>
        </w:tc>
        <w:tc>
          <w:tcPr>
            <w:tcW w:w="464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2022年11月10日完成所有工程</w:t>
            </w:r>
          </w:p>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完成及时率达100%，则得满分，每低于1%，扣除5%权重分，扣完为止。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(32分)</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产出成本</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（8分）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成本节约率</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成本节约率=[（计划成本-实际成本）/计划成本]×100%。</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实际成本：项目实施单位如期、保质、保量完成既定工作目标实际所耗费的支出。</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计划成本：项目实施单位为完成工作目标计划安排的支出，一般以项目预算为参考。</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≥0%</w:t>
            </w: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①工程实际成本在申报的预算范围内</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②工程实际支出符合项目结算金额</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成本节约率≥0%，则得满分，每低于1%，扣除5%权重分，扣完为止。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10" w:hRule="atLeast"/>
        </w:trPr>
        <w:tc>
          <w:tcPr>
            <w:tcW w:w="11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效益</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（33分）</w:t>
            </w:r>
          </w:p>
        </w:tc>
        <w:tc>
          <w:tcPr>
            <w:tcW w:w="111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项目效益（20分）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经济效益</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4</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项目实施对辛戈庄经济合作社经济所带来的直接或间接影响情况</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有直接或间接影响</w:t>
            </w: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项目实施是否有助于完善基础设施，对带动镇村的开发建设和经济发展具有积极影响</w:t>
            </w:r>
          </w:p>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影响较大，得4分；影响一般，得2分；没有影响，得0分；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0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社会效益</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项目实施对社会发展所带来的直接或间接影响情况</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pStyle w:val="3"/>
              <w:jc w:val="center"/>
            </w:pPr>
            <w:r>
              <w:rPr>
                <w:rFonts w:hint="eastAsia" w:ascii="仿宋_GB2312" w:hAnsi="宋体" w:cs="仿宋_GB2312"/>
                <w:color w:val="000000"/>
                <w:kern w:val="0"/>
                <w:sz w:val="21"/>
                <w:szCs w:val="21"/>
                <w:lang/>
              </w:rPr>
              <w:t>有直接或间接影响</w:t>
            </w:r>
          </w:p>
          <w:p>
            <w:pPr>
              <w:widowControl/>
              <w:jc w:val="center"/>
              <w:textAlignment w:val="center"/>
              <w:rPr>
                <w:rFonts w:hint="eastAsia" w:ascii="仿宋_GB2312" w:hAnsi="宋体" w:cs="仿宋_GB2312"/>
                <w:color w:val="000000"/>
                <w:sz w:val="21"/>
                <w:szCs w:val="21"/>
              </w:rPr>
            </w:pP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①项目实施是否改善村庄排水不畅问题；（4分）</w:t>
            </w:r>
          </w:p>
          <w:p>
            <w:pPr>
              <w:widowControl/>
              <w:jc w:val="left"/>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②项目实施是否改善人居环境、提高村民生活质量；（4分）</w:t>
            </w:r>
          </w:p>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24"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生态效益</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项目实施对生态环境所带来的直接或间接影响情况</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pStyle w:val="3"/>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有直接或间接影响</w:t>
            </w: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①项目实施是否改善了村庄整体环境面貌；（4分）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②项目实施是否推进美丽乡村建设；（4分）</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40" w:hRule="atLeast"/>
        </w:trPr>
        <w:tc>
          <w:tcPr>
            <w:tcW w:w="1137"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效益</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（33分）</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可持续</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影响</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（8分）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可持续影响</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8</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通过项目的实施和后续运行成效发挥，对存在发展的可持续影响情况。</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可持续</w:t>
            </w: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①已修建的排水沟是否得到良好的养护，未出现淤积、开裂、塌陷等现象；（3分）</w:t>
            </w:r>
          </w:p>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②已修建的排水沟是否发挥预期作用，未出现排水不畅等不良情况；（2分）</w:t>
            </w:r>
          </w:p>
          <w:p>
            <w:pPr>
              <w:widowControl/>
              <w:textAlignment w:val="center"/>
              <w:rPr>
                <w:rFonts w:hint="eastAsia" w:ascii="仿宋_GB2312" w:hAnsi="宋体" w:cs="仿宋_GB2312"/>
                <w:color w:val="000000"/>
                <w:kern w:val="0"/>
                <w:sz w:val="21"/>
                <w:szCs w:val="21"/>
                <w:lang/>
              </w:rPr>
            </w:pPr>
            <w:r>
              <w:rPr>
                <w:rFonts w:hint="eastAsia" w:ascii="仿宋_GB2312" w:hAnsi="宋体" w:cs="仿宋_GB2312"/>
                <w:color w:val="000000"/>
                <w:kern w:val="0"/>
                <w:sz w:val="21"/>
                <w:szCs w:val="21"/>
                <w:lang/>
              </w:rPr>
              <w:t>③是否设立相关管护措施或资金保障，项目保修责任是否约定明确；（3分）</w:t>
            </w:r>
          </w:p>
          <w:p>
            <w:pPr>
              <w:widowControl/>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每有一项不满足，则扣除相应权重分。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90" w:hRule="atLeast"/>
        </w:trPr>
        <w:tc>
          <w:tcPr>
            <w:tcW w:w="11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color w:val="000000"/>
                <w:sz w:val="21"/>
                <w:szCs w:val="21"/>
              </w:rPr>
            </w:pP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满意度</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（5分）</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服务对象</w:t>
            </w:r>
            <w:r>
              <w:rPr>
                <w:rFonts w:hint="eastAsia" w:ascii="仿宋_GB2312" w:hAnsi="宋体" w:cs="仿宋_GB2312"/>
                <w:color w:val="000000"/>
                <w:kern w:val="0"/>
                <w:sz w:val="21"/>
                <w:szCs w:val="21"/>
                <w:lang/>
              </w:rPr>
              <w:br/>
            </w:r>
            <w:r>
              <w:rPr>
                <w:rFonts w:hint="eastAsia" w:ascii="仿宋_GB2312" w:hAnsi="宋体" w:cs="仿宋_GB2312"/>
                <w:color w:val="000000"/>
                <w:kern w:val="0"/>
                <w:sz w:val="21"/>
                <w:szCs w:val="21"/>
                <w:lang/>
              </w:rPr>
              <w:t>满意度</w:t>
            </w: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5</w:t>
            </w:r>
          </w:p>
        </w:tc>
        <w:tc>
          <w:tcPr>
            <w:tcW w:w="28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考察社会公众或服务对象对项目实施效果的满意程度。社会公众或服务对象是指因该项目实施而受到影响的</w:t>
            </w:r>
            <w:r>
              <w:rPr>
                <w:rFonts w:hint="eastAsia" w:ascii="仿宋_GB2312" w:hAnsi="宋体" w:cs="仿宋_GB2312"/>
                <w:color w:val="000000"/>
                <w:kern w:val="0"/>
                <w:sz w:val="21"/>
                <w:szCs w:val="21"/>
                <w:lang w:eastAsia="zh-CN"/>
              </w:rPr>
              <w:t>单位</w:t>
            </w:r>
            <w:r>
              <w:rPr>
                <w:rFonts w:hint="eastAsia" w:ascii="仿宋_GB2312" w:hAnsi="宋体" w:cs="仿宋_GB2312"/>
                <w:color w:val="000000"/>
                <w:kern w:val="0"/>
                <w:sz w:val="21"/>
                <w:szCs w:val="21"/>
                <w:lang/>
              </w:rPr>
              <w:t>（单位）、群体或个人。一般采取社会调查的方式</w:t>
            </w: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color w:val="000000"/>
                <w:sz w:val="21"/>
                <w:szCs w:val="21"/>
              </w:rPr>
            </w:pPr>
            <w:r>
              <w:rPr>
                <w:rFonts w:hint="eastAsia" w:ascii="仿宋_GB2312" w:hAnsi="宋体" w:cs="仿宋_GB2312"/>
                <w:color w:val="000000"/>
                <w:kern w:val="0"/>
                <w:sz w:val="21"/>
                <w:szCs w:val="21"/>
                <w:lang/>
              </w:rPr>
              <w:t>≥95%</w:t>
            </w: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rPr>
              <w:t>项目实施涉及的村民满意度≥95%，则得满分；低于95%，按问卷调查的实际满意比例*权重得分。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4420"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合计</w:t>
            </w:r>
          </w:p>
        </w:tc>
        <w:tc>
          <w:tcPr>
            <w:tcW w:w="5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cs="仿宋_GB2312"/>
                <w:b/>
                <w:bCs/>
                <w:color w:val="000000"/>
                <w:sz w:val="21"/>
                <w:szCs w:val="21"/>
              </w:rPr>
            </w:pPr>
            <w:r>
              <w:rPr>
                <w:rFonts w:hint="eastAsia" w:ascii="仿宋_GB2312" w:hAnsi="宋体" w:cs="仿宋_GB2312"/>
                <w:b/>
                <w:bCs/>
                <w:color w:val="000000"/>
                <w:kern w:val="0"/>
                <w:sz w:val="21"/>
                <w:szCs w:val="21"/>
                <w:lang/>
              </w:rPr>
              <w:t>100</w:t>
            </w:r>
          </w:p>
        </w:tc>
        <w:tc>
          <w:tcPr>
            <w:tcW w:w="280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宋体" w:cs="仿宋_GB2312"/>
                <w:b/>
                <w:bCs/>
                <w:color w:val="000000"/>
                <w:sz w:val="21"/>
                <w:szCs w:val="21"/>
              </w:rPr>
            </w:pPr>
          </w:p>
        </w:tc>
        <w:tc>
          <w:tcPr>
            <w:tcW w:w="74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b/>
                <w:bCs/>
                <w:color w:val="000000"/>
                <w:sz w:val="21"/>
                <w:szCs w:val="21"/>
              </w:rPr>
            </w:pPr>
          </w:p>
        </w:tc>
        <w:tc>
          <w:tcPr>
            <w:tcW w:w="491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cs="仿宋_GB2312"/>
                <w:b/>
                <w:bCs/>
                <w:color w:val="000000"/>
                <w:sz w:val="21"/>
                <w:szCs w:val="21"/>
              </w:rPr>
            </w:pPr>
          </w:p>
        </w:tc>
      </w:tr>
    </w:tbl>
    <w:p>
      <w:pPr>
        <w:pStyle w:val="26"/>
        <w:spacing w:line="560" w:lineRule="exact"/>
        <w:ind w:firstLine="560"/>
        <w:jc w:val="center"/>
        <w:rPr>
          <w:rFonts w:ascii="仿宋_GB2312" w:hAnsi="Calibri"/>
          <w:kern w:val="0"/>
          <w:sz w:val="28"/>
          <w:szCs w:val="28"/>
        </w:rPr>
        <w:sectPr>
          <w:pgSz w:w="16838" w:h="11906" w:orient="landscape"/>
          <w:pgMar w:top="1531" w:right="1928" w:bottom="1531" w:left="1701" w:header="737" w:footer="851" w:gutter="0"/>
          <w:pgNumType w:fmt="numberInDash"/>
          <w:cols w:space="720" w:num="1"/>
          <w:docGrid w:type="lines" w:linePitch="408" w:charSpace="0"/>
        </w:sectPr>
      </w:pPr>
    </w:p>
    <w:p>
      <w:pPr>
        <w:pStyle w:val="26"/>
        <w:spacing w:line="560" w:lineRule="exact"/>
        <w:ind w:firstLine="640"/>
        <w:outlineLvl w:val="1"/>
        <w:rPr>
          <w:rFonts w:hint="eastAsia" w:eastAsia="楷体_GB2312"/>
          <w:bCs/>
          <w:kern w:val="0"/>
          <w:sz w:val="32"/>
          <w:szCs w:val="32"/>
        </w:rPr>
      </w:pPr>
      <w:bookmarkStart w:id="261" w:name="_Toc23495"/>
      <w:bookmarkStart w:id="262" w:name="_Toc26005"/>
      <w:bookmarkStart w:id="263" w:name="_Toc26562"/>
      <w:bookmarkStart w:id="264" w:name="_Toc20948"/>
      <w:r>
        <w:rPr>
          <w:rFonts w:hint="eastAsia" w:eastAsia="楷体_GB2312"/>
          <w:bCs/>
          <w:kern w:val="0"/>
          <w:sz w:val="32"/>
          <w:szCs w:val="32"/>
        </w:rPr>
        <w:t>（六）绩效评价工作过程</w:t>
      </w:r>
      <w:bookmarkEnd w:id="261"/>
      <w:bookmarkEnd w:id="262"/>
      <w:bookmarkEnd w:id="263"/>
      <w:bookmarkEnd w:id="264"/>
    </w:p>
    <w:p>
      <w:pPr>
        <w:pStyle w:val="26"/>
        <w:spacing w:line="560" w:lineRule="exact"/>
        <w:ind w:firstLine="640"/>
        <w:rPr>
          <w:rFonts w:hint="eastAsia" w:ascii="仿宋_GB2312" w:hAnsi="Calibri"/>
          <w:kern w:val="0"/>
          <w:sz w:val="32"/>
          <w:szCs w:val="32"/>
        </w:rPr>
      </w:pPr>
      <w:bookmarkStart w:id="265" w:name="_Toc4213"/>
      <w:r>
        <w:rPr>
          <w:rFonts w:hint="eastAsia" w:ascii="仿宋_GB2312" w:hAnsi="Calibri"/>
          <w:kern w:val="0"/>
          <w:sz w:val="32"/>
          <w:szCs w:val="32"/>
        </w:rPr>
        <w:t>1．前期准备阶段（</w:t>
      </w:r>
      <w:r>
        <w:rPr>
          <w:rFonts w:hint="eastAsia" w:ascii="仿宋_GB2312" w:hAnsi="Calibri"/>
          <w:kern w:val="0"/>
          <w:sz w:val="32"/>
          <w:szCs w:val="32"/>
          <w:lang w:val="en-US" w:eastAsia="zh-CN"/>
        </w:rPr>
        <w:t>9</w:t>
      </w:r>
      <w:r>
        <w:rPr>
          <w:rFonts w:hint="eastAsia" w:ascii="仿宋_GB2312" w:hAnsi="Calibri"/>
          <w:kern w:val="0"/>
          <w:sz w:val="32"/>
          <w:szCs w:val="32"/>
        </w:rPr>
        <w:t>月4日-</w:t>
      </w:r>
      <w:r>
        <w:rPr>
          <w:rFonts w:hint="eastAsia" w:ascii="仿宋_GB2312" w:hAnsi="Calibri"/>
          <w:kern w:val="0"/>
          <w:sz w:val="32"/>
          <w:szCs w:val="32"/>
          <w:lang w:val="en-US" w:eastAsia="zh-CN"/>
        </w:rPr>
        <w:t>9</w:t>
      </w:r>
      <w:r>
        <w:rPr>
          <w:rFonts w:hint="eastAsia" w:ascii="仿宋_GB2312" w:hAnsi="Calibri"/>
          <w:kern w:val="0"/>
          <w:sz w:val="32"/>
          <w:szCs w:val="32"/>
        </w:rPr>
        <w:t>月6日）</w:t>
      </w:r>
      <w:bookmarkEnd w:id="265"/>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（1）组成评价小组</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根据本次绩效评价涉及的内容、评价范围等确定组成由周丕全任组长的4人绩效评价小组，全程做好绩效评价工作。</w:t>
      </w:r>
    </w:p>
    <w:p>
      <w:pPr>
        <w:pStyle w:val="26"/>
        <w:spacing w:line="540" w:lineRule="exact"/>
        <w:ind w:firstLine="600"/>
        <w:jc w:val="center"/>
        <w:rPr>
          <w:rFonts w:hint="eastAsia" w:ascii="仿宋_GB2312" w:hAnsi="Calibri"/>
          <w:kern w:val="0"/>
          <w:szCs w:val="30"/>
        </w:rPr>
      </w:pPr>
      <w:bookmarkStart w:id="266" w:name="_Toc21595"/>
      <w:bookmarkStart w:id="267" w:name="_Toc11529"/>
      <w:bookmarkStart w:id="268" w:name="_Toc2675"/>
      <w:bookmarkStart w:id="269" w:name="_Toc25788"/>
      <w:bookmarkStart w:id="270" w:name="_Toc16114"/>
      <w:bookmarkStart w:id="271" w:name="_Toc25887"/>
      <w:bookmarkStart w:id="272" w:name="_Toc32292"/>
      <w:bookmarkStart w:id="273" w:name="_Toc9072"/>
      <w:bookmarkStart w:id="274" w:name="_Toc13813"/>
      <w:bookmarkStart w:id="275" w:name="_Toc31131"/>
      <w:bookmarkStart w:id="276" w:name="_Toc30400"/>
      <w:bookmarkStart w:id="277" w:name="_Toc11386"/>
      <w:bookmarkStart w:id="278" w:name="_Toc584"/>
      <w:bookmarkStart w:id="279" w:name="_Toc13211"/>
      <w:bookmarkStart w:id="280" w:name="_Toc2729"/>
      <w:bookmarkStart w:id="281" w:name="_Toc17436"/>
      <w:bookmarkStart w:id="282" w:name="_Toc27424"/>
      <w:bookmarkStart w:id="283" w:name="_Toc12423"/>
      <w:bookmarkStart w:id="284" w:name="_Toc24466"/>
      <w:bookmarkStart w:id="285" w:name="_Toc27064"/>
      <w:bookmarkStart w:id="286" w:name="_Toc14409"/>
      <w:bookmarkStart w:id="287" w:name="_Toc2975"/>
      <w:r>
        <w:rPr>
          <w:rFonts w:hint="eastAsia" w:ascii="仿宋_GB2312" w:hAnsi="Calibri"/>
          <w:kern w:val="0"/>
          <w:szCs w:val="30"/>
        </w:rPr>
        <w:t>表-2 评价小组人员安排</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tbl>
      <w:tblPr>
        <w:tblW w:w="8839"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991"/>
        <w:gridCol w:w="5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350" w:type="dxa"/>
            <w:vAlign w:val="center"/>
          </w:tcPr>
          <w:p>
            <w:pPr>
              <w:pStyle w:val="26"/>
              <w:spacing w:line="540" w:lineRule="exact"/>
              <w:ind w:firstLine="0" w:firstLineChars="0"/>
              <w:jc w:val="center"/>
              <w:rPr>
                <w:rFonts w:ascii="仿宋_GB2312" w:hAnsi="Calibri"/>
                <w:b/>
                <w:kern w:val="0"/>
                <w:sz w:val="28"/>
                <w:szCs w:val="28"/>
              </w:rPr>
            </w:pPr>
            <w:r>
              <w:rPr>
                <w:rFonts w:hint="eastAsia" w:ascii="仿宋_GB2312" w:hAnsi="Calibri"/>
                <w:b/>
                <w:kern w:val="0"/>
                <w:sz w:val="28"/>
                <w:szCs w:val="28"/>
              </w:rPr>
              <w:t>姓名</w:t>
            </w:r>
          </w:p>
        </w:tc>
        <w:tc>
          <w:tcPr>
            <w:tcW w:w="1991" w:type="dxa"/>
            <w:vAlign w:val="top"/>
          </w:tcPr>
          <w:p>
            <w:pPr>
              <w:pStyle w:val="26"/>
              <w:spacing w:line="540" w:lineRule="exact"/>
              <w:ind w:firstLine="0" w:firstLineChars="0"/>
              <w:jc w:val="center"/>
              <w:rPr>
                <w:rFonts w:ascii="仿宋_GB2312" w:hAnsi="Calibri"/>
                <w:b/>
                <w:kern w:val="0"/>
                <w:sz w:val="28"/>
                <w:szCs w:val="28"/>
              </w:rPr>
            </w:pPr>
            <w:r>
              <w:rPr>
                <w:rFonts w:hint="eastAsia" w:ascii="仿宋_GB2312" w:hAnsi="Calibri"/>
                <w:b/>
                <w:kern w:val="0"/>
                <w:sz w:val="28"/>
                <w:szCs w:val="28"/>
              </w:rPr>
              <w:t>本项目中角色</w:t>
            </w:r>
          </w:p>
        </w:tc>
        <w:tc>
          <w:tcPr>
            <w:tcW w:w="5498" w:type="dxa"/>
            <w:vAlign w:val="top"/>
          </w:tcPr>
          <w:p>
            <w:pPr>
              <w:pStyle w:val="26"/>
              <w:spacing w:line="540" w:lineRule="exact"/>
              <w:ind w:firstLine="562"/>
              <w:jc w:val="center"/>
              <w:rPr>
                <w:rFonts w:ascii="仿宋_GB2312" w:hAnsi="Calibri"/>
                <w:b/>
                <w:kern w:val="0"/>
                <w:sz w:val="28"/>
                <w:szCs w:val="28"/>
              </w:rPr>
            </w:pPr>
            <w:r>
              <w:rPr>
                <w:rFonts w:hint="eastAsia" w:ascii="仿宋_GB2312" w:hAnsi="Calibri"/>
                <w:b/>
                <w:kern w:val="0"/>
                <w:sz w:val="28"/>
                <w:szCs w:val="28"/>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0" w:type="dxa"/>
            <w:vAlign w:val="center"/>
          </w:tcPr>
          <w:p>
            <w:pPr>
              <w:pStyle w:val="26"/>
              <w:spacing w:line="540" w:lineRule="exact"/>
              <w:ind w:firstLine="0" w:firstLineChars="0"/>
              <w:jc w:val="center"/>
              <w:rPr>
                <w:rFonts w:ascii="仿宋_GB2312" w:hAnsi="Calibri"/>
                <w:kern w:val="0"/>
                <w:sz w:val="28"/>
                <w:szCs w:val="28"/>
              </w:rPr>
            </w:pPr>
            <w:r>
              <w:rPr>
                <w:rFonts w:hint="eastAsia" w:ascii="仿宋_GB2312" w:hAnsi="Calibri"/>
                <w:kern w:val="0"/>
                <w:sz w:val="28"/>
                <w:szCs w:val="28"/>
              </w:rPr>
              <w:t>周丕全</w:t>
            </w:r>
          </w:p>
        </w:tc>
        <w:tc>
          <w:tcPr>
            <w:tcW w:w="1991" w:type="dxa"/>
            <w:vAlign w:val="center"/>
          </w:tcPr>
          <w:p>
            <w:pPr>
              <w:pStyle w:val="26"/>
              <w:spacing w:line="540" w:lineRule="exact"/>
              <w:ind w:firstLine="0" w:firstLineChars="0"/>
              <w:jc w:val="center"/>
              <w:rPr>
                <w:rFonts w:ascii="仿宋_GB2312" w:hAnsi="Calibri"/>
                <w:kern w:val="0"/>
                <w:sz w:val="28"/>
                <w:szCs w:val="28"/>
              </w:rPr>
            </w:pPr>
            <w:r>
              <w:rPr>
                <w:rFonts w:hint="eastAsia" w:ascii="仿宋_GB2312" w:hAnsi="Calibri"/>
                <w:kern w:val="0"/>
                <w:sz w:val="28"/>
                <w:szCs w:val="28"/>
              </w:rPr>
              <w:t>评价小组组长</w:t>
            </w:r>
          </w:p>
        </w:tc>
        <w:tc>
          <w:tcPr>
            <w:tcW w:w="5498" w:type="dxa"/>
            <w:vAlign w:val="center"/>
          </w:tcPr>
          <w:p>
            <w:pPr>
              <w:pStyle w:val="26"/>
              <w:spacing w:line="540" w:lineRule="exact"/>
              <w:ind w:firstLine="0" w:firstLineChars="0"/>
              <w:rPr>
                <w:rFonts w:ascii="仿宋_GB2312" w:hAnsi="Calibri"/>
                <w:kern w:val="0"/>
                <w:sz w:val="28"/>
                <w:szCs w:val="28"/>
              </w:rPr>
            </w:pPr>
            <w:r>
              <w:rPr>
                <w:rFonts w:hint="eastAsia" w:ascii="仿宋_GB2312" w:hAnsi="Calibri"/>
                <w:kern w:val="0"/>
                <w:sz w:val="28"/>
                <w:szCs w:val="28"/>
              </w:rPr>
              <w:t>负责绩效评价规程，把控最终评价结果质量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0" w:type="dxa"/>
            <w:vAlign w:val="center"/>
          </w:tcPr>
          <w:p>
            <w:pPr>
              <w:pStyle w:val="26"/>
              <w:spacing w:line="54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孙秀真</w:t>
            </w:r>
          </w:p>
        </w:tc>
        <w:tc>
          <w:tcPr>
            <w:tcW w:w="1991" w:type="dxa"/>
            <w:vAlign w:val="center"/>
          </w:tcPr>
          <w:p>
            <w:pPr>
              <w:pStyle w:val="26"/>
              <w:spacing w:line="540" w:lineRule="exact"/>
              <w:ind w:firstLine="0" w:firstLineChars="0"/>
              <w:jc w:val="center"/>
              <w:rPr>
                <w:rFonts w:ascii="仿宋_GB2312" w:hAnsi="Calibri"/>
                <w:kern w:val="0"/>
                <w:sz w:val="28"/>
                <w:szCs w:val="28"/>
              </w:rPr>
            </w:pPr>
            <w:r>
              <w:rPr>
                <w:rFonts w:hint="eastAsia" w:ascii="仿宋_GB2312" w:hAnsi="Calibri"/>
                <w:kern w:val="0"/>
                <w:sz w:val="28"/>
                <w:szCs w:val="28"/>
              </w:rPr>
              <w:t>评价小组成员</w:t>
            </w:r>
          </w:p>
        </w:tc>
        <w:tc>
          <w:tcPr>
            <w:tcW w:w="5498" w:type="dxa"/>
            <w:vAlign w:val="center"/>
          </w:tcPr>
          <w:p>
            <w:pPr>
              <w:pStyle w:val="26"/>
              <w:spacing w:line="540" w:lineRule="exact"/>
              <w:ind w:firstLine="0" w:firstLineChars="0"/>
              <w:rPr>
                <w:rFonts w:hint="eastAsia" w:ascii="仿宋_GB2312" w:hAnsi="Calibri"/>
                <w:kern w:val="0"/>
                <w:sz w:val="28"/>
                <w:szCs w:val="28"/>
              </w:rPr>
            </w:pPr>
            <w:r>
              <w:rPr>
                <w:rFonts w:hint="eastAsia" w:ascii="仿宋_GB2312" w:hAnsi="Calibri"/>
                <w:kern w:val="0"/>
                <w:sz w:val="28"/>
                <w:szCs w:val="28"/>
              </w:rPr>
              <w:t>负责数据采集、数据复核、现场评价等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0" w:type="dxa"/>
            <w:vAlign w:val="center"/>
          </w:tcPr>
          <w:p>
            <w:pPr>
              <w:pStyle w:val="26"/>
              <w:spacing w:line="540" w:lineRule="exact"/>
              <w:ind w:firstLine="0" w:firstLineChars="0"/>
              <w:jc w:val="center"/>
              <w:rPr>
                <w:rFonts w:hint="eastAsia" w:ascii="仿宋_GB2312" w:hAnsi="Calibri"/>
                <w:kern w:val="0"/>
                <w:sz w:val="28"/>
                <w:szCs w:val="28"/>
              </w:rPr>
            </w:pPr>
            <w:bookmarkStart w:id="288" w:name="_Toc22468"/>
            <w:bookmarkStart w:id="289" w:name="_Toc21008"/>
            <w:bookmarkStart w:id="290" w:name="_Toc10158"/>
            <w:bookmarkStart w:id="291" w:name="_Toc2638"/>
            <w:bookmarkStart w:id="292" w:name="_Toc4663"/>
            <w:bookmarkStart w:id="293" w:name="_Toc4319"/>
            <w:bookmarkStart w:id="294" w:name="_Toc5849"/>
            <w:r>
              <w:rPr>
                <w:rFonts w:hint="eastAsia" w:ascii="仿宋_GB2312" w:hAnsi="Calibri"/>
                <w:kern w:val="0"/>
                <w:sz w:val="28"/>
                <w:szCs w:val="28"/>
              </w:rPr>
              <w:t>吕英哲</w:t>
            </w:r>
          </w:p>
        </w:tc>
        <w:tc>
          <w:tcPr>
            <w:tcW w:w="1991" w:type="dxa"/>
            <w:vAlign w:val="center"/>
          </w:tcPr>
          <w:p>
            <w:pPr>
              <w:pStyle w:val="26"/>
              <w:spacing w:line="54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评价小组成员</w:t>
            </w:r>
          </w:p>
        </w:tc>
        <w:tc>
          <w:tcPr>
            <w:tcW w:w="5498" w:type="dxa"/>
            <w:vAlign w:val="center"/>
          </w:tcPr>
          <w:p>
            <w:pPr>
              <w:pStyle w:val="26"/>
              <w:spacing w:line="540" w:lineRule="exact"/>
              <w:ind w:firstLine="0" w:firstLineChars="0"/>
              <w:rPr>
                <w:rFonts w:hint="eastAsia" w:ascii="仿宋_GB2312" w:hAnsi="Calibri"/>
                <w:kern w:val="0"/>
                <w:sz w:val="28"/>
                <w:szCs w:val="28"/>
              </w:rPr>
            </w:pPr>
            <w:r>
              <w:rPr>
                <w:rFonts w:hint="eastAsia" w:ascii="仿宋_GB2312" w:hAnsi="Calibri"/>
                <w:kern w:val="0"/>
                <w:sz w:val="28"/>
                <w:szCs w:val="28"/>
              </w:rPr>
              <w:t>负责数据采集、数据复核、现场评价等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0" w:type="dxa"/>
            <w:vAlign w:val="center"/>
          </w:tcPr>
          <w:p>
            <w:pPr>
              <w:pStyle w:val="26"/>
              <w:spacing w:line="54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吕锡龙</w:t>
            </w:r>
          </w:p>
        </w:tc>
        <w:tc>
          <w:tcPr>
            <w:tcW w:w="1991" w:type="dxa"/>
            <w:vAlign w:val="center"/>
          </w:tcPr>
          <w:p>
            <w:pPr>
              <w:pStyle w:val="26"/>
              <w:spacing w:line="540" w:lineRule="exact"/>
              <w:ind w:firstLine="0" w:firstLineChars="0"/>
              <w:jc w:val="center"/>
              <w:rPr>
                <w:rFonts w:hint="eastAsia" w:ascii="仿宋_GB2312" w:hAnsi="Calibri"/>
                <w:kern w:val="0"/>
                <w:sz w:val="28"/>
                <w:szCs w:val="28"/>
              </w:rPr>
            </w:pPr>
            <w:r>
              <w:rPr>
                <w:rFonts w:hint="eastAsia" w:ascii="仿宋_GB2312" w:hAnsi="Calibri"/>
                <w:kern w:val="0"/>
                <w:sz w:val="28"/>
                <w:szCs w:val="28"/>
              </w:rPr>
              <w:t>评价小组成员</w:t>
            </w:r>
          </w:p>
        </w:tc>
        <w:tc>
          <w:tcPr>
            <w:tcW w:w="5498" w:type="dxa"/>
            <w:vAlign w:val="center"/>
          </w:tcPr>
          <w:p>
            <w:pPr>
              <w:pStyle w:val="26"/>
              <w:spacing w:line="540" w:lineRule="exact"/>
              <w:ind w:firstLine="0" w:firstLineChars="0"/>
              <w:rPr>
                <w:rFonts w:hint="eastAsia" w:ascii="仿宋_GB2312" w:hAnsi="Calibri"/>
                <w:kern w:val="0"/>
                <w:sz w:val="28"/>
                <w:szCs w:val="28"/>
              </w:rPr>
            </w:pPr>
            <w:r>
              <w:rPr>
                <w:rFonts w:hint="eastAsia" w:ascii="仿宋_GB2312" w:hAnsi="Calibri"/>
                <w:kern w:val="0"/>
                <w:sz w:val="28"/>
                <w:szCs w:val="28"/>
              </w:rPr>
              <w:t>负责数据采集、数据复核、现场评价等</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（2）文件研读</w:t>
      </w:r>
      <w:bookmarkEnd w:id="288"/>
      <w:bookmarkEnd w:id="289"/>
      <w:bookmarkEnd w:id="290"/>
      <w:bookmarkEnd w:id="291"/>
      <w:bookmarkEnd w:id="292"/>
      <w:bookmarkEnd w:id="293"/>
      <w:bookmarkEnd w:id="294"/>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项目组于2023年</w:t>
      </w:r>
      <w:r>
        <w:rPr>
          <w:rFonts w:hint="eastAsia" w:ascii="仿宋_GB2312" w:hAnsi="Calibri"/>
          <w:kern w:val="0"/>
          <w:sz w:val="32"/>
          <w:szCs w:val="32"/>
          <w:lang w:val="en-US" w:eastAsia="zh-CN"/>
        </w:rPr>
        <w:t>9</w:t>
      </w:r>
      <w:r>
        <w:rPr>
          <w:rFonts w:hint="eastAsia" w:ascii="仿宋_GB2312" w:hAnsi="Calibri"/>
          <w:kern w:val="0"/>
          <w:sz w:val="32"/>
          <w:szCs w:val="32"/>
        </w:rPr>
        <w:t>月，在青岛市即墨区潮海街道办事处的协助下，收集项目相关背景、项目目标、预算等资料，并组织项目绩效评价小组对项目相关文件进行研读；对资金使用合规性进行考察，同时对未提供的资料文件进行查漏补缺。根据潮海街道办事处的要求，结合项目的特点，确定项目评价的总体方向，并形成了项目指标体系。</w:t>
      </w:r>
    </w:p>
    <w:p>
      <w:pPr>
        <w:pStyle w:val="26"/>
        <w:spacing w:line="560" w:lineRule="exact"/>
        <w:ind w:firstLine="640"/>
        <w:rPr>
          <w:rFonts w:hint="eastAsia" w:ascii="仿宋_GB2312" w:hAnsi="Calibri"/>
          <w:kern w:val="0"/>
          <w:sz w:val="32"/>
          <w:szCs w:val="32"/>
        </w:rPr>
      </w:pPr>
      <w:bookmarkStart w:id="295" w:name="_Toc19093"/>
      <w:bookmarkStart w:id="296" w:name="_Toc25920"/>
      <w:bookmarkStart w:id="297" w:name="_Toc1150"/>
      <w:bookmarkStart w:id="298" w:name="_Toc12856"/>
      <w:bookmarkStart w:id="299" w:name="_Toc13864"/>
      <w:bookmarkStart w:id="300" w:name="_Toc32084"/>
      <w:bookmarkStart w:id="301" w:name="_Toc23413"/>
      <w:r>
        <w:rPr>
          <w:rFonts w:hint="eastAsia" w:ascii="仿宋_GB2312" w:hAnsi="Calibri"/>
          <w:kern w:val="0"/>
          <w:sz w:val="32"/>
          <w:szCs w:val="32"/>
        </w:rPr>
        <w:t>（3）前期调研</w:t>
      </w:r>
      <w:bookmarkEnd w:id="295"/>
      <w:bookmarkEnd w:id="296"/>
      <w:bookmarkEnd w:id="297"/>
      <w:bookmarkEnd w:id="298"/>
      <w:bookmarkEnd w:id="299"/>
      <w:bookmarkEnd w:id="300"/>
      <w:bookmarkEnd w:id="301"/>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由项目负责人组织人力，对接潮海街道及辛戈庄村相关工作人员，进一步了解了项目的实施情况，资金的管理情况等，并且讨论了项目指标体系的可行性。</w:t>
      </w:r>
    </w:p>
    <w:p>
      <w:pPr>
        <w:pStyle w:val="26"/>
        <w:spacing w:line="560" w:lineRule="exact"/>
        <w:ind w:firstLine="640"/>
        <w:rPr>
          <w:rFonts w:hint="eastAsia" w:ascii="仿宋_GB2312" w:hAnsi="Calibri"/>
          <w:kern w:val="0"/>
          <w:sz w:val="32"/>
          <w:szCs w:val="32"/>
        </w:rPr>
      </w:pPr>
      <w:bookmarkStart w:id="302" w:name="_Toc29253"/>
      <w:bookmarkStart w:id="303" w:name="_Toc18680"/>
      <w:bookmarkStart w:id="304" w:name="_Toc10434"/>
      <w:bookmarkStart w:id="305" w:name="_Toc18916"/>
      <w:bookmarkStart w:id="306" w:name="_Toc11295"/>
      <w:bookmarkStart w:id="307" w:name="_Toc18581"/>
      <w:bookmarkStart w:id="308" w:name="_Toc20696"/>
      <w:r>
        <w:rPr>
          <w:rFonts w:hint="eastAsia" w:ascii="仿宋_GB2312" w:hAnsi="Calibri"/>
          <w:kern w:val="0"/>
          <w:sz w:val="32"/>
          <w:szCs w:val="32"/>
        </w:rPr>
        <w:t>（4）确定评价思路</w:t>
      </w:r>
      <w:bookmarkEnd w:id="302"/>
      <w:bookmarkEnd w:id="303"/>
      <w:bookmarkEnd w:id="304"/>
      <w:bookmarkEnd w:id="305"/>
      <w:bookmarkEnd w:id="306"/>
      <w:bookmarkEnd w:id="307"/>
      <w:bookmarkEnd w:id="308"/>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按照预算绩效管理的思路，根据绩效评价的基本原理、原则和项目特点，结合绩效目标，依据逻辑分析法独立编制科学的指标体系。本次项目绩效评价指标体系按照逻辑分析法设计，包括项目决策、项目过程、项目产出和项目效益四部分内容，主要围绕资金使用、预算编制等方面客观分析项目的产出和效果，体现从投入、过程到产出、效果和影响的绩效逻辑路径。内在逻辑的一致性也增强了评价的科学性、严谨性和可行性。</w:t>
      </w:r>
    </w:p>
    <w:p>
      <w:pPr>
        <w:pStyle w:val="26"/>
        <w:spacing w:line="560" w:lineRule="exact"/>
        <w:ind w:firstLine="640"/>
        <w:rPr>
          <w:rFonts w:hint="eastAsia" w:ascii="仿宋_GB2312" w:hAnsi="Calibri"/>
          <w:kern w:val="0"/>
          <w:sz w:val="32"/>
          <w:szCs w:val="32"/>
        </w:rPr>
      </w:pPr>
      <w:bookmarkStart w:id="309" w:name="_Toc31224"/>
      <w:bookmarkStart w:id="310" w:name="_Toc9284"/>
      <w:bookmarkStart w:id="311" w:name="_Toc31946"/>
      <w:bookmarkStart w:id="312" w:name="_Toc16190"/>
      <w:bookmarkStart w:id="313" w:name="_Toc38"/>
      <w:bookmarkStart w:id="314" w:name="_Toc29678"/>
      <w:bookmarkStart w:id="315" w:name="_Toc16277"/>
      <w:r>
        <w:rPr>
          <w:rFonts w:hint="eastAsia" w:ascii="仿宋_GB2312" w:hAnsi="Calibri"/>
          <w:kern w:val="0"/>
          <w:sz w:val="32"/>
          <w:szCs w:val="32"/>
        </w:rPr>
        <w:t>（5）绩效评价指标体系及绩效评价方案设计</w:t>
      </w:r>
      <w:bookmarkEnd w:id="309"/>
      <w:bookmarkEnd w:id="310"/>
      <w:bookmarkEnd w:id="311"/>
      <w:bookmarkEnd w:id="312"/>
      <w:bookmarkEnd w:id="313"/>
      <w:bookmarkEnd w:id="314"/>
      <w:bookmarkEnd w:id="315"/>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项目的资料研读及前期调研，结合项目的实际开展情况，就评价背景、评价思路、评价对象和内容、评价方法和进度安排等制定工作方案，并根据项目实施特点设计部分污水沟清理、盖板隐蔽化处理工程项目绩效评价指标体系。</w:t>
      </w:r>
    </w:p>
    <w:p>
      <w:pPr>
        <w:pStyle w:val="26"/>
        <w:spacing w:line="560" w:lineRule="exact"/>
        <w:ind w:firstLine="640"/>
        <w:rPr>
          <w:rFonts w:hint="eastAsia" w:ascii="仿宋_GB2312" w:hAnsi="Calibri"/>
          <w:kern w:val="0"/>
          <w:sz w:val="32"/>
          <w:szCs w:val="32"/>
        </w:rPr>
      </w:pPr>
      <w:bookmarkStart w:id="316" w:name="_Toc28784"/>
      <w:bookmarkStart w:id="317" w:name="_Toc6366"/>
      <w:bookmarkStart w:id="318" w:name="_Toc15516"/>
      <w:bookmarkStart w:id="319" w:name="_Toc27730"/>
      <w:bookmarkStart w:id="320" w:name="_Toc17676"/>
      <w:bookmarkStart w:id="321" w:name="_Toc19945"/>
      <w:bookmarkStart w:id="322" w:name="_Toc10090"/>
      <w:bookmarkStart w:id="323" w:name="_Toc10820"/>
      <w:r>
        <w:rPr>
          <w:rFonts w:hint="eastAsia" w:ascii="仿宋_GB2312" w:hAnsi="Calibri"/>
          <w:kern w:val="0"/>
          <w:sz w:val="32"/>
          <w:szCs w:val="32"/>
        </w:rPr>
        <w:t>2.评价实施阶段（</w:t>
      </w:r>
      <w:r>
        <w:rPr>
          <w:rFonts w:hint="eastAsia" w:ascii="仿宋_GB2312" w:hAnsi="Calibri"/>
          <w:kern w:val="0"/>
          <w:sz w:val="32"/>
          <w:szCs w:val="32"/>
          <w:lang w:val="en-US" w:eastAsia="zh-CN"/>
        </w:rPr>
        <w:t>9</w:t>
      </w:r>
      <w:r>
        <w:rPr>
          <w:rFonts w:hint="eastAsia" w:ascii="仿宋_GB2312" w:hAnsi="Calibri"/>
          <w:kern w:val="0"/>
          <w:sz w:val="32"/>
          <w:szCs w:val="32"/>
        </w:rPr>
        <w:t>月7日-</w:t>
      </w:r>
      <w:r>
        <w:rPr>
          <w:rFonts w:hint="eastAsia" w:ascii="仿宋_GB2312" w:hAnsi="Calibri"/>
          <w:kern w:val="0"/>
          <w:sz w:val="32"/>
          <w:szCs w:val="32"/>
          <w:lang w:val="en-US" w:eastAsia="zh-CN"/>
        </w:rPr>
        <w:t>9</w:t>
      </w:r>
      <w:r>
        <w:rPr>
          <w:rFonts w:hint="eastAsia" w:ascii="仿宋_GB2312" w:hAnsi="Calibri"/>
          <w:kern w:val="0"/>
          <w:sz w:val="32"/>
          <w:szCs w:val="32"/>
        </w:rPr>
        <w:t>月12日）</w:t>
      </w:r>
      <w:bookmarkEnd w:id="316"/>
      <w:bookmarkEnd w:id="317"/>
      <w:bookmarkEnd w:id="318"/>
      <w:bookmarkEnd w:id="319"/>
      <w:bookmarkEnd w:id="320"/>
      <w:bookmarkEnd w:id="321"/>
      <w:bookmarkEnd w:id="322"/>
      <w:bookmarkEnd w:id="323"/>
    </w:p>
    <w:p>
      <w:pPr>
        <w:pStyle w:val="26"/>
        <w:spacing w:line="560" w:lineRule="exact"/>
        <w:ind w:firstLine="640"/>
        <w:rPr>
          <w:rFonts w:hint="eastAsia" w:ascii="仿宋_GB2312" w:hAnsi="Calibri"/>
          <w:kern w:val="0"/>
          <w:sz w:val="32"/>
          <w:szCs w:val="32"/>
        </w:rPr>
      </w:pPr>
      <w:bookmarkStart w:id="324" w:name="_Toc31933"/>
      <w:r>
        <w:rPr>
          <w:rFonts w:hint="eastAsia" w:ascii="仿宋_GB2312" w:hAnsi="Calibri"/>
          <w:kern w:val="0"/>
          <w:sz w:val="32"/>
          <w:szCs w:val="32"/>
        </w:rPr>
        <w:t>依据项目特点组建评价小组进行现场工作，听取了潮海街道相关人员对辛戈庄部分污水沟清理、盖板隐蔽化处理工程项目的情况介绍，与相关</w:t>
      </w:r>
      <w:r>
        <w:rPr>
          <w:rFonts w:hint="eastAsia" w:ascii="仿宋_GB2312" w:hAnsi="Calibri"/>
          <w:kern w:val="0"/>
          <w:sz w:val="32"/>
          <w:szCs w:val="32"/>
          <w:lang w:eastAsia="zh-CN"/>
        </w:rPr>
        <w:t>单位</w:t>
      </w:r>
      <w:r>
        <w:rPr>
          <w:rFonts w:hint="eastAsia" w:ascii="仿宋_GB2312" w:hAnsi="Calibri"/>
          <w:kern w:val="0"/>
          <w:sz w:val="32"/>
          <w:szCs w:val="32"/>
        </w:rPr>
        <w:t>人员进行了沟通，采取查询、问询、问卷调查等多种方式，结合项目单位提供的项目资料，对项目的实施和完成情况进行核实，并对所掌握的有关信息进行分类、整理和初步分析、形成评价意见，具体核查情况如下：</w:t>
      </w:r>
      <w:bookmarkEnd w:id="324"/>
    </w:p>
    <w:p>
      <w:pPr>
        <w:pStyle w:val="26"/>
        <w:spacing w:line="560" w:lineRule="exact"/>
        <w:ind w:firstLine="640"/>
        <w:rPr>
          <w:rFonts w:hint="eastAsia" w:ascii="仿宋_GB2312" w:hAnsi="Calibri"/>
          <w:kern w:val="0"/>
          <w:sz w:val="32"/>
          <w:szCs w:val="32"/>
        </w:rPr>
      </w:pPr>
      <w:bookmarkStart w:id="325" w:name="_Toc17083"/>
      <w:bookmarkStart w:id="326" w:name="_Toc1972"/>
      <w:bookmarkStart w:id="327" w:name="_Toc17005"/>
      <w:bookmarkStart w:id="328" w:name="_Toc13158"/>
      <w:r>
        <w:rPr>
          <w:rFonts w:hint="eastAsia" w:ascii="仿宋_GB2312" w:hAnsi="Calibri"/>
          <w:kern w:val="0"/>
          <w:sz w:val="32"/>
          <w:szCs w:val="32"/>
        </w:rPr>
        <w:t>对财务凭证、基础数据、档案资料等进行核查，从项目决策、项目过程、项目产出及项目效益四大方面进行评价分析</w:t>
      </w:r>
      <w:bookmarkEnd w:id="325"/>
      <w:bookmarkEnd w:id="326"/>
      <w:bookmarkEnd w:id="327"/>
      <w:bookmarkEnd w:id="328"/>
      <w:r>
        <w:rPr>
          <w:rFonts w:hint="eastAsia" w:ascii="仿宋_GB2312" w:hAnsi="Calibri"/>
          <w:kern w:val="0"/>
          <w:sz w:val="32"/>
          <w:szCs w:val="32"/>
        </w:rPr>
        <w:t>。</w:t>
      </w:r>
    </w:p>
    <w:p>
      <w:pPr>
        <w:pStyle w:val="26"/>
        <w:spacing w:line="560" w:lineRule="exact"/>
        <w:ind w:firstLine="640"/>
        <w:rPr>
          <w:rFonts w:hint="eastAsia" w:ascii="仿宋_GB2312" w:hAnsi="Calibri"/>
          <w:kern w:val="0"/>
          <w:sz w:val="32"/>
          <w:szCs w:val="32"/>
        </w:rPr>
      </w:pPr>
      <w:bookmarkStart w:id="329" w:name="_Toc30484"/>
      <w:bookmarkStart w:id="330" w:name="_Toc374"/>
      <w:bookmarkStart w:id="331" w:name="_Toc12107"/>
      <w:bookmarkStart w:id="332" w:name="_Toc13198"/>
      <w:r>
        <w:rPr>
          <w:rFonts w:hint="eastAsia" w:ascii="仿宋_GB2312" w:hAnsi="Calibri"/>
          <w:kern w:val="0"/>
          <w:sz w:val="32"/>
          <w:szCs w:val="32"/>
        </w:rPr>
        <w:t>（1）财务核查</w:t>
      </w:r>
      <w:bookmarkEnd w:id="329"/>
      <w:bookmarkEnd w:id="330"/>
      <w:bookmarkEnd w:id="331"/>
      <w:bookmarkEnd w:id="332"/>
    </w:p>
    <w:p>
      <w:pPr>
        <w:pStyle w:val="26"/>
        <w:spacing w:line="560" w:lineRule="exact"/>
        <w:ind w:firstLine="640"/>
        <w:rPr>
          <w:rFonts w:hint="eastAsia" w:ascii="仿宋_GB2312" w:hAnsi="Calibri"/>
          <w:kern w:val="0"/>
          <w:sz w:val="32"/>
          <w:szCs w:val="32"/>
        </w:rPr>
      </w:pPr>
      <w:bookmarkStart w:id="333" w:name="_Toc1821"/>
      <w:bookmarkStart w:id="334" w:name="_Toc29968"/>
      <w:bookmarkStart w:id="335" w:name="_Toc11425"/>
      <w:bookmarkStart w:id="336" w:name="_Toc5563"/>
      <w:r>
        <w:rPr>
          <w:rFonts w:hint="eastAsia" w:ascii="仿宋_GB2312" w:hAnsi="Calibri"/>
          <w:kern w:val="0"/>
          <w:sz w:val="32"/>
          <w:szCs w:val="32"/>
        </w:rPr>
        <w:fldChar w:fldCharType="begin"/>
      </w:r>
      <w:r>
        <w:rPr>
          <w:rFonts w:hint="eastAsia" w:ascii="仿宋_GB2312" w:hAnsi="Calibri"/>
          <w:kern w:val="0"/>
          <w:sz w:val="32"/>
          <w:szCs w:val="32"/>
        </w:rPr>
        <w:instrText xml:space="preserve"> = 1 \* GB3 </w:instrText>
      </w:r>
      <w:r>
        <w:rPr>
          <w:rFonts w:hint="eastAsia" w:ascii="仿宋_GB2312" w:hAnsi="Calibri"/>
          <w:kern w:val="0"/>
          <w:sz w:val="32"/>
          <w:szCs w:val="32"/>
        </w:rPr>
        <w:fldChar w:fldCharType="separate"/>
      </w:r>
      <w:r>
        <w:rPr>
          <w:rFonts w:hint="eastAsia" w:ascii="仿宋_GB2312" w:hAnsi="Calibri"/>
          <w:kern w:val="0"/>
          <w:sz w:val="32"/>
          <w:szCs w:val="32"/>
        </w:rPr>
        <w:t>①</w:t>
      </w:r>
      <w:r>
        <w:rPr>
          <w:rFonts w:hint="eastAsia" w:ascii="仿宋_GB2312" w:hAnsi="Calibri"/>
          <w:kern w:val="0"/>
          <w:sz w:val="32"/>
          <w:szCs w:val="32"/>
        </w:rPr>
        <w:fldChar w:fldCharType="end"/>
      </w:r>
      <w:r>
        <w:rPr>
          <w:rFonts w:hint="eastAsia" w:ascii="仿宋_GB2312" w:hAnsi="Calibri"/>
          <w:kern w:val="0"/>
          <w:sz w:val="32"/>
          <w:szCs w:val="32"/>
        </w:rPr>
        <w:t>核查对象</w:t>
      </w:r>
      <w:bookmarkEnd w:id="333"/>
      <w:bookmarkEnd w:id="334"/>
      <w:bookmarkEnd w:id="335"/>
      <w:bookmarkEnd w:id="336"/>
    </w:p>
    <w:p>
      <w:pPr>
        <w:pStyle w:val="26"/>
        <w:spacing w:line="560" w:lineRule="exact"/>
        <w:ind w:firstLine="640"/>
        <w:rPr>
          <w:rFonts w:hint="eastAsia" w:ascii="仿宋_GB2312" w:hAnsi="Calibri"/>
          <w:kern w:val="0"/>
          <w:sz w:val="32"/>
          <w:szCs w:val="32"/>
        </w:rPr>
      </w:pPr>
      <w:bookmarkStart w:id="337" w:name="_Toc25994"/>
      <w:bookmarkStart w:id="338" w:name="_Toc25393"/>
      <w:bookmarkStart w:id="339" w:name="_Toc13589"/>
      <w:bookmarkStart w:id="340" w:name="_Toc31706"/>
      <w:r>
        <w:rPr>
          <w:rFonts w:hint="eastAsia" w:ascii="仿宋_GB2312" w:hAnsi="Calibri"/>
          <w:kern w:val="0"/>
          <w:sz w:val="32"/>
          <w:szCs w:val="32"/>
        </w:rPr>
        <w:t>对潮海街道辛戈庄村部分污水沟清理、盖板隐蔽化处理工程项目专项资金的预算到位、支出情况进行核查。</w:t>
      </w:r>
      <w:bookmarkEnd w:id="337"/>
      <w:bookmarkEnd w:id="338"/>
      <w:bookmarkEnd w:id="339"/>
      <w:bookmarkEnd w:id="340"/>
    </w:p>
    <w:p>
      <w:pPr>
        <w:pStyle w:val="26"/>
        <w:spacing w:line="560" w:lineRule="exact"/>
        <w:ind w:firstLine="640"/>
        <w:rPr>
          <w:rFonts w:hint="eastAsia" w:ascii="仿宋_GB2312" w:hAnsi="Calibri"/>
          <w:kern w:val="0"/>
          <w:sz w:val="32"/>
          <w:szCs w:val="32"/>
        </w:rPr>
      </w:pPr>
      <w:bookmarkStart w:id="341" w:name="_Toc21747"/>
      <w:bookmarkStart w:id="342" w:name="_Toc8471"/>
      <w:bookmarkStart w:id="343" w:name="_Toc1178"/>
      <w:bookmarkStart w:id="344" w:name="_Toc30240"/>
      <w:r>
        <w:rPr>
          <w:rFonts w:hint="eastAsia" w:ascii="仿宋_GB2312" w:hAnsi="Calibri"/>
          <w:kern w:val="0"/>
          <w:sz w:val="32"/>
          <w:szCs w:val="32"/>
        </w:rPr>
        <w:fldChar w:fldCharType="begin"/>
      </w:r>
      <w:r>
        <w:rPr>
          <w:rFonts w:hint="eastAsia" w:ascii="仿宋_GB2312" w:hAnsi="Calibri"/>
          <w:kern w:val="0"/>
          <w:sz w:val="32"/>
          <w:szCs w:val="32"/>
        </w:rPr>
        <w:instrText xml:space="preserve"> = 2 \* GB3 </w:instrText>
      </w:r>
      <w:r>
        <w:rPr>
          <w:rFonts w:hint="eastAsia" w:ascii="仿宋_GB2312" w:hAnsi="Calibri"/>
          <w:kern w:val="0"/>
          <w:sz w:val="32"/>
          <w:szCs w:val="32"/>
        </w:rPr>
        <w:fldChar w:fldCharType="separate"/>
      </w:r>
      <w:r>
        <w:rPr>
          <w:rFonts w:hint="eastAsia" w:ascii="仿宋_GB2312" w:hAnsi="Calibri"/>
          <w:kern w:val="0"/>
          <w:sz w:val="32"/>
          <w:szCs w:val="32"/>
        </w:rPr>
        <w:t>②</w:t>
      </w:r>
      <w:r>
        <w:rPr>
          <w:rFonts w:hint="eastAsia" w:ascii="仿宋_GB2312" w:hAnsi="Calibri"/>
          <w:kern w:val="0"/>
          <w:sz w:val="32"/>
          <w:szCs w:val="32"/>
        </w:rPr>
        <w:fldChar w:fldCharType="end"/>
      </w:r>
      <w:r>
        <w:rPr>
          <w:rFonts w:hint="eastAsia" w:ascii="仿宋_GB2312" w:hAnsi="Calibri"/>
          <w:kern w:val="0"/>
          <w:sz w:val="32"/>
          <w:szCs w:val="32"/>
        </w:rPr>
        <w:t>核查内容</w:t>
      </w:r>
      <w:bookmarkEnd w:id="341"/>
      <w:bookmarkEnd w:id="342"/>
      <w:bookmarkEnd w:id="343"/>
      <w:bookmarkEnd w:id="344"/>
    </w:p>
    <w:p>
      <w:pPr>
        <w:pStyle w:val="26"/>
        <w:spacing w:line="560" w:lineRule="exact"/>
        <w:ind w:firstLine="640"/>
        <w:rPr>
          <w:rFonts w:hint="eastAsia" w:ascii="仿宋_GB2312" w:hAnsi="Calibri"/>
          <w:kern w:val="0"/>
          <w:sz w:val="32"/>
          <w:szCs w:val="32"/>
        </w:rPr>
      </w:pPr>
      <w:bookmarkStart w:id="345" w:name="_Toc16253"/>
      <w:bookmarkStart w:id="346" w:name="_Toc9028"/>
      <w:bookmarkStart w:id="347" w:name="_Toc4549"/>
      <w:bookmarkStart w:id="348" w:name="_Toc22159"/>
      <w:r>
        <w:rPr>
          <w:rFonts w:hint="eastAsia" w:ascii="仿宋_GB2312" w:hAnsi="Calibri"/>
          <w:kern w:val="0"/>
          <w:sz w:val="32"/>
          <w:szCs w:val="32"/>
        </w:rPr>
        <w:t>A.项目资金的到位凭证，核查是否及时、足额到位；</w:t>
      </w:r>
      <w:bookmarkEnd w:id="345"/>
      <w:bookmarkEnd w:id="346"/>
      <w:bookmarkEnd w:id="347"/>
      <w:bookmarkEnd w:id="348"/>
    </w:p>
    <w:p>
      <w:pPr>
        <w:pStyle w:val="26"/>
        <w:spacing w:line="560" w:lineRule="exact"/>
        <w:ind w:firstLine="640"/>
        <w:rPr>
          <w:rFonts w:hint="eastAsia" w:ascii="仿宋_GB2312" w:hAnsi="Calibri"/>
          <w:kern w:val="0"/>
          <w:sz w:val="32"/>
          <w:szCs w:val="32"/>
        </w:rPr>
      </w:pPr>
      <w:bookmarkStart w:id="349" w:name="_Toc5120"/>
      <w:bookmarkStart w:id="350" w:name="_Toc192"/>
      <w:bookmarkStart w:id="351" w:name="_Toc4689"/>
      <w:bookmarkStart w:id="352" w:name="_Toc5614"/>
      <w:r>
        <w:rPr>
          <w:rFonts w:hint="eastAsia" w:ascii="仿宋_GB2312" w:hAnsi="Calibri"/>
          <w:kern w:val="0"/>
          <w:sz w:val="32"/>
          <w:szCs w:val="32"/>
        </w:rPr>
        <w:t>B.项目资金的支出凭证，核查资金拨付的合规性，是否依据合同及结算报告拨付，是否存在截留、虚列支出情况</w:t>
      </w:r>
      <w:bookmarkEnd w:id="349"/>
      <w:bookmarkEnd w:id="350"/>
      <w:bookmarkEnd w:id="351"/>
      <w:bookmarkEnd w:id="352"/>
      <w:r>
        <w:rPr>
          <w:rFonts w:hint="eastAsia" w:ascii="仿宋_GB2312" w:hAnsi="Calibri"/>
          <w:kern w:val="0"/>
          <w:sz w:val="32"/>
          <w:szCs w:val="32"/>
        </w:rPr>
        <w:t>。</w:t>
      </w:r>
    </w:p>
    <w:p>
      <w:pPr>
        <w:pStyle w:val="26"/>
        <w:spacing w:line="560" w:lineRule="exact"/>
        <w:ind w:firstLine="640"/>
        <w:rPr>
          <w:rFonts w:hint="eastAsia" w:ascii="仿宋_GB2312" w:hAnsi="Calibri"/>
          <w:kern w:val="0"/>
          <w:sz w:val="32"/>
          <w:szCs w:val="32"/>
        </w:rPr>
      </w:pPr>
      <w:bookmarkStart w:id="353" w:name="_Toc5310"/>
      <w:bookmarkStart w:id="354" w:name="_Toc17448"/>
      <w:bookmarkStart w:id="355" w:name="_Toc8678"/>
      <w:bookmarkStart w:id="356" w:name="_Toc22223"/>
      <w:r>
        <w:rPr>
          <w:rFonts w:hint="eastAsia" w:ascii="仿宋_GB2312" w:hAnsi="Calibri"/>
          <w:kern w:val="0"/>
          <w:sz w:val="32"/>
          <w:szCs w:val="32"/>
        </w:rPr>
        <w:t>(2)基础数据审核</w:t>
      </w:r>
      <w:bookmarkEnd w:id="353"/>
      <w:bookmarkEnd w:id="354"/>
      <w:bookmarkEnd w:id="355"/>
      <w:bookmarkEnd w:id="356"/>
    </w:p>
    <w:p>
      <w:pPr>
        <w:pStyle w:val="26"/>
        <w:spacing w:line="560" w:lineRule="exact"/>
        <w:ind w:firstLine="640"/>
        <w:rPr>
          <w:rFonts w:hint="eastAsia" w:ascii="仿宋_GB2312" w:hAnsi="Calibri"/>
          <w:kern w:val="0"/>
          <w:sz w:val="32"/>
          <w:szCs w:val="32"/>
        </w:rPr>
      </w:pPr>
      <w:bookmarkStart w:id="357" w:name="_Toc31858"/>
      <w:bookmarkStart w:id="358" w:name="_Toc28417"/>
      <w:bookmarkStart w:id="359" w:name="_Toc28180"/>
      <w:bookmarkStart w:id="360" w:name="_Toc32596"/>
      <w:r>
        <w:rPr>
          <w:rFonts w:hint="eastAsia" w:ascii="仿宋_GB2312" w:hAnsi="Calibri"/>
          <w:kern w:val="0"/>
          <w:sz w:val="32"/>
          <w:szCs w:val="32"/>
        </w:rPr>
        <w:t>为详细了解部分污水沟清理、盖板隐蔽化处理工程项目的实际情况，本次现场调研从村庄两委决议、奖补项目申请、财政批复等方面进行数据复核，确保获取数据的真实有效性。</w:t>
      </w:r>
      <w:bookmarkEnd w:id="357"/>
      <w:bookmarkEnd w:id="358"/>
      <w:bookmarkEnd w:id="359"/>
      <w:bookmarkEnd w:id="360"/>
    </w:p>
    <w:p>
      <w:pPr>
        <w:pStyle w:val="26"/>
        <w:spacing w:line="560" w:lineRule="exact"/>
        <w:ind w:firstLine="640"/>
        <w:rPr>
          <w:rFonts w:hint="eastAsia" w:ascii="仿宋_GB2312" w:hAnsi="Calibri"/>
          <w:kern w:val="0"/>
          <w:sz w:val="32"/>
          <w:szCs w:val="32"/>
        </w:rPr>
      </w:pPr>
      <w:bookmarkStart w:id="361" w:name="_Toc21920"/>
      <w:bookmarkStart w:id="362" w:name="_Toc32566"/>
      <w:bookmarkStart w:id="363" w:name="_Toc4478"/>
      <w:bookmarkStart w:id="364" w:name="_Toc1254"/>
      <w:r>
        <w:rPr>
          <w:rFonts w:hint="eastAsia" w:ascii="仿宋_GB2312" w:hAnsi="Calibri"/>
          <w:kern w:val="0"/>
          <w:sz w:val="32"/>
          <w:szCs w:val="32"/>
        </w:rPr>
        <w:t>①核查对象</w:t>
      </w:r>
      <w:bookmarkEnd w:id="361"/>
      <w:bookmarkEnd w:id="362"/>
      <w:bookmarkEnd w:id="363"/>
      <w:bookmarkEnd w:id="364"/>
    </w:p>
    <w:p>
      <w:pPr>
        <w:pStyle w:val="26"/>
        <w:spacing w:line="560" w:lineRule="exact"/>
        <w:ind w:firstLine="640"/>
        <w:rPr>
          <w:rFonts w:hint="eastAsia" w:ascii="仿宋_GB2312" w:hAnsi="Calibri"/>
          <w:kern w:val="0"/>
          <w:sz w:val="32"/>
          <w:szCs w:val="32"/>
        </w:rPr>
      </w:pPr>
      <w:bookmarkStart w:id="365" w:name="_Toc21410"/>
      <w:bookmarkStart w:id="366" w:name="_Toc30274"/>
      <w:bookmarkStart w:id="367" w:name="_Toc25501"/>
      <w:bookmarkStart w:id="368" w:name="_Toc27711"/>
      <w:r>
        <w:rPr>
          <w:rFonts w:hint="eastAsia" w:ascii="仿宋_GB2312" w:hAnsi="Calibri"/>
          <w:kern w:val="0"/>
          <w:sz w:val="32"/>
          <w:szCs w:val="32"/>
        </w:rPr>
        <w:t>对项目的申请、批复文件、项目招标及管理制度等进行复核。</w:t>
      </w:r>
      <w:bookmarkEnd w:id="365"/>
      <w:bookmarkEnd w:id="366"/>
      <w:bookmarkEnd w:id="367"/>
      <w:bookmarkEnd w:id="368"/>
    </w:p>
    <w:p>
      <w:pPr>
        <w:pStyle w:val="26"/>
        <w:spacing w:line="560" w:lineRule="exact"/>
        <w:ind w:firstLine="640"/>
        <w:rPr>
          <w:rFonts w:hint="eastAsia" w:ascii="仿宋_GB2312" w:hAnsi="Calibri"/>
          <w:kern w:val="0"/>
          <w:sz w:val="32"/>
          <w:szCs w:val="32"/>
        </w:rPr>
      </w:pPr>
      <w:bookmarkStart w:id="369" w:name="_Toc6255"/>
      <w:bookmarkStart w:id="370" w:name="_Toc23973"/>
      <w:bookmarkStart w:id="371" w:name="_Toc32650"/>
      <w:bookmarkStart w:id="372" w:name="_Toc19880"/>
      <w:r>
        <w:rPr>
          <w:rFonts w:hint="eastAsia" w:ascii="仿宋_GB2312" w:hAnsi="Calibri"/>
          <w:kern w:val="0"/>
          <w:sz w:val="32"/>
          <w:szCs w:val="32"/>
        </w:rPr>
        <w:t>②核查内容</w:t>
      </w:r>
      <w:bookmarkEnd w:id="369"/>
      <w:bookmarkEnd w:id="370"/>
      <w:bookmarkEnd w:id="371"/>
      <w:bookmarkEnd w:id="372"/>
    </w:p>
    <w:p>
      <w:pPr>
        <w:pStyle w:val="26"/>
        <w:spacing w:line="560" w:lineRule="exact"/>
        <w:ind w:firstLine="640"/>
        <w:rPr>
          <w:rFonts w:hint="eastAsia" w:ascii="仿宋_GB2312" w:hAnsi="Calibri"/>
          <w:kern w:val="0"/>
          <w:sz w:val="32"/>
          <w:szCs w:val="32"/>
        </w:rPr>
      </w:pPr>
      <w:bookmarkStart w:id="373" w:name="_Toc4454"/>
      <w:bookmarkStart w:id="374" w:name="_Toc5410"/>
      <w:bookmarkStart w:id="375" w:name="_Toc12441"/>
      <w:bookmarkStart w:id="376" w:name="_Toc7747"/>
      <w:r>
        <w:rPr>
          <w:rFonts w:hint="eastAsia" w:ascii="仿宋_GB2312" w:hAnsi="Calibri"/>
          <w:kern w:val="0"/>
          <w:sz w:val="32"/>
          <w:szCs w:val="32"/>
        </w:rPr>
        <w:t>A.项目是否按规定流程进行申请、资金申请是否符合规定程序，是否获得相关批复；</w:t>
      </w:r>
      <w:bookmarkEnd w:id="373"/>
      <w:bookmarkEnd w:id="374"/>
      <w:bookmarkEnd w:id="375"/>
      <w:bookmarkEnd w:id="376"/>
    </w:p>
    <w:p>
      <w:pPr>
        <w:pStyle w:val="26"/>
        <w:spacing w:line="560" w:lineRule="exact"/>
        <w:ind w:firstLine="640"/>
        <w:rPr>
          <w:rFonts w:hint="eastAsia" w:ascii="仿宋_GB2312" w:hAnsi="Calibri"/>
          <w:kern w:val="0"/>
          <w:sz w:val="32"/>
          <w:szCs w:val="32"/>
        </w:rPr>
      </w:pPr>
      <w:bookmarkStart w:id="377" w:name="_Toc15495"/>
      <w:bookmarkStart w:id="378" w:name="_Toc23468"/>
      <w:bookmarkStart w:id="379" w:name="_Toc18155"/>
      <w:bookmarkStart w:id="380" w:name="_Toc2529"/>
      <w:r>
        <w:rPr>
          <w:rFonts w:hint="eastAsia" w:ascii="仿宋_GB2312" w:hAnsi="Calibri"/>
          <w:kern w:val="0"/>
          <w:sz w:val="32"/>
          <w:szCs w:val="32"/>
        </w:rPr>
        <w:t>B.项目是否制定专项管理制度或实施方案，制度是否合法合规，执行是否符合项目要求；</w:t>
      </w:r>
      <w:bookmarkEnd w:id="377"/>
      <w:bookmarkEnd w:id="378"/>
      <w:bookmarkEnd w:id="379"/>
      <w:bookmarkEnd w:id="380"/>
    </w:p>
    <w:p>
      <w:pPr>
        <w:pStyle w:val="26"/>
        <w:spacing w:line="560" w:lineRule="exact"/>
        <w:ind w:firstLine="640"/>
        <w:rPr>
          <w:rFonts w:hint="eastAsia" w:ascii="仿宋_GB2312" w:hAnsi="Calibri"/>
          <w:kern w:val="0"/>
          <w:sz w:val="32"/>
          <w:szCs w:val="32"/>
        </w:rPr>
      </w:pPr>
      <w:bookmarkStart w:id="381" w:name="_Toc26577"/>
      <w:bookmarkStart w:id="382" w:name="_Toc24383"/>
      <w:bookmarkStart w:id="383" w:name="_Toc13332"/>
      <w:bookmarkStart w:id="384" w:name="_Toc31083"/>
      <w:r>
        <w:rPr>
          <w:rFonts w:hint="eastAsia" w:ascii="仿宋_GB2312" w:hAnsi="Calibri"/>
          <w:kern w:val="0"/>
          <w:sz w:val="32"/>
          <w:szCs w:val="32"/>
        </w:rPr>
        <w:t>C.对项目招投标材料、中标文件进行现场核查，确定招标结果是否符合要求，档案资料是否完整留存。</w:t>
      </w:r>
      <w:bookmarkEnd w:id="381"/>
      <w:bookmarkEnd w:id="382"/>
      <w:bookmarkEnd w:id="383"/>
      <w:bookmarkEnd w:id="384"/>
    </w:p>
    <w:p>
      <w:pPr>
        <w:pStyle w:val="26"/>
        <w:spacing w:line="560" w:lineRule="exact"/>
        <w:ind w:firstLine="640"/>
        <w:rPr>
          <w:rFonts w:hint="eastAsia" w:ascii="仿宋_GB2312" w:hAnsi="Calibri"/>
          <w:kern w:val="0"/>
          <w:sz w:val="32"/>
          <w:szCs w:val="32"/>
        </w:rPr>
      </w:pPr>
      <w:bookmarkStart w:id="385" w:name="_Toc7303"/>
      <w:bookmarkStart w:id="386" w:name="_Toc5686"/>
      <w:bookmarkStart w:id="387" w:name="_Toc1989"/>
      <w:bookmarkStart w:id="388" w:name="_Toc20077"/>
      <w:bookmarkStart w:id="389" w:name="_Toc15952"/>
      <w:bookmarkStart w:id="390" w:name="_Toc22224"/>
      <w:bookmarkStart w:id="391" w:name="_Toc31615"/>
      <w:bookmarkStart w:id="392" w:name="_Toc3633"/>
      <w:r>
        <w:rPr>
          <w:rFonts w:hint="eastAsia" w:ascii="仿宋_GB2312" w:hAnsi="Calibri"/>
          <w:kern w:val="0"/>
          <w:sz w:val="32"/>
          <w:szCs w:val="32"/>
        </w:rPr>
        <w:t>3.分析评价阶段（</w:t>
      </w:r>
      <w:r>
        <w:rPr>
          <w:rFonts w:hint="eastAsia" w:ascii="仿宋_GB2312" w:hAnsi="Calibri"/>
          <w:kern w:val="0"/>
          <w:sz w:val="32"/>
          <w:szCs w:val="32"/>
          <w:lang w:val="en-US" w:eastAsia="zh-CN"/>
        </w:rPr>
        <w:t>9</w:t>
      </w:r>
      <w:r>
        <w:rPr>
          <w:rFonts w:hint="eastAsia" w:ascii="仿宋_GB2312" w:hAnsi="Calibri"/>
          <w:kern w:val="0"/>
          <w:sz w:val="32"/>
          <w:szCs w:val="32"/>
        </w:rPr>
        <w:t>月13日-</w:t>
      </w:r>
      <w:r>
        <w:rPr>
          <w:rFonts w:hint="eastAsia" w:ascii="仿宋_GB2312" w:hAnsi="Calibri"/>
          <w:kern w:val="0"/>
          <w:sz w:val="32"/>
          <w:szCs w:val="32"/>
          <w:lang w:val="en-US" w:eastAsia="zh-CN"/>
        </w:rPr>
        <w:t>9</w:t>
      </w:r>
      <w:r>
        <w:rPr>
          <w:rFonts w:hint="eastAsia" w:ascii="仿宋_GB2312" w:hAnsi="Calibri"/>
          <w:kern w:val="0"/>
          <w:sz w:val="32"/>
          <w:szCs w:val="32"/>
        </w:rPr>
        <w:t>月2</w:t>
      </w:r>
      <w:r>
        <w:rPr>
          <w:rFonts w:hint="eastAsia" w:ascii="仿宋_GB2312" w:hAnsi="Calibri"/>
          <w:kern w:val="0"/>
          <w:sz w:val="32"/>
          <w:szCs w:val="32"/>
          <w:lang w:val="en-US" w:eastAsia="zh-CN"/>
        </w:rPr>
        <w:t>5</w:t>
      </w:r>
      <w:r>
        <w:rPr>
          <w:rFonts w:hint="eastAsia" w:ascii="仿宋_GB2312" w:hAnsi="Calibri"/>
          <w:kern w:val="0"/>
          <w:sz w:val="32"/>
          <w:szCs w:val="32"/>
        </w:rPr>
        <w:t>日）</w:t>
      </w:r>
      <w:bookmarkEnd w:id="385"/>
      <w:bookmarkEnd w:id="386"/>
      <w:bookmarkEnd w:id="387"/>
      <w:bookmarkEnd w:id="388"/>
      <w:bookmarkEnd w:id="389"/>
      <w:bookmarkEnd w:id="390"/>
      <w:bookmarkEnd w:id="391"/>
      <w:bookmarkEnd w:id="392"/>
    </w:p>
    <w:p>
      <w:pPr>
        <w:pStyle w:val="26"/>
        <w:spacing w:line="560" w:lineRule="exact"/>
        <w:ind w:firstLine="640"/>
        <w:rPr>
          <w:rFonts w:hint="eastAsia" w:ascii="仿宋_GB2312" w:hAnsi="Calibri"/>
          <w:kern w:val="0"/>
          <w:sz w:val="32"/>
          <w:szCs w:val="32"/>
        </w:rPr>
      </w:pPr>
      <w:bookmarkStart w:id="393" w:name="_Toc4532"/>
      <w:r>
        <w:rPr>
          <w:rFonts w:hint="eastAsia" w:ascii="仿宋_GB2312" w:hAnsi="Calibri"/>
          <w:kern w:val="0"/>
          <w:sz w:val="32"/>
          <w:szCs w:val="32"/>
        </w:rPr>
        <w:t>根据现场评价意见，对项目决策、项目过程、项目产出、项目效益等情况进行分析评价，撰写《青岛市即墨区潮海街道办事处辛戈庄村部分污水沟清理、盖板隐蔽化处理工程项目绩效评价报告》，针对评价过程中发现的问题，提出合理性建议和改进措施，报送委托方，并根据委托方的意见进一步修改完善报告。</w:t>
      </w:r>
      <w:bookmarkEnd w:id="393"/>
    </w:p>
    <w:p>
      <w:pPr>
        <w:spacing w:line="560" w:lineRule="exact"/>
        <w:ind w:firstLine="640" w:firstLineChars="200"/>
        <w:outlineLvl w:val="0"/>
        <w:rPr>
          <w:rFonts w:hint="eastAsia" w:ascii="黑体" w:hAnsi="黑体" w:eastAsia="黑体"/>
          <w:sz w:val="32"/>
          <w:szCs w:val="32"/>
        </w:rPr>
      </w:pPr>
      <w:bookmarkStart w:id="394" w:name="_Toc16219"/>
      <w:bookmarkStart w:id="395" w:name="_Toc2827"/>
      <w:bookmarkStart w:id="396" w:name="_Toc9452"/>
      <w:bookmarkStart w:id="397" w:name="_Toc27512"/>
      <w:r>
        <w:rPr>
          <w:rFonts w:hint="eastAsia" w:ascii="黑体" w:hAnsi="黑体" w:eastAsia="黑体"/>
          <w:sz w:val="32"/>
          <w:szCs w:val="32"/>
        </w:rPr>
        <w:t>三、</w:t>
      </w:r>
      <w:bookmarkEnd w:id="394"/>
      <w:r>
        <w:rPr>
          <w:rFonts w:hint="eastAsia" w:ascii="黑体" w:hAnsi="黑体" w:eastAsia="黑体"/>
          <w:sz w:val="32"/>
          <w:szCs w:val="32"/>
        </w:rPr>
        <w:t>评价结果</w:t>
      </w:r>
      <w:bookmarkEnd w:id="395"/>
      <w:bookmarkEnd w:id="396"/>
      <w:bookmarkEnd w:id="397"/>
    </w:p>
    <w:p>
      <w:pPr>
        <w:pStyle w:val="26"/>
        <w:spacing w:line="560" w:lineRule="exact"/>
        <w:ind w:firstLine="640"/>
        <w:outlineLvl w:val="1"/>
        <w:rPr>
          <w:rFonts w:hint="eastAsia" w:eastAsia="楷体_GB2312"/>
          <w:bCs/>
          <w:kern w:val="0"/>
          <w:sz w:val="32"/>
          <w:szCs w:val="32"/>
        </w:rPr>
      </w:pPr>
      <w:bookmarkStart w:id="398" w:name="_Toc4964"/>
      <w:bookmarkStart w:id="399" w:name="_Toc13299"/>
      <w:bookmarkStart w:id="400" w:name="_Toc6040"/>
      <w:r>
        <w:rPr>
          <w:rFonts w:hint="eastAsia" w:eastAsia="楷体_GB2312"/>
          <w:bCs/>
          <w:kern w:val="0"/>
          <w:sz w:val="32"/>
          <w:szCs w:val="32"/>
        </w:rPr>
        <w:t>（一）评价结论</w:t>
      </w:r>
      <w:bookmarkEnd w:id="398"/>
      <w:bookmarkEnd w:id="399"/>
    </w:p>
    <w:p>
      <w:pPr>
        <w:pStyle w:val="26"/>
        <w:spacing w:line="560" w:lineRule="exact"/>
        <w:ind w:firstLine="640"/>
        <w:rPr>
          <w:rFonts w:hint="eastAsia" w:ascii="仿宋_GB2312" w:hAnsi="Calibri"/>
          <w:kern w:val="0"/>
          <w:sz w:val="32"/>
          <w:szCs w:val="32"/>
        </w:rPr>
      </w:pPr>
      <w:bookmarkStart w:id="401" w:name="_Toc22038"/>
      <w:bookmarkStart w:id="402" w:name="_Toc8170"/>
      <w:bookmarkStart w:id="403" w:name="_Toc8375"/>
      <w:r>
        <w:rPr>
          <w:rFonts w:hint="eastAsia" w:ascii="仿宋_GB2312" w:hAnsi="Calibri"/>
          <w:kern w:val="0"/>
          <w:sz w:val="32"/>
          <w:szCs w:val="32"/>
        </w:rPr>
        <w:t>青岛市即墨区潮海街道办事处为改善农村人居环境，改善农民生产生活条件，推进社会主义新农村建设，严格按照市、区关于村级公益事业建设的相关决策部署，积极推进实施一事一议财政奖补政策，辛戈庄村经济合作社申报实施了部分污水沟清理、盖板隐蔽化处理工程项目，改善了村庄内涝问题，为村民日常生活提供了便利。但也存在绩效意识淡薄、未关注项目的效益发展情况、合同约定不规范，质量标准未明确、竣工验收流程较简易。</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青岛市即墨区财政局《关于印发青岛市即墨区预算绩效管理办法的通知》（即财绩效〔2020〕260号）及本次评价设定的项目支出指标体系，通过对部分污水沟清理、盖板隐蔽化处理工程项目实施的决策、过程、产出、效益四个方面进行综合分析，整体绩效评价得分为</w:t>
      </w:r>
      <w:r>
        <w:rPr>
          <w:rFonts w:hint="eastAsia" w:ascii="仿宋_GB2312" w:hAnsi="Calibri"/>
          <w:kern w:val="0"/>
          <w:sz w:val="32"/>
          <w:szCs w:val="32"/>
          <w:highlight w:val="none"/>
        </w:rPr>
        <w:t>8</w:t>
      </w:r>
      <w:r>
        <w:rPr>
          <w:rFonts w:hint="eastAsia" w:ascii="仿宋_GB2312" w:hAnsi="Calibri"/>
          <w:kern w:val="0"/>
          <w:sz w:val="32"/>
          <w:szCs w:val="32"/>
          <w:highlight w:val="none"/>
          <w:lang w:val="en-US" w:eastAsia="zh-CN"/>
        </w:rPr>
        <w:t>8</w:t>
      </w:r>
      <w:r>
        <w:rPr>
          <w:rFonts w:hint="eastAsia" w:ascii="仿宋_GB2312" w:hAnsi="Calibri"/>
          <w:kern w:val="0"/>
          <w:sz w:val="32"/>
          <w:szCs w:val="32"/>
        </w:rPr>
        <w:t>分，综合评级“良”。各部分权重及得分情况如下</w:t>
      </w:r>
      <w:bookmarkEnd w:id="400"/>
      <w:bookmarkEnd w:id="401"/>
      <w:bookmarkEnd w:id="402"/>
      <w:bookmarkEnd w:id="403"/>
      <w:r>
        <w:rPr>
          <w:rFonts w:hint="eastAsia" w:ascii="仿宋_GB2312" w:hAnsi="Calibri"/>
          <w:kern w:val="0"/>
          <w:sz w:val="32"/>
          <w:szCs w:val="32"/>
        </w:rPr>
        <w:t>：</w:t>
      </w:r>
    </w:p>
    <w:p>
      <w:pPr>
        <w:pStyle w:val="19"/>
        <w:spacing w:line="560" w:lineRule="exact"/>
        <w:ind w:firstLine="400" w:firstLineChars="200"/>
        <w:jc w:val="center"/>
        <w:rPr>
          <w:rFonts w:hint="eastAsia" w:ascii="仿宋_GB2312" w:hAnsi="Calibri"/>
          <w:szCs w:val="30"/>
        </w:rPr>
      </w:pPr>
      <w:bookmarkStart w:id="404" w:name="_Toc1398"/>
      <w:bookmarkStart w:id="405" w:name="_Toc19309"/>
      <w:bookmarkStart w:id="406" w:name="_Toc28493"/>
      <w:bookmarkStart w:id="407" w:name="_Toc8005"/>
      <w:bookmarkStart w:id="408" w:name="_Toc21263"/>
      <w:bookmarkStart w:id="409" w:name="_Toc1722"/>
      <w:bookmarkStart w:id="410" w:name="_Toc3244"/>
      <w:bookmarkStart w:id="411" w:name="_Toc22018"/>
      <w:bookmarkStart w:id="412" w:name="_Toc16376"/>
      <w:bookmarkStart w:id="413" w:name="_Toc16420"/>
      <w:bookmarkStart w:id="414" w:name="_Toc3036"/>
      <w:bookmarkStart w:id="415" w:name="_Toc23191"/>
      <w:bookmarkStart w:id="416" w:name="_Toc17812"/>
      <w:bookmarkStart w:id="417" w:name="_Toc24537"/>
      <w:bookmarkStart w:id="418" w:name="_Toc7388"/>
      <w:bookmarkStart w:id="419" w:name="_Toc20719"/>
      <w:bookmarkStart w:id="420" w:name="_Toc18574"/>
      <w:bookmarkStart w:id="421" w:name="_Toc6905"/>
      <w:bookmarkStart w:id="422" w:name="_Toc1982"/>
      <w:bookmarkStart w:id="423" w:name="_Toc32306"/>
      <w:bookmarkStart w:id="424" w:name="_Toc12081"/>
      <w:bookmarkStart w:id="425" w:name="_Toc7454"/>
      <w:bookmarkStart w:id="426" w:name="_Toc14015"/>
      <w:bookmarkStart w:id="427" w:name="_Toc11416"/>
      <w:bookmarkStart w:id="428" w:name="_Toc17973"/>
      <w:bookmarkStart w:id="429" w:name="_Toc347"/>
      <w:r>
        <w:rPr>
          <w:rFonts w:hint="eastAsia" w:ascii="仿宋_GB2312" w:hAnsi="Calibri"/>
          <w:szCs w:val="30"/>
        </w:rPr>
        <w:t>表-3：绩效得分总体情况</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tbl>
      <w:tblPr>
        <w:tblW w:w="8922" w:type="dxa"/>
        <w:tblInd w:w="25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4"/>
        <w:gridCol w:w="2275"/>
        <w:gridCol w:w="2334"/>
        <w:gridCol w:w="19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tblHeader/>
        </w:trPr>
        <w:tc>
          <w:tcPr>
            <w:tcW w:w="23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指标</w:t>
            </w:r>
          </w:p>
        </w:tc>
        <w:tc>
          <w:tcPr>
            <w:tcW w:w="227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分值</w:t>
            </w:r>
          </w:p>
        </w:tc>
        <w:tc>
          <w:tcPr>
            <w:tcW w:w="2334"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w:t>
            </w:r>
          </w:p>
        </w:tc>
        <w:tc>
          <w:tcPr>
            <w:tcW w:w="1959"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8" w:hRule="atLeast"/>
        </w:trPr>
        <w:tc>
          <w:tcPr>
            <w:tcW w:w="2354"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项目决策</w:t>
            </w:r>
          </w:p>
        </w:tc>
        <w:tc>
          <w:tcPr>
            <w:tcW w:w="2275" w:type="dxa"/>
            <w:tcBorders>
              <w:top w:val="nil"/>
              <w:left w:val="nil"/>
              <w:bottom w:val="single" w:color="auto" w:sz="4" w:space="0"/>
              <w:right w:val="single" w:color="auto" w:sz="4" w:space="0"/>
            </w:tcBorders>
            <w:vAlign w:val="center"/>
          </w:tcPr>
          <w:p>
            <w:pPr>
              <w:widowControl/>
              <w:jc w:val="center"/>
              <w:textAlignment w:val="bottom"/>
              <w:rPr>
                <w:rFonts w:ascii="仿宋_GB2312" w:hAnsi="Times New Roman"/>
                <w:color w:val="000000"/>
                <w:kern w:val="0"/>
                <w:sz w:val="22"/>
                <w:szCs w:val="22"/>
              </w:rPr>
            </w:pPr>
            <w:r>
              <w:rPr>
                <w:rFonts w:hint="eastAsia" w:ascii="仿宋_GB2312" w:hAnsi="宋体" w:cs="仿宋_GB2312"/>
                <w:color w:val="000000"/>
                <w:kern w:val="0"/>
                <w:sz w:val="22"/>
                <w:szCs w:val="22"/>
                <w:lang/>
              </w:rPr>
              <w:t>15</w:t>
            </w:r>
          </w:p>
        </w:tc>
        <w:tc>
          <w:tcPr>
            <w:tcW w:w="2334"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color w:val="000000"/>
                <w:kern w:val="0"/>
                <w:sz w:val="22"/>
                <w:szCs w:val="22"/>
              </w:rPr>
            </w:pPr>
            <w:r>
              <w:rPr>
                <w:rFonts w:hint="eastAsia" w:ascii="仿宋_GB2312" w:hAnsi="宋体" w:cs="仿宋_GB2312"/>
                <w:color w:val="000000"/>
                <w:kern w:val="0"/>
                <w:sz w:val="22"/>
                <w:szCs w:val="22"/>
                <w:lang/>
              </w:rPr>
              <w:t>10</w:t>
            </w:r>
          </w:p>
        </w:tc>
        <w:tc>
          <w:tcPr>
            <w:tcW w:w="1959"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color w:val="000000"/>
                <w:kern w:val="0"/>
                <w:sz w:val="22"/>
                <w:szCs w:val="22"/>
              </w:rPr>
            </w:pPr>
            <w:r>
              <w:rPr>
                <w:rFonts w:hint="eastAsia" w:ascii="仿宋_GB2312" w:hAnsi="宋体" w:cs="仿宋_GB2312"/>
                <w:color w:val="000000"/>
                <w:kern w:val="0"/>
                <w:sz w:val="22"/>
                <w:szCs w:val="22"/>
                <w:lang/>
              </w:rPr>
              <w:t>66.67%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8" w:hRule="atLeast"/>
        </w:trPr>
        <w:tc>
          <w:tcPr>
            <w:tcW w:w="2354"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项目过程</w:t>
            </w:r>
          </w:p>
        </w:tc>
        <w:tc>
          <w:tcPr>
            <w:tcW w:w="2275" w:type="dxa"/>
            <w:tcBorders>
              <w:top w:val="nil"/>
              <w:left w:val="nil"/>
              <w:bottom w:val="single" w:color="auto" w:sz="4" w:space="0"/>
              <w:right w:val="single" w:color="auto" w:sz="4" w:space="0"/>
            </w:tcBorders>
            <w:vAlign w:val="center"/>
          </w:tcPr>
          <w:p>
            <w:pPr>
              <w:widowControl/>
              <w:jc w:val="center"/>
              <w:textAlignment w:val="bottom"/>
              <w:rPr>
                <w:rFonts w:ascii="仿宋_GB2312" w:hAnsi="Times New Roman"/>
                <w:color w:val="000000"/>
                <w:kern w:val="0"/>
                <w:sz w:val="22"/>
                <w:szCs w:val="22"/>
              </w:rPr>
            </w:pPr>
            <w:r>
              <w:rPr>
                <w:rFonts w:hint="eastAsia" w:ascii="仿宋_GB2312" w:hAnsi="宋体" w:cs="仿宋_GB2312"/>
                <w:color w:val="000000"/>
                <w:kern w:val="0"/>
                <w:sz w:val="22"/>
                <w:szCs w:val="22"/>
                <w:lang/>
              </w:rPr>
              <w:t>20</w:t>
            </w:r>
          </w:p>
        </w:tc>
        <w:tc>
          <w:tcPr>
            <w:tcW w:w="2334"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eastAsia="仿宋_GB2312"/>
                <w:color w:val="000000"/>
                <w:kern w:val="0"/>
                <w:sz w:val="22"/>
                <w:szCs w:val="22"/>
                <w:lang w:eastAsia="zh-CN"/>
              </w:rPr>
            </w:pPr>
            <w:r>
              <w:rPr>
                <w:rFonts w:hint="eastAsia" w:ascii="仿宋_GB2312" w:hAnsi="宋体" w:cs="仿宋_GB2312"/>
                <w:color w:val="000000"/>
                <w:kern w:val="0"/>
                <w:sz w:val="22"/>
                <w:szCs w:val="22"/>
                <w:lang/>
              </w:rPr>
              <w:t>1</w:t>
            </w:r>
            <w:r>
              <w:rPr>
                <w:rFonts w:hint="eastAsia" w:ascii="仿宋_GB2312" w:hAnsi="宋体" w:cs="仿宋_GB2312"/>
                <w:color w:val="000000"/>
                <w:kern w:val="0"/>
                <w:sz w:val="22"/>
                <w:szCs w:val="22"/>
                <w:lang w:val="en-US" w:eastAsia="zh-CN"/>
              </w:rPr>
              <w:t>8</w:t>
            </w:r>
          </w:p>
        </w:tc>
        <w:tc>
          <w:tcPr>
            <w:tcW w:w="1959"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color w:val="000000"/>
                <w:kern w:val="0"/>
                <w:sz w:val="22"/>
                <w:szCs w:val="22"/>
              </w:rPr>
            </w:pPr>
            <w:r>
              <w:rPr>
                <w:rFonts w:hint="eastAsia" w:ascii="仿宋_GB2312" w:hAnsi="宋体" w:cs="仿宋_GB2312"/>
                <w:color w:val="000000"/>
                <w:kern w:val="0"/>
                <w:sz w:val="22"/>
                <w:szCs w:val="22"/>
                <w:lang w:val="en-US" w:eastAsia="zh-CN"/>
              </w:rPr>
              <w:t>9</w:t>
            </w:r>
            <w:r>
              <w:rPr>
                <w:rFonts w:hint="eastAsia" w:ascii="仿宋_GB2312" w:hAnsi="宋体" w:cs="仿宋_GB2312"/>
                <w:color w:val="000000"/>
                <w:kern w:val="0"/>
                <w:sz w:val="22"/>
                <w:szCs w:val="22"/>
                <w:lang/>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8" w:hRule="atLeast"/>
        </w:trPr>
        <w:tc>
          <w:tcPr>
            <w:tcW w:w="2354"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项目产出</w:t>
            </w:r>
          </w:p>
        </w:tc>
        <w:tc>
          <w:tcPr>
            <w:tcW w:w="2275" w:type="dxa"/>
            <w:tcBorders>
              <w:top w:val="nil"/>
              <w:left w:val="nil"/>
              <w:bottom w:val="single" w:color="auto" w:sz="4" w:space="0"/>
              <w:right w:val="single" w:color="auto" w:sz="4" w:space="0"/>
            </w:tcBorders>
            <w:vAlign w:val="center"/>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32</w:t>
            </w:r>
          </w:p>
        </w:tc>
        <w:tc>
          <w:tcPr>
            <w:tcW w:w="2334"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32</w:t>
            </w:r>
          </w:p>
        </w:tc>
        <w:tc>
          <w:tcPr>
            <w:tcW w:w="1959"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trPr>
        <w:tc>
          <w:tcPr>
            <w:tcW w:w="2354" w:type="dxa"/>
            <w:tcBorders>
              <w:top w:val="nil"/>
              <w:left w:val="single" w:color="auto" w:sz="4" w:space="0"/>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项目效益</w:t>
            </w:r>
          </w:p>
        </w:tc>
        <w:tc>
          <w:tcPr>
            <w:tcW w:w="2275" w:type="dxa"/>
            <w:tcBorders>
              <w:top w:val="nil"/>
              <w:left w:val="nil"/>
              <w:bottom w:val="single" w:color="auto" w:sz="4" w:space="0"/>
              <w:right w:val="single" w:color="auto" w:sz="4" w:space="0"/>
            </w:tcBorders>
            <w:vAlign w:val="center"/>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33</w:t>
            </w:r>
          </w:p>
        </w:tc>
        <w:tc>
          <w:tcPr>
            <w:tcW w:w="2334"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28</w:t>
            </w:r>
          </w:p>
        </w:tc>
        <w:tc>
          <w:tcPr>
            <w:tcW w:w="1959"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ahoma" w:cs="仿宋_GB2312"/>
                <w:color w:val="000000"/>
                <w:kern w:val="0"/>
                <w:sz w:val="22"/>
                <w:szCs w:val="22"/>
                <w:lang/>
              </w:rPr>
            </w:pPr>
            <w:r>
              <w:rPr>
                <w:rFonts w:hint="eastAsia" w:ascii="仿宋_GB2312" w:hAnsi="宋体" w:cs="仿宋_GB2312"/>
                <w:color w:val="000000"/>
                <w:kern w:val="0"/>
                <w:sz w:val="22"/>
                <w:szCs w:val="22"/>
                <w:lang/>
              </w:rPr>
              <w:t>84.85%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8" w:hRule="atLeast"/>
        </w:trPr>
        <w:tc>
          <w:tcPr>
            <w:tcW w:w="2354"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合计</w:t>
            </w:r>
          </w:p>
        </w:tc>
        <w:tc>
          <w:tcPr>
            <w:tcW w:w="2275" w:type="dxa"/>
            <w:tcBorders>
              <w:top w:val="nil"/>
              <w:left w:val="nil"/>
              <w:bottom w:val="single" w:color="auto" w:sz="4" w:space="0"/>
              <w:right w:val="single" w:color="auto" w:sz="4" w:space="0"/>
            </w:tcBorders>
            <w:vAlign w:val="center"/>
          </w:tcPr>
          <w:p>
            <w:pPr>
              <w:widowControl/>
              <w:jc w:val="center"/>
              <w:textAlignment w:val="bottom"/>
              <w:rPr>
                <w:rFonts w:ascii="仿宋_GB2312" w:hAnsi="Times New Roman"/>
                <w:b/>
                <w:bCs/>
                <w:color w:val="000000"/>
                <w:kern w:val="0"/>
                <w:sz w:val="22"/>
                <w:szCs w:val="22"/>
              </w:rPr>
            </w:pPr>
            <w:r>
              <w:rPr>
                <w:rFonts w:hint="eastAsia" w:ascii="仿宋_GB2312" w:hAnsi="宋体" w:cs="仿宋_GB2312"/>
                <w:b/>
                <w:bCs/>
                <w:color w:val="000000"/>
                <w:kern w:val="0"/>
                <w:sz w:val="24"/>
                <w:lang/>
              </w:rPr>
              <w:t>100</w:t>
            </w:r>
          </w:p>
        </w:tc>
        <w:tc>
          <w:tcPr>
            <w:tcW w:w="2334"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eastAsia="仿宋_GB2312"/>
                <w:b/>
                <w:bCs/>
                <w:color w:val="000000"/>
                <w:kern w:val="0"/>
                <w:sz w:val="22"/>
                <w:szCs w:val="22"/>
                <w:lang w:eastAsia="zh-CN"/>
              </w:rPr>
            </w:pPr>
            <w:r>
              <w:rPr>
                <w:rFonts w:hint="eastAsia" w:ascii="仿宋_GB2312" w:hAnsi="宋体" w:cs="仿宋_GB2312"/>
                <w:b/>
                <w:bCs/>
                <w:color w:val="000000"/>
                <w:kern w:val="0"/>
                <w:sz w:val="22"/>
                <w:szCs w:val="22"/>
                <w:lang/>
              </w:rPr>
              <w:t>8</w:t>
            </w:r>
            <w:r>
              <w:rPr>
                <w:rFonts w:hint="eastAsia" w:ascii="仿宋_GB2312" w:hAnsi="宋体" w:cs="仿宋_GB2312"/>
                <w:b/>
                <w:bCs/>
                <w:color w:val="000000"/>
                <w:kern w:val="0"/>
                <w:sz w:val="22"/>
                <w:szCs w:val="22"/>
                <w:lang w:val="en-US" w:eastAsia="zh-CN"/>
              </w:rPr>
              <w:t>8</w:t>
            </w:r>
          </w:p>
        </w:tc>
        <w:tc>
          <w:tcPr>
            <w:tcW w:w="1959" w:type="dxa"/>
            <w:tcBorders>
              <w:top w:val="nil"/>
              <w:left w:val="nil"/>
              <w:bottom w:val="single" w:color="auto" w:sz="4" w:space="0"/>
              <w:right w:val="single" w:color="auto" w:sz="4" w:space="0"/>
            </w:tcBorders>
            <w:vAlign w:val="bottom"/>
          </w:tcPr>
          <w:p>
            <w:pPr>
              <w:widowControl/>
              <w:jc w:val="center"/>
              <w:textAlignment w:val="bottom"/>
              <w:rPr>
                <w:rFonts w:hint="eastAsia" w:ascii="仿宋_GB2312" w:hAnsi="Times New Roman"/>
                <w:b/>
                <w:bCs/>
                <w:color w:val="000000"/>
                <w:kern w:val="0"/>
                <w:sz w:val="22"/>
                <w:szCs w:val="22"/>
              </w:rPr>
            </w:pPr>
            <w:r>
              <w:rPr>
                <w:rFonts w:hint="eastAsia" w:ascii="仿宋_GB2312" w:hAnsi="宋体" w:cs="仿宋_GB2312"/>
                <w:b/>
                <w:bCs/>
                <w:color w:val="000000"/>
                <w:kern w:val="0"/>
                <w:sz w:val="22"/>
                <w:szCs w:val="22"/>
                <w:lang/>
              </w:rPr>
              <w:t>8</w:t>
            </w:r>
            <w:r>
              <w:rPr>
                <w:rFonts w:hint="eastAsia" w:ascii="仿宋_GB2312" w:hAnsi="宋体" w:cs="仿宋_GB2312"/>
                <w:b/>
                <w:bCs/>
                <w:color w:val="000000"/>
                <w:kern w:val="0"/>
                <w:sz w:val="22"/>
                <w:szCs w:val="22"/>
                <w:lang w:val="en-US" w:eastAsia="zh-CN"/>
              </w:rPr>
              <w:t>8</w:t>
            </w:r>
            <w:r>
              <w:rPr>
                <w:rFonts w:hint="eastAsia" w:ascii="仿宋_GB2312" w:hAnsi="宋体" w:cs="仿宋_GB2312"/>
                <w:b/>
                <w:bCs/>
                <w:color w:val="000000"/>
                <w:kern w:val="0"/>
                <w:sz w:val="22"/>
                <w:szCs w:val="22"/>
                <w:lang/>
              </w:rPr>
              <w:t>.00%</w:t>
            </w:r>
          </w:p>
        </w:tc>
      </w:tr>
    </w:tbl>
    <w:p>
      <w:pPr>
        <w:pStyle w:val="19"/>
        <w:ind w:firstLine="400" w:firstLineChars="200"/>
        <w:jc w:val="center"/>
        <w:rPr>
          <w:rFonts w:ascii="仿宋_GB2312" w:hAnsi="Calibri"/>
          <w:szCs w:val="30"/>
        </w:rPr>
      </w:pPr>
      <w:bookmarkStart w:id="430" w:name="_Toc30331"/>
      <w:bookmarkStart w:id="431" w:name="_Toc11888"/>
      <w:bookmarkStart w:id="432" w:name="_Toc32726"/>
      <w:bookmarkStart w:id="433" w:name="_Toc23396"/>
      <w:bookmarkStart w:id="434" w:name="_Toc6046"/>
      <w:bookmarkStart w:id="435" w:name="_Toc1677"/>
      <w:bookmarkStart w:id="436" w:name="_Toc12198"/>
      <w:bookmarkStart w:id="437" w:name="_Toc7076"/>
      <w:bookmarkStart w:id="438" w:name="_Toc19666"/>
      <w:bookmarkStart w:id="439" w:name="_Toc5033"/>
      <w:bookmarkStart w:id="440" w:name="_Toc10709"/>
      <w:bookmarkStart w:id="441" w:name="_Toc23712"/>
      <w:bookmarkStart w:id="442" w:name="_Toc25308"/>
      <w:bookmarkStart w:id="443" w:name="_Toc25810"/>
      <w:bookmarkStart w:id="444" w:name="_Toc32582"/>
      <w:bookmarkStart w:id="445" w:name="_Toc29077"/>
      <w:bookmarkStart w:id="446" w:name="_Toc5555"/>
      <w:bookmarkStart w:id="447" w:name="_Toc25416"/>
      <w:r>
        <w:rPr>
          <w:rFonts w:hint="eastAsia" w:ascii="仿宋_GB2312" w:hAnsi="Calibri"/>
          <w:szCs w:val="30"/>
        </w:rPr>
        <w:t>表-4 指标分值表</w:t>
      </w:r>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tbl>
      <w:tblPr>
        <w:tblW w:w="8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2023"/>
        <w:gridCol w:w="3233"/>
        <w:gridCol w:w="944"/>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 w:hRule="atLeast"/>
          <w:tblHeader/>
          <w:jc w:val="center"/>
        </w:trPr>
        <w:tc>
          <w:tcPr>
            <w:tcW w:w="1577" w:type="dxa"/>
            <w:shd w:val="clear" w:color="auto" w:fill="FFFFFF"/>
            <w:vAlign w:val="center"/>
          </w:tcPr>
          <w:p>
            <w:pPr>
              <w:widowControl/>
              <w:jc w:val="center"/>
              <w:rPr>
                <w:rFonts w:ascii="仿宋" w:hAnsi="仿宋" w:cs="宋体"/>
                <w:b/>
                <w:bCs/>
                <w:color w:val="000000"/>
                <w:kern w:val="0"/>
                <w:sz w:val="24"/>
              </w:rPr>
            </w:pPr>
            <w:r>
              <w:rPr>
                <w:rFonts w:hint="eastAsia" w:ascii="仿宋" w:hAnsi="仿宋" w:cs="宋体"/>
                <w:b/>
                <w:bCs/>
                <w:color w:val="000000"/>
                <w:kern w:val="0"/>
                <w:sz w:val="24"/>
              </w:rPr>
              <w:t>一级指标</w:t>
            </w:r>
          </w:p>
        </w:tc>
        <w:tc>
          <w:tcPr>
            <w:tcW w:w="2023" w:type="dxa"/>
            <w:shd w:val="clear" w:color="auto" w:fill="FFFFFF"/>
            <w:vAlign w:val="center"/>
          </w:tcPr>
          <w:p>
            <w:pPr>
              <w:widowControl/>
              <w:jc w:val="center"/>
              <w:rPr>
                <w:rFonts w:ascii="仿宋" w:hAnsi="仿宋" w:cs="宋体"/>
                <w:b/>
                <w:bCs/>
                <w:color w:val="000000"/>
                <w:kern w:val="0"/>
                <w:sz w:val="24"/>
              </w:rPr>
            </w:pPr>
            <w:r>
              <w:rPr>
                <w:rFonts w:hint="eastAsia" w:ascii="仿宋" w:hAnsi="仿宋" w:cs="宋体"/>
                <w:b/>
                <w:bCs/>
                <w:color w:val="000000"/>
                <w:kern w:val="0"/>
                <w:sz w:val="24"/>
              </w:rPr>
              <w:t>二级指标</w:t>
            </w:r>
          </w:p>
        </w:tc>
        <w:tc>
          <w:tcPr>
            <w:tcW w:w="3233" w:type="dxa"/>
            <w:shd w:val="clear" w:color="auto" w:fill="FFFFFF"/>
            <w:vAlign w:val="center"/>
          </w:tcPr>
          <w:p>
            <w:pPr>
              <w:widowControl/>
              <w:jc w:val="center"/>
              <w:rPr>
                <w:rFonts w:ascii="仿宋" w:hAnsi="仿宋" w:cs="宋体"/>
                <w:b/>
                <w:bCs/>
                <w:color w:val="000000"/>
                <w:kern w:val="0"/>
                <w:sz w:val="24"/>
              </w:rPr>
            </w:pPr>
            <w:r>
              <w:rPr>
                <w:rFonts w:hint="eastAsia" w:ascii="仿宋" w:hAnsi="仿宋" w:cs="宋体"/>
                <w:b/>
                <w:bCs/>
                <w:color w:val="000000"/>
                <w:kern w:val="0"/>
                <w:sz w:val="24"/>
              </w:rPr>
              <w:t>三级指标</w:t>
            </w:r>
          </w:p>
        </w:tc>
        <w:tc>
          <w:tcPr>
            <w:tcW w:w="944" w:type="dxa"/>
            <w:shd w:val="clear" w:color="auto" w:fill="FFFFFF"/>
            <w:vAlign w:val="center"/>
          </w:tcPr>
          <w:p>
            <w:pPr>
              <w:widowControl/>
              <w:jc w:val="center"/>
              <w:rPr>
                <w:rFonts w:ascii="仿宋" w:hAnsi="仿宋" w:cs="宋体"/>
                <w:b/>
                <w:bCs/>
                <w:color w:val="000000"/>
                <w:kern w:val="0"/>
                <w:sz w:val="24"/>
              </w:rPr>
            </w:pPr>
            <w:r>
              <w:rPr>
                <w:rFonts w:hint="eastAsia" w:ascii="仿宋" w:hAnsi="仿宋" w:cs="宋体"/>
                <w:b/>
                <w:bCs/>
                <w:color w:val="000000"/>
                <w:kern w:val="0"/>
                <w:sz w:val="24"/>
              </w:rPr>
              <w:t>权重</w:t>
            </w:r>
          </w:p>
        </w:tc>
        <w:tc>
          <w:tcPr>
            <w:tcW w:w="955" w:type="dxa"/>
            <w:shd w:val="clear" w:color="auto" w:fill="FFFFFF"/>
            <w:vAlign w:val="center"/>
          </w:tcPr>
          <w:p>
            <w:pPr>
              <w:widowControl/>
              <w:jc w:val="center"/>
              <w:rPr>
                <w:rFonts w:ascii="仿宋" w:hAnsi="仿宋" w:cs="宋体"/>
                <w:b/>
                <w:bCs/>
                <w:color w:val="000000"/>
                <w:kern w:val="0"/>
                <w:sz w:val="24"/>
              </w:rPr>
            </w:pPr>
            <w:r>
              <w:rPr>
                <w:rFonts w:hint="eastAsia" w:ascii="仿宋" w:hAnsi="仿宋" w:cs="宋体"/>
                <w:b/>
                <w:bCs/>
                <w:color w:val="000000"/>
                <w:kern w:val="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1577"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A项目决策</w:t>
            </w:r>
          </w:p>
        </w:tc>
        <w:tc>
          <w:tcPr>
            <w:tcW w:w="2023" w:type="dxa"/>
            <w:vAlign w:val="center"/>
          </w:tcPr>
          <w:p>
            <w:pPr>
              <w:widowControl/>
              <w:jc w:val="center"/>
              <w:rPr>
                <w:rFonts w:ascii="仿宋_GB2312" w:hAnsi="Times New Roman"/>
                <w:color w:val="000000"/>
                <w:kern w:val="0"/>
                <w:sz w:val="24"/>
              </w:rPr>
            </w:pPr>
            <w:r>
              <w:rPr>
                <w:rFonts w:hint="eastAsia" w:ascii="仿宋_GB2312" w:hAnsi="Times New Roman"/>
                <w:color w:val="000000"/>
                <w:kern w:val="0"/>
                <w:sz w:val="24"/>
              </w:rPr>
              <w:t>A1立项依据</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A11项目立项充分性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4</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A2绩效目标</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A21绩效目标合理性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3</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left"/>
              <w:rPr>
                <w:rFonts w:hint="eastAsia" w:ascii="仿宋_GB2312" w:hAnsi="Times New Roman"/>
                <w:color w:val="000000"/>
                <w:kern w:val="0"/>
                <w:sz w:val="24"/>
              </w:rPr>
            </w:pPr>
          </w:p>
        </w:tc>
        <w:tc>
          <w:tcPr>
            <w:tcW w:w="2023" w:type="dxa"/>
            <w:vMerge w:val="continue"/>
            <w:vAlign w:val="center"/>
          </w:tcPr>
          <w:p>
            <w:pPr>
              <w:widowControl/>
              <w:jc w:val="left"/>
              <w:rPr>
                <w:rFonts w:hint="eastAsia" w:ascii="仿宋_GB2312" w:hAnsi="Times New Roman"/>
                <w:color w:val="000000"/>
                <w:kern w:val="0"/>
                <w:sz w:val="24"/>
              </w:rPr>
            </w:pPr>
          </w:p>
        </w:tc>
        <w:tc>
          <w:tcPr>
            <w:tcW w:w="3233" w:type="dxa"/>
            <w:vAlign w:val="center"/>
          </w:tcPr>
          <w:p>
            <w:pPr>
              <w:widowControl/>
              <w:jc w:val="left"/>
              <w:rPr>
                <w:rFonts w:ascii="仿宋_GB2312" w:hAnsi="Times New Roman"/>
                <w:color w:val="000000"/>
                <w:kern w:val="0"/>
                <w:sz w:val="24"/>
              </w:rPr>
            </w:pPr>
            <w:r>
              <w:rPr>
                <w:rFonts w:hint="eastAsia" w:ascii="仿宋_GB2312" w:hAnsi="Times New Roman"/>
                <w:color w:val="000000"/>
                <w:kern w:val="0"/>
                <w:sz w:val="24"/>
              </w:rPr>
              <w:t>A22绩效指标明确性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left"/>
              <w:rPr>
                <w:rFonts w:hint="eastAsia" w:ascii="仿宋_GB2312" w:hAnsi="Times New Roman"/>
                <w:color w:val="000000"/>
                <w:kern w:val="0"/>
                <w:sz w:val="24"/>
              </w:rPr>
            </w:pPr>
          </w:p>
        </w:tc>
        <w:tc>
          <w:tcPr>
            <w:tcW w:w="2023"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A3资金投入</w:t>
            </w:r>
          </w:p>
        </w:tc>
        <w:tc>
          <w:tcPr>
            <w:tcW w:w="3233" w:type="dxa"/>
            <w:vAlign w:val="center"/>
          </w:tcPr>
          <w:p>
            <w:pPr>
              <w:widowControl/>
              <w:jc w:val="left"/>
              <w:rPr>
                <w:rFonts w:ascii="仿宋_GB2312" w:hAnsi="Times New Roman"/>
                <w:color w:val="000000"/>
                <w:kern w:val="0"/>
                <w:sz w:val="24"/>
              </w:rPr>
            </w:pPr>
            <w:r>
              <w:rPr>
                <w:rFonts w:hint="eastAsia" w:ascii="仿宋_GB2312" w:hAnsi="Times New Roman"/>
                <w:color w:val="000000"/>
                <w:kern w:val="0"/>
                <w:sz w:val="24"/>
              </w:rPr>
              <w:t>A31预算编制科学性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3</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left"/>
              <w:rPr>
                <w:rFonts w:hint="eastAsia" w:ascii="仿宋_GB2312" w:hAnsi="Times New Roman"/>
                <w:color w:val="000000"/>
                <w:kern w:val="0"/>
                <w:sz w:val="24"/>
              </w:rPr>
            </w:pPr>
          </w:p>
        </w:tc>
        <w:tc>
          <w:tcPr>
            <w:tcW w:w="2023" w:type="dxa"/>
            <w:vMerge w:val="continue"/>
            <w:vAlign w:val="center"/>
          </w:tcPr>
          <w:p>
            <w:pPr>
              <w:widowControl/>
              <w:jc w:val="center"/>
              <w:rPr>
                <w:rFonts w:hint="eastAsia" w:ascii="仿宋_GB2312" w:hAnsi="Times New Roman"/>
                <w:color w:val="000000"/>
                <w:kern w:val="0"/>
                <w:sz w:val="24"/>
              </w:rPr>
            </w:pP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A32资金分配合理性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3</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 w:hRule="atLeast"/>
          <w:jc w:val="center"/>
        </w:trPr>
        <w:tc>
          <w:tcPr>
            <w:tcW w:w="3600" w:type="dxa"/>
            <w:gridSpan w:val="2"/>
            <w:vAlign w:val="center"/>
          </w:tcPr>
          <w:p>
            <w:pPr>
              <w:widowControl/>
              <w:jc w:val="center"/>
              <w:rPr>
                <w:rFonts w:ascii="仿宋" w:hAnsi="仿宋" w:cs="Calibri"/>
                <w:b/>
                <w:color w:val="000000"/>
                <w:kern w:val="0"/>
                <w:sz w:val="24"/>
              </w:rPr>
            </w:pPr>
            <w:r>
              <w:rPr>
                <w:rFonts w:hint="eastAsia" w:ascii="仿宋" w:hAnsi="仿宋" w:cs="宋体"/>
                <w:b/>
                <w:color w:val="000000"/>
                <w:kern w:val="0"/>
                <w:sz w:val="24"/>
              </w:rPr>
              <w:t>小计</w:t>
            </w:r>
          </w:p>
        </w:tc>
        <w:tc>
          <w:tcPr>
            <w:tcW w:w="3233" w:type="dxa"/>
            <w:vAlign w:val="center"/>
          </w:tcPr>
          <w:p>
            <w:pPr>
              <w:widowControl/>
              <w:jc w:val="center"/>
              <w:rPr>
                <w:rFonts w:ascii="仿宋" w:hAnsi="仿宋" w:cs="宋体"/>
                <w:b/>
                <w:color w:val="000000"/>
                <w:kern w:val="0"/>
                <w:sz w:val="24"/>
              </w:rPr>
            </w:pPr>
          </w:p>
        </w:tc>
        <w:tc>
          <w:tcPr>
            <w:tcW w:w="944" w:type="dxa"/>
            <w:vAlign w:val="center"/>
          </w:tcPr>
          <w:p>
            <w:pPr>
              <w:widowControl/>
              <w:jc w:val="center"/>
              <w:textAlignment w:val="bottom"/>
              <w:rPr>
                <w:rFonts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15</w:t>
            </w:r>
          </w:p>
        </w:tc>
        <w:tc>
          <w:tcPr>
            <w:tcW w:w="955" w:type="dxa"/>
            <w:vAlign w:val="center"/>
          </w:tcPr>
          <w:p>
            <w:pPr>
              <w:widowControl/>
              <w:jc w:val="center"/>
              <w:textAlignment w:val="bottom"/>
              <w:rPr>
                <w:rFonts w:hint="eastAsia"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widowControl/>
              <w:jc w:val="center"/>
              <w:rPr>
                <w:rFonts w:ascii="仿宋_GB2312" w:hAnsi="Times New Roman"/>
                <w:color w:val="000000"/>
                <w:kern w:val="0"/>
                <w:sz w:val="24"/>
              </w:rPr>
            </w:pPr>
            <w:r>
              <w:rPr>
                <w:rFonts w:hint="eastAsia" w:ascii="仿宋_GB2312" w:hAnsi="Times New Roman"/>
                <w:color w:val="000000"/>
                <w:kern w:val="0"/>
                <w:sz w:val="24"/>
              </w:rPr>
              <w:t>B项目过程</w:t>
            </w:r>
          </w:p>
        </w:tc>
        <w:tc>
          <w:tcPr>
            <w:tcW w:w="2023"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B1资金管理</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B11预算执行率</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eastAsia="仿宋_GB2312" w:cs="仿宋_GB2312"/>
                <w:color w:val="000000"/>
                <w:kern w:val="0"/>
                <w:sz w:val="22"/>
                <w:szCs w:val="22"/>
                <w:lang w:eastAsia="zh-CN"/>
              </w:rPr>
            </w:pPr>
            <w:r>
              <w:rPr>
                <w:rFonts w:hint="eastAsia" w:ascii="仿宋_GB2312" w:hAnsi="Tahoma" w:cs="仿宋_GB2312"/>
                <w:color w:val="000000"/>
                <w:kern w:val="0"/>
                <w:sz w:val="22"/>
                <w:szCs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Merge w:val="continue"/>
            <w:vAlign w:val="center"/>
          </w:tcPr>
          <w:p>
            <w:pPr>
              <w:widowControl/>
              <w:jc w:val="center"/>
              <w:rPr>
                <w:rFonts w:hint="eastAsia" w:ascii="仿宋_GB2312" w:hAnsi="Times New Roman"/>
                <w:color w:val="000000"/>
                <w:kern w:val="0"/>
                <w:sz w:val="24"/>
              </w:rPr>
            </w:pP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B11资金使用合规性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6</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B2组织实施</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B21制度健全性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left"/>
              <w:rPr>
                <w:rFonts w:hint="eastAsia" w:ascii="仿宋_GB2312" w:hAnsi="Times New Roman"/>
                <w:color w:val="000000"/>
                <w:kern w:val="0"/>
                <w:sz w:val="24"/>
              </w:rPr>
            </w:pPr>
          </w:p>
        </w:tc>
        <w:tc>
          <w:tcPr>
            <w:tcW w:w="2023" w:type="dxa"/>
            <w:vMerge w:val="continue"/>
            <w:vAlign w:val="center"/>
          </w:tcPr>
          <w:p>
            <w:pPr>
              <w:widowControl/>
              <w:jc w:val="left"/>
              <w:rPr>
                <w:rFonts w:hint="eastAsia" w:ascii="仿宋_GB2312" w:hAnsi="Times New Roman"/>
                <w:color w:val="000000"/>
                <w:kern w:val="0"/>
                <w:sz w:val="24"/>
              </w:rPr>
            </w:pP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B22执行有效性</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4</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600" w:type="dxa"/>
            <w:gridSpan w:val="2"/>
            <w:vAlign w:val="center"/>
          </w:tcPr>
          <w:p>
            <w:pPr>
              <w:widowControl/>
              <w:jc w:val="center"/>
              <w:rPr>
                <w:rFonts w:ascii="仿宋" w:hAnsi="仿宋" w:cs="宋体"/>
                <w:b/>
                <w:color w:val="000000"/>
                <w:kern w:val="0"/>
                <w:sz w:val="24"/>
              </w:rPr>
            </w:pPr>
            <w:r>
              <w:rPr>
                <w:rFonts w:hint="eastAsia" w:ascii="仿宋" w:hAnsi="仿宋" w:cs="宋体"/>
                <w:b/>
                <w:color w:val="000000"/>
                <w:kern w:val="0"/>
                <w:sz w:val="24"/>
              </w:rPr>
              <w:t>小计</w:t>
            </w:r>
          </w:p>
        </w:tc>
        <w:tc>
          <w:tcPr>
            <w:tcW w:w="3233" w:type="dxa"/>
            <w:vAlign w:val="center"/>
          </w:tcPr>
          <w:p>
            <w:pPr>
              <w:widowControl/>
              <w:jc w:val="center"/>
              <w:rPr>
                <w:rFonts w:ascii="仿宋" w:hAnsi="仿宋" w:cs="宋体"/>
                <w:b/>
                <w:color w:val="000000"/>
                <w:kern w:val="0"/>
                <w:sz w:val="24"/>
              </w:rPr>
            </w:pPr>
          </w:p>
        </w:tc>
        <w:tc>
          <w:tcPr>
            <w:tcW w:w="944" w:type="dxa"/>
            <w:vAlign w:val="center"/>
          </w:tcPr>
          <w:p>
            <w:pPr>
              <w:widowControl/>
              <w:jc w:val="center"/>
              <w:textAlignment w:val="bottom"/>
              <w:rPr>
                <w:rFonts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20</w:t>
            </w:r>
          </w:p>
        </w:tc>
        <w:tc>
          <w:tcPr>
            <w:tcW w:w="955" w:type="dxa"/>
            <w:vAlign w:val="center"/>
          </w:tcPr>
          <w:p>
            <w:pPr>
              <w:widowControl/>
              <w:jc w:val="center"/>
              <w:textAlignment w:val="bottom"/>
              <w:rPr>
                <w:rFonts w:hint="eastAsia" w:ascii="仿宋_GB2312" w:hAnsi="Tahoma" w:eastAsia="仿宋_GB2312" w:cs="仿宋_GB2312"/>
                <w:b/>
                <w:bCs/>
                <w:color w:val="000000"/>
                <w:kern w:val="0"/>
                <w:sz w:val="22"/>
                <w:szCs w:val="22"/>
                <w:lang w:eastAsia="zh-CN"/>
              </w:rPr>
            </w:pPr>
            <w:r>
              <w:rPr>
                <w:rFonts w:hint="eastAsia" w:ascii="仿宋_GB2312" w:hAnsi="宋体" w:cs="仿宋_GB2312"/>
                <w:b/>
                <w:bCs/>
                <w:color w:val="000000"/>
                <w:kern w:val="0"/>
                <w:sz w:val="22"/>
                <w:szCs w:val="22"/>
                <w:lang/>
              </w:rPr>
              <w:t>1</w:t>
            </w:r>
            <w:r>
              <w:rPr>
                <w:rFonts w:hint="eastAsia" w:ascii="仿宋_GB2312" w:hAnsi="宋体" w:cs="仿宋_GB2312"/>
                <w:b/>
                <w:bCs/>
                <w:color w:val="000000"/>
                <w:kern w:val="0"/>
                <w:sz w:val="22"/>
                <w:szCs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C项目产出</w:t>
            </w:r>
          </w:p>
        </w:tc>
        <w:tc>
          <w:tcPr>
            <w:tcW w:w="2023" w:type="dxa"/>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C1产出数量</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C11实际完成率</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C2产出质量</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C21质量达标率</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Align w:val="center"/>
          </w:tcPr>
          <w:p>
            <w:pPr>
              <w:widowControl/>
              <w:jc w:val="center"/>
              <w:rPr>
                <w:rFonts w:ascii="仿宋_GB2312" w:hAnsi="Times New Roman"/>
                <w:color w:val="000000"/>
                <w:kern w:val="0"/>
                <w:sz w:val="24"/>
              </w:rPr>
            </w:pPr>
            <w:r>
              <w:rPr>
                <w:rFonts w:hint="eastAsia" w:ascii="仿宋_GB2312" w:hAnsi="Times New Roman"/>
                <w:color w:val="000000"/>
                <w:kern w:val="0"/>
                <w:sz w:val="24"/>
              </w:rPr>
              <w:t>C3产出时效</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C31完成时限符合率</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Align w:val="center"/>
          </w:tcPr>
          <w:p>
            <w:pPr>
              <w:widowControl/>
              <w:jc w:val="center"/>
              <w:rPr>
                <w:rFonts w:ascii="仿宋_GB2312" w:hAnsi="Times New Roman"/>
                <w:color w:val="000000"/>
                <w:kern w:val="0"/>
                <w:sz w:val="24"/>
              </w:rPr>
            </w:pPr>
            <w:r>
              <w:rPr>
                <w:rFonts w:hint="eastAsia" w:ascii="仿宋_GB2312" w:hAnsi="Times New Roman"/>
                <w:color w:val="000000"/>
                <w:kern w:val="0"/>
                <w:sz w:val="24"/>
              </w:rPr>
              <w:t>C4产出成本</w:t>
            </w:r>
          </w:p>
        </w:tc>
        <w:tc>
          <w:tcPr>
            <w:tcW w:w="3233" w:type="dxa"/>
            <w:vAlign w:val="center"/>
          </w:tcPr>
          <w:p>
            <w:pPr>
              <w:widowControl/>
              <w:jc w:val="left"/>
              <w:rPr>
                <w:rFonts w:ascii="仿宋_GB2312" w:hAnsi="Times New Roman"/>
                <w:color w:val="000000"/>
                <w:kern w:val="0"/>
                <w:sz w:val="24"/>
              </w:rPr>
            </w:pPr>
            <w:r>
              <w:rPr>
                <w:rFonts w:hint="eastAsia" w:ascii="仿宋_GB2312" w:hAnsi="Times New Roman"/>
                <w:color w:val="000000"/>
                <w:kern w:val="0"/>
                <w:sz w:val="24"/>
              </w:rPr>
              <w:t>C41成本节约率</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600" w:type="dxa"/>
            <w:gridSpan w:val="2"/>
            <w:vAlign w:val="center"/>
          </w:tcPr>
          <w:p>
            <w:pPr>
              <w:widowControl/>
              <w:jc w:val="center"/>
              <w:rPr>
                <w:rFonts w:ascii="仿宋" w:hAnsi="仿宋" w:cs="宋体"/>
                <w:b/>
                <w:color w:val="000000"/>
                <w:kern w:val="0"/>
                <w:sz w:val="24"/>
              </w:rPr>
            </w:pPr>
            <w:r>
              <w:rPr>
                <w:rFonts w:hint="eastAsia" w:ascii="仿宋" w:hAnsi="仿宋" w:cs="宋体"/>
                <w:b/>
                <w:color w:val="000000"/>
                <w:kern w:val="0"/>
                <w:sz w:val="24"/>
              </w:rPr>
              <w:t>小计</w:t>
            </w:r>
          </w:p>
        </w:tc>
        <w:tc>
          <w:tcPr>
            <w:tcW w:w="3233" w:type="dxa"/>
            <w:vAlign w:val="center"/>
          </w:tcPr>
          <w:p>
            <w:pPr>
              <w:widowControl/>
              <w:jc w:val="center"/>
              <w:rPr>
                <w:rFonts w:ascii="仿宋" w:hAnsi="仿宋" w:cs="宋体"/>
                <w:b/>
                <w:color w:val="000000"/>
                <w:kern w:val="0"/>
                <w:sz w:val="24"/>
              </w:rPr>
            </w:pPr>
          </w:p>
        </w:tc>
        <w:tc>
          <w:tcPr>
            <w:tcW w:w="944" w:type="dxa"/>
            <w:vAlign w:val="center"/>
          </w:tcPr>
          <w:p>
            <w:pPr>
              <w:widowControl/>
              <w:jc w:val="center"/>
              <w:textAlignment w:val="bottom"/>
              <w:rPr>
                <w:rFonts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32</w:t>
            </w:r>
          </w:p>
        </w:tc>
        <w:tc>
          <w:tcPr>
            <w:tcW w:w="955" w:type="dxa"/>
            <w:vAlign w:val="center"/>
          </w:tcPr>
          <w:p>
            <w:pPr>
              <w:widowControl/>
              <w:jc w:val="center"/>
              <w:textAlignment w:val="bottom"/>
              <w:rPr>
                <w:rFonts w:hint="eastAsia"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D项目效益</w:t>
            </w:r>
          </w:p>
        </w:tc>
        <w:tc>
          <w:tcPr>
            <w:tcW w:w="2023" w:type="dxa"/>
            <w:vMerge w:val="restart"/>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D1项目效益</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D11经济效益</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4</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Merge w:val="continue"/>
            <w:vAlign w:val="center"/>
          </w:tcPr>
          <w:p>
            <w:pPr>
              <w:widowControl/>
              <w:jc w:val="center"/>
              <w:rPr>
                <w:rFonts w:hint="eastAsia" w:ascii="仿宋_GB2312" w:hAnsi="Times New Roman"/>
                <w:color w:val="000000"/>
                <w:kern w:val="0"/>
                <w:sz w:val="24"/>
              </w:rPr>
            </w:pP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D12社会效益</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Merge w:val="continue"/>
            <w:vAlign w:val="center"/>
          </w:tcPr>
          <w:p>
            <w:pPr>
              <w:widowControl/>
              <w:jc w:val="center"/>
              <w:rPr>
                <w:rFonts w:hint="eastAsia" w:ascii="仿宋_GB2312" w:hAnsi="Times New Roman"/>
                <w:color w:val="000000"/>
                <w:kern w:val="0"/>
                <w:sz w:val="24"/>
              </w:rPr>
            </w:pP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D13生态效益</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D2可持续影响</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D21可持续影响</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8</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widowControl/>
              <w:jc w:val="center"/>
              <w:rPr>
                <w:rFonts w:hint="eastAsia" w:ascii="仿宋_GB2312" w:hAnsi="Times New Roman"/>
                <w:color w:val="000000"/>
                <w:kern w:val="0"/>
                <w:sz w:val="24"/>
              </w:rPr>
            </w:pPr>
          </w:p>
        </w:tc>
        <w:tc>
          <w:tcPr>
            <w:tcW w:w="2023" w:type="dxa"/>
            <w:vAlign w:val="center"/>
          </w:tcPr>
          <w:p>
            <w:pPr>
              <w:widowControl/>
              <w:jc w:val="center"/>
              <w:rPr>
                <w:rFonts w:hint="eastAsia" w:ascii="仿宋_GB2312" w:hAnsi="Times New Roman"/>
                <w:color w:val="000000"/>
                <w:kern w:val="0"/>
                <w:sz w:val="24"/>
              </w:rPr>
            </w:pPr>
            <w:r>
              <w:rPr>
                <w:rFonts w:hint="eastAsia" w:ascii="仿宋_GB2312" w:hAnsi="Times New Roman"/>
                <w:color w:val="000000"/>
                <w:kern w:val="0"/>
                <w:sz w:val="24"/>
              </w:rPr>
              <w:t>D3满意度</w:t>
            </w:r>
          </w:p>
        </w:tc>
        <w:tc>
          <w:tcPr>
            <w:tcW w:w="3233" w:type="dxa"/>
            <w:vAlign w:val="center"/>
          </w:tcPr>
          <w:p>
            <w:pPr>
              <w:widowControl/>
              <w:jc w:val="left"/>
              <w:rPr>
                <w:rFonts w:hint="eastAsia" w:ascii="仿宋_GB2312" w:hAnsi="Times New Roman"/>
                <w:color w:val="000000"/>
                <w:kern w:val="0"/>
                <w:sz w:val="24"/>
              </w:rPr>
            </w:pPr>
            <w:r>
              <w:rPr>
                <w:rFonts w:hint="eastAsia" w:ascii="仿宋_GB2312" w:hAnsi="Times New Roman"/>
                <w:color w:val="000000"/>
                <w:kern w:val="0"/>
                <w:sz w:val="24"/>
              </w:rPr>
              <w:t>D31服务对象满意度</w:t>
            </w:r>
          </w:p>
        </w:tc>
        <w:tc>
          <w:tcPr>
            <w:tcW w:w="944"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5</w:t>
            </w:r>
          </w:p>
        </w:tc>
        <w:tc>
          <w:tcPr>
            <w:tcW w:w="955" w:type="dxa"/>
            <w:vAlign w:val="center"/>
          </w:tcPr>
          <w:p>
            <w:pPr>
              <w:widowControl/>
              <w:jc w:val="center"/>
              <w:textAlignment w:val="center"/>
              <w:rPr>
                <w:rFonts w:hint="eastAsia" w:ascii="仿宋_GB2312" w:hAnsi="Tahoma" w:cs="仿宋_GB2312"/>
                <w:color w:val="000000"/>
                <w:kern w:val="0"/>
                <w:sz w:val="22"/>
                <w:szCs w:val="22"/>
                <w:lang/>
              </w:rPr>
            </w:pPr>
            <w:r>
              <w:rPr>
                <w:rFonts w:hint="eastAsia" w:ascii="仿宋_GB2312" w:hAnsi="Tahoma" w:cs="仿宋_GB2312"/>
                <w:color w:val="000000"/>
                <w:kern w:val="0"/>
                <w:sz w:val="22"/>
                <w:szCs w:val="22"/>
                <w:lang/>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3600" w:type="dxa"/>
            <w:gridSpan w:val="2"/>
            <w:vAlign w:val="center"/>
          </w:tcPr>
          <w:p>
            <w:pPr>
              <w:widowControl/>
              <w:jc w:val="center"/>
              <w:rPr>
                <w:rFonts w:ascii="仿宋" w:hAnsi="仿宋" w:cs="宋体"/>
                <w:b/>
                <w:color w:val="000000"/>
                <w:kern w:val="0"/>
                <w:sz w:val="24"/>
              </w:rPr>
            </w:pPr>
            <w:r>
              <w:rPr>
                <w:rFonts w:hint="eastAsia" w:ascii="仿宋" w:hAnsi="仿宋" w:cs="宋体"/>
                <w:b/>
                <w:color w:val="000000"/>
                <w:kern w:val="0"/>
                <w:sz w:val="24"/>
              </w:rPr>
              <w:t>小计</w:t>
            </w:r>
          </w:p>
        </w:tc>
        <w:tc>
          <w:tcPr>
            <w:tcW w:w="3233" w:type="dxa"/>
            <w:vAlign w:val="center"/>
          </w:tcPr>
          <w:p>
            <w:pPr>
              <w:widowControl/>
              <w:jc w:val="center"/>
              <w:rPr>
                <w:rFonts w:ascii="仿宋" w:hAnsi="仿宋" w:cs="宋体"/>
                <w:b/>
                <w:color w:val="000000"/>
                <w:kern w:val="0"/>
                <w:sz w:val="24"/>
              </w:rPr>
            </w:pPr>
          </w:p>
        </w:tc>
        <w:tc>
          <w:tcPr>
            <w:tcW w:w="944" w:type="dxa"/>
            <w:vAlign w:val="center"/>
          </w:tcPr>
          <w:p>
            <w:pPr>
              <w:widowControl/>
              <w:jc w:val="center"/>
              <w:textAlignment w:val="bottom"/>
              <w:rPr>
                <w:rFonts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33</w:t>
            </w:r>
          </w:p>
        </w:tc>
        <w:tc>
          <w:tcPr>
            <w:tcW w:w="955" w:type="dxa"/>
            <w:vAlign w:val="center"/>
          </w:tcPr>
          <w:p>
            <w:pPr>
              <w:widowControl/>
              <w:jc w:val="center"/>
              <w:textAlignment w:val="bottom"/>
              <w:rPr>
                <w:rFonts w:hint="eastAsia" w:ascii="仿宋_GB2312" w:hAnsi="Tahoma" w:cs="仿宋_GB2312"/>
                <w:b/>
                <w:bCs/>
                <w:color w:val="000000"/>
                <w:kern w:val="0"/>
                <w:sz w:val="22"/>
                <w:szCs w:val="22"/>
                <w:lang/>
              </w:rPr>
            </w:pPr>
            <w:r>
              <w:rPr>
                <w:rFonts w:hint="eastAsia" w:ascii="仿宋_GB2312" w:hAnsi="宋体" w:cs="仿宋_GB2312"/>
                <w:b/>
                <w:bCs/>
                <w:color w:val="000000"/>
                <w:kern w:val="0"/>
                <w:sz w:val="22"/>
                <w:szCs w:val="22"/>
                <w:lang/>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600" w:type="dxa"/>
            <w:gridSpan w:val="2"/>
            <w:vAlign w:val="center"/>
          </w:tcPr>
          <w:p>
            <w:pPr>
              <w:widowControl/>
              <w:jc w:val="center"/>
              <w:rPr>
                <w:rFonts w:ascii="仿宋" w:hAnsi="仿宋" w:cs="宋体"/>
                <w:b/>
                <w:color w:val="000000"/>
                <w:kern w:val="0"/>
                <w:sz w:val="24"/>
              </w:rPr>
            </w:pPr>
            <w:r>
              <w:rPr>
                <w:rFonts w:hint="eastAsia" w:ascii="仿宋" w:hAnsi="仿宋" w:cs="宋体"/>
                <w:b/>
                <w:color w:val="000000"/>
                <w:kern w:val="0"/>
                <w:sz w:val="24"/>
              </w:rPr>
              <w:t>总计</w:t>
            </w:r>
          </w:p>
        </w:tc>
        <w:tc>
          <w:tcPr>
            <w:tcW w:w="3233" w:type="dxa"/>
            <w:vAlign w:val="center"/>
          </w:tcPr>
          <w:p>
            <w:pPr>
              <w:widowControl/>
              <w:jc w:val="center"/>
              <w:rPr>
                <w:rFonts w:ascii="仿宋" w:hAnsi="仿宋" w:cs="宋体"/>
                <w:b/>
                <w:color w:val="000000"/>
                <w:kern w:val="0"/>
                <w:sz w:val="24"/>
              </w:rPr>
            </w:pPr>
          </w:p>
        </w:tc>
        <w:tc>
          <w:tcPr>
            <w:tcW w:w="944" w:type="dxa"/>
            <w:vAlign w:val="center"/>
          </w:tcPr>
          <w:p>
            <w:pPr>
              <w:widowControl/>
              <w:jc w:val="center"/>
              <w:textAlignment w:val="center"/>
              <w:rPr>
                <w:rFonts w:ascii="仿宋_GB2312" w:hAnsi="Tahoma" w:cs="仿宋_GB2312"/>
                <w:b/>
                <w:bCs/>
                <w:color w:val="000000"/>
                <w:sz w:val="22"/>
                <w:szCs w:val="22"/>
              </w:rPr>
            </w:pPr>
            <w:r>
              <w:rPr>
                <w:rFonts w:hint="eastAsia" w:ascii="仿宋_GB2312" w:hAnsi="Tahoma" w:cs="仿宋_GB2312"/>
                <w:b/>
                <w:bCs/>
                <w:color w:val="000000"/>
                <w:sz w:val="22"/>
                <w:szCs w:val="22"/>
              </w:rPr>
              <w:t>100</w:t>
            </w:r>
          </w:p>
        </w:tc>
        <w:tc>
          <w:tcPr>
            <w:tcW w:w="955" w:type="dxa"/>
            <w:vAlign w:val="center"/>
          </w:tcPr>
          <w:p>
            <w:pPr>
              <w:widowControl/>
              <w:jc w:val="center"/>
              <w:textAlignment w:val="center"/>
              <w:rPr>
                <w:rFonts w:hint="eastAsia" w:ascii="仿宋_GB2312" w:hAnsi="Tahoma" w:eastAsia="仿宋_GB2312" w:cs="仿宋_GB2312"/>
                <w:b/>
                <w:bCs/>
                <w:color w:val="000000"/>
                <w:kern w:val="0"/>
                <w:sz w:val="22"/>
                <w:szCs w:val="22"/>
                <w:lang w:eastAsia="zh-CN"/>
              </w:rPr>
            </w:pPr>
            <w:r>
              <w:rPr>
                <w:rFonts w:hint="eastAsia" w:ascii="仿宋_GB2312" w:hAnsi="宋体" w:cs="仿宋_GB2312"/>
                <w:b/>
                <w:bCs/>
                <w:color w:val="000000"/>
                <w:kern w:val="0"/>
                <w:sz w:val="22"/>
                <w:szCs w:val="22"/>
                <w:lang/>
              </w:rPr>
              <w:t>8</w:t>
            </w:r>
            <w:r>
              <w:rPr>
                <w:rFonts w:hint="eastAsia" w:ascii="仿宋_GB2312" w:hAnsi="宋体" w:cs="仿宋_GB2312"/>
                <w:b/>
                <w:bCs/>
                <w:color w:val="000000"/>
                <w:kern w:val="0"/>
                <w:sz w:val="22"/>
                <w:szCs w:val="22"/>
                <w:lang w:val="en-US" w:eastAsia="zh-CN"/>
              </w:rPr>
              <w:t>8</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具体详见附件1：部分污水沟清理、盖板隐蔽化处理工程项目绩效评价指标评分表。</w:t>
      </w:r>
    </w:p>
    <w:p>
      <w:pPr>
        <w:pStyle w:val="26"/>
        <w:spacing w:line="560" w:lineRule="exact"/>
        <w:ind w:firstLine="640"/>
        <w:outlineLvl w:val="1"/>
        <w:rPr>
          <w:rFonts w:hint="eastAsia" w:eastAsia="楷体_GB2312"/>
          <w:bCs/>
          <w:kern w:val="0"/>
          <w:sz w:val="32"/>
          <w:szCs w:val="32"/>
        </w:rPr>
      </w:pPr>
      <w:bookmarkStart w:id="448" w:name="_Toc30475"/>
      <w:bookmarkStart w:id="449" w:name="_Toc32311"/>
      <w:bookmarkStart w:id="450" w:name="_Toc23599"/>
      <w:bookmarkStart w:id="451" w:name="_Toc13181"/>
      <w:r>
        <w:rPr>
          <w:rFonts w:hint="eastAsia" w:eastAsia="楷体_GB2312"/>
          <w:bCs/>
          <w:kern w:val="0"/>
          <w:sz w:val="32"/>
          <w:szCs w:val="32"/>
        </w:rPr>
        <w:t>（二）主要绩效</w:t>
      </w:r>
      <w:bookmarkEnd w:id="448"/>
      <w:bookmarkEnd w:id="449"/>
      <w:bookmarkEnd w:id="450"/>
      <w:bookmarkEnd w:id="451"/>
    </w:p>
    <w:p>
      <w:pPr>
        <w:pStyle w:val="26"/>
        <w:spacing w:line="560" w:lineRule="exact"/>
        <w:ind w:firstLine="640"/>
        <w:rPr>
          <w:rFonts w:hint="eastAsia" w:ascii="仿宋_GB2312" w:hAnsi="Calibri"/>
          <w:kern w:val="0"/>
          <w:sz w:val="32"/>
          <w:szCs w:val="32"/>
        </w:rPr>
      </w:pPr>
      <w:bookmarkStart w:id="452" w:name="_Toc18139"/>
      <w:bookmarkStart w:id="453" w:name="_Toc21351"/>
      <w:bookmarkStart w:id="454" w:name="_Toc28041"/>
      <w:r>
        <w:rPr>
          <w:rFonts w:hint="eastAsia" w:ascii="仿宋_GB2312" w:hAnsi="Calibri"/>
          <w:kern w:val="0"/>
          <w:sz w:val="32"/>
          <w:szCs w:val="32"/>
        </w:rPr>
        <w:t>1.主要绩效</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辛戈庄村部分污水沟清理、盖板隐蔽化处理工程项目共完成村内排水沟3700米盖板。</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2.主要效益情况</w:t>
      </w:r>
    </w:p>
    <w:p>
      <w:pPr>
        <w:pStyle w:val="26"/>
        <w:spacing w:line="560" w:lineRule="exact"/>
        <w:ind w:firstLine="640"/>
        <w:rPr>
          <w:rFonts w:ascii="仿宋_GB2312" w:hAnsi="Calibri"/>
          <w:kern w:val="0"/>
          <w:sz w:val="32"/>
          <w:szCs w:val="32"/>
        </w:rPr>
      </w:pPr>
      <w:r>
        <w:rPr>
          <w:rFonts w:hint="eastAsia" w:ascii="仿宋_GB2312" w:hAnsi="Calibri"/>
          <w:kern w:val="0"/>
          <w:sz w:val="32"/>
          <w:szCs w:val="32"/>
        </w:rPr>
        <w:t>辛戈庄村部分污水沟清理、盖板隐蔽化处理工程项目为村级公益事业建设财政奖补项目，主要产生社会效益及生态效益。</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（1）社会效益方面</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施工前照片，项目实施前村庄排水沟较破烂，淤泥及生活垃圾堆积，排水功能减弱，项目实施后，排水沟清除淤积，恢复排水功能，并加盖盖板，防止垃圾堆积，对提高村民生活质量，改善人居环境具有积极影响。</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（2）生态效益方面</w:t>
      </w:r>
    </w:p>
    <w:p>
      <w:pPr>
        <w:spacing w:line="560" w:lineRule="exact"/>
        <w:ind w:firstLine="640" w:firstLineChars="200"/>
        <w:rPr>
          <w:rFonts w:hint="eastAsia" w:ascii="仿宋_GB2312" w:hAnsi="Calibri"/>
          <w:kern w:val="0"/>
          <w:sz w:val="32"/>
          <w:szCs w:val="32"/>
        </w:rPr>
      </w:pPr>
      <w:r>
        <w:rPr>
          <w:rFonts w:hint="eastAsia" w:ascii="仿宋_GB2312" w:hAnsi="Calibri"/>
          <w:kern w:val="0"/>
          <w:sz w:val="32"/>
          <w:szCs w:val="32"/>
        </w:rPr>
        <w:t>项目实施前村庄排水沟淤泥较厚，垃圾堆积，严重影响村庄整体形象及周边环境，项目实施后村庄整体环境面貌得到较大改善，对建设美丽乡村具有积极影响。</w:t>
      </w:r>
    </w:p>
    <w:p>
      <w:pPr>
        <w:spacing w:line="560" w:lineRule="exact"/>
        <w:ind w:firstLine="640" w:firstLineChars="200"/>
        <w:outlineLvl w:val="0"/>
        <w:rPr>
          <w:rFonts w:hint="eastAsia" w:ascii="黑体" w:hAnsi="黑体" w:eastAsia="黑体"/>
          <w:sz w:val="32"/>
          <w:szCs w:val="32"/>
        </w:rPr>
      </w:pPr>
      <w:bookmarkStart w:id="455" w:name="_Toc29435"/>
      <w:r>
        <w:rPr>
          <w:rFonts w:hint="eastAsia" w:ascii="黑体" w:hAnsi="黑体" w:eastAsia="黑体"/>
          <w:sz w:val="32"/>
          <w:szCs w:val="32"/>
        </w:rPr>
        <w:t>四、绩效评价指标分析</w:t>
      </w:r>
      <w:bookmarkEnd w:id="452"/>
      <w:bookmarkEnd w:id="453"/>
      <w:bookmarkEnd w:id="454"/>
      <w:bookmarkEnd w:id="455"/>
    </w:p>
    <w:p>
      <w:pPr>
        <w:pStyle w:val="26"/>
        <w:spacing w:line="560" w:lineRule="exact"/>
        <w:ind w:firstLine="640"/>
        <w:outlineLvl w:val="1"/>
        <w:rPr>
          <w:rFonts w:hint="eastAsia" w:eastAsia="楷体_GB2312"/>
          <w:bCs/>
          <w:kern w:val="0"/>
          <w:sz w:val="32"/>
          <w:szCs w:val="32"/>
        </w:rPr>
      </w:pPr>
      <w:bookmarkStart w:id="456" w:name="_Toc22270"/>
      <w:bookmarkStart w:id="457" w:name="_Toc28191"/>
      <w:bookmarkStart w:id="458" w:name="_Toc6054"/>
      <w:bookmarkStart w:id="459" w:name="_Toc11493"/>
      <w:r>
        <w:rPr>
          <w:rFonts w:hint="eastAsia" w:eastAsia="楷体_GB2312"/>
          <w:bCs/>
          <w:kern w:val="0"/>
          <w:sz w:val="32"/>
          <w:szCs w:val="32"/>
        </w:rPr>
        <w:t>（一）项目决策情况</w:t>
      </w:r>
      <w:bookmarkEnd w:id="456"/>
      <w:bookmarkEnd w:id="457"/>
      <w:bookmarkEnd w:id="458"/>
      <w:bookmarkEnd w:id="459"/>
    </w:p>
    <w:p>
      <w:pPr>
        <w:pStyle w:val="26"/>
        <w:spacing w:line="560" w:lineRule="exact"/>
        <w:ind w:firstLine="640"/>
        <w:rPr>
          <w:rFonts w:hint="eastAsia" w:ascii="仿宋_GB2312" w:hAnsi="Calibri"/>
          <w:kern w:val="0"/>
          <w:sz w:val="32"/>
          <w:szCs w:val="32"/>
        </w:rPr>
      </w:pPr>
      <w:bookmarkStart w:id="460" w:name="_Toc24869"/>
      <w:bookmarkStart w:id="461" w:name="_Toc8292"/>
      <w:bookmarkStart w:id="462" w:name="_Toc18902"/>
      <w:r>
        <w:rPr>
          <w:rFonts w:hint="eastAsia" w:ascii="仿宋_GB2312" w:hAnsi="Calibri"/>
          <w:kern w:val="0"/>
          <w:sz w:val="32"/>
          <w:szCs w:val="32"/>
        </w:rPr>
        <w:t>项目决策类指标总分15分，得分10分，得分率66.67%。共设3个二级指标及5个三级指标构成，从立项依据、绩效目标、资金投入三个方面进行评价。各项指标得分和绩效分析如下：</w:t>
      </w:r>
    </w:p>
    <w:p>
      <w:pPr>
        <w:pStyle w:val="26"/>
        <w:spacing w:line="560" w:lineRule="exact"/>
        <w:ind w:firstLine="600"/>
        <w:jc w:val="center"/>
        <w:rPr>
          <w:rFonts w:ascii="仿宋_GB2312" w:hAnsi="Calibri"/>
          <w:kern w:val="0"/>
          <w:szCs w:val="30"/>
        </w:rPr>
      </w:pPr>
      <w:r>
        <w:rPr>
          <w:rFonts w:hint="eastAsia" w:ascii="仿宋_GB2312" w:hAnsi="Calibri"/>
          <w:kern w:val="0"/>
          <w:szCs w:val="30"/>
        </w:rPr>
        <w:t>表-4决策类指标得分情况</w:t>
      </w:r>
    </w:p>
    <w:tbl>
      <w:tblPr>
        <w:tblW w:w="917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0"/>
        <w:gridCol w:w="2642"/>
        <w:gridCol w:w="1057"/>
        <w:gridCol w:w="989"/>
        <w:gridCol w:w="1127"/>
        <w:gridCol w:w="784"/>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8" w:hRule="atLeast"/>
          <w:tblHeader/>
        </w:trPr>
        <w:tc>
          <w:tcPr>
            <w:tcW w:w="1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二级指标</w:t>
            </w:r>
          </w:p>
        </w:tc>
        <w:tc>
          <w:tcPr>
            <w:tcW w:w="2642"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三级指标</w:t>
            </w:r>
          </w:p>
        </w:tc>
        <w:tc>
          <w:tcPr>
            <w:tcW w:w="1057"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分值</w:t>
            </w:r>
          </w:p>
        </w:tc>
        <w:tc>
          <w:tcPr>
            <w:tcW w:w="989"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标杆值</w:t>
            </w:r>
          </w:p>
        </w:tc>
        <w:tc>
          <w:tcPr>
            <w:tcW w:w="1127"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完成情况</w:t>
            </w:r>
          </w:p>
        </w:tc>
        <w:tc>
          <w:tcPr>
            <w:tcW w:w="784"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w:t>
            </w:r>
          </w:p>
        </w:tc>
        <w:tc>
          <w:tcPr>
            <w:tcW w:w="10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7" w:hRule="atLeast"/>
        </w:trPr>
        <w:tc>
          <w:tcPr>
            <w:tcW w:w="1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项目立项</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立项依据充分性</w:t>
            </w:r>
          </w:p>
        </w:tc>
        <w:tc>
          <w:tcPr>
            <w:tcW w:w="105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4</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充分</w:t>
            </w:r>
          </w:p>
        </w:tc>
        <w:tc>
          <w:tcPr>
            <w:tcW w:w="112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充分</w:t>
            </w:r>
          </w:p>
        </w:tc>
        <w:tc>
          <w:tcPr>
            <w:tcW w:w="784"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4</w:t>
            </w:r>
          </w:p>
        </w:tc>
        <w:tc>
          <w:tcPr>
            <w:tcW w:w="103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7" w:hRule="atLeast"/>
        </w:trPr>
        <w:tc>
          <w:tcPr>
            <w:tcW w:w="1540"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绩效目标</w:t>
            </w:r>
          </w:p>
        </w:tc>
        <w:tc>
          <w:tcPr>
            <w:tcW w:w="2642" w:type="dxa"/>
            <w:tcBorders>
              <w:top w:val="single" w:color="auto" w:sz="4" w:space="0"/>
              <w:left w:val="nil"/>
              <w:bottom w:val="single" w:color="auto" w:sz="4" w:space="0"/>
              <w:right w:val="single" w:color="auto" w:sz="4" w:space="0"/>
            </w:tcBorders>
            <w:vAlign w:val="center"/>
          </w:tcPr>
          <w:p>
            <w:pPr>
              <w:widowControl/>
              <w:jc w:val="center"/>
              <w:rPr>
                <w:rFonts w:ascii="仿宋_GB2312" w:hAnsi="Times New Roman"/>
                <w:color w:val="000000"/>
                <w:kern w:val="0"/>
                <w:sz w:val="21"/>
                <w:szCs w:val="21"/>
              </w:rPr>
            </w:pPr>
            <w:r>
              <w:rPr>
                <w:rFonts w:hint="eastAsia" w:ascii="仿宋_GB2312" w:hAnsi="Times New Roman"/>
                <w:color w:val="000000"/>
                <w:kern w:val="0"/>
                <w:sz w:val="21"/>
                <w:szCs w:val="21"/>
              </w:rPr>
              <w:t>绩效目标合理性</w:t>
            </w:r>
          </w:p>
        </w:tc>
        <w:tc>
          <w:tcPr>
            <w:tcW w:w="105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3</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合理</w:t>
            </w:r>
          </w:p>
        </w:tc>
        <w:tc>
          <w:tcPr>
            <w:tcW w:w="112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不合理</w:t>
            </w:r>
          </w:p>
        </w:tc>
        <w:tc>
          <w:tcPr>
            <w:tcW w:w="784"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0</w:t>
            </w:r>
          </w:p>
        </w:tc>
        <w:tc>
          <w:tcPr>
            <w:tcW w:w="103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540"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p>
        </w:tc>
        <w:tc>
          <w:tcPr>
            <w:tcW w:w="2642"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绩效目标明确性</w:t>
            </w:r>
          </w:p>
        </w:tc>
        <w:tc>
          <w:tcPr>
            <w:tcW w:w="105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2</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明确</w:t>
            </w:r>
          </w:p>
        </w:tc>
        <w:tc>
          <w:tcPr>
            <w:tcW w:w="112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不明确</w:t>
            </w:r>
          </w:p>
        </w:tc>
        <w:tc>
          <w:tcPr>
            <w:tcW w:w="784"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2</w:t>
            </w:r>
          </w:p>
        </w:tc>
        <w:tc>
          <w:tcPr>
            <w:tcW w:w="103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540" w:type="dxa"/>
            <w:vMerge w:val="restart"/>
            <w:tcBorders>
              <w:left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资金投入</w:t>
            </w:r>
          </w:p>
        </w:tc>
        <w:tc>
          <w:tcPr>
            <w:tcW w:w="2642"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预算编制科学性</w:t>
            </w:r>
          </w:p>
        </w:tc>
        <w:tc>
          <w:tcPr>
            <w:tcW w:w="105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3</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科学</w:t>
            </w:r>
          </w:p>
        </w:tc>
        <w:tc>
          <w:tcPr>
            <w:tcW w:w="112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较科学</w:t>
            </w:r>
          </w:p>
        </w:tc>
        <w:tc>
          <w:tcPr>
            <w:tcW w:w="784"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2</w:t>
            </w:r>
          </w:p>
        </w:tc>
        <w:tc>
          <w:tcPr>
            <w:tcW w:w="103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66.67%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540"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p>
        </w:tc>
        <w:tc>
          <w:tcPr>
            <w:tcW w:w="2642"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资金分配合理性</w:t>
            </w:r>
          </w:p>
        </w:tc>
        <w:tc>
          <w:tcPr>
            <w:tcW w:w="105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3</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合理</w:t>
            </w:r>
          </w:p>
        </w:tc>
        <w:tc>
          <w:tcPr>
            <w:tcW w:w="1127"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较合理</w:t>
            </w:r>
          </w:p>
        </w:tc>
        <w:tc>
          <w:tcPr>
            <w:tcW w:w="784"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2</w:t>
            </w:r>
          </w:p>
        </w:tc>
        <w:tc>
          <w:tcPr>
            <w:tcW w:w="103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1"/>
                <w:szCs w:val="21"/>
              </w:rPr>
            </w:pPr>
            <w:r>
              <w:rPr>
                <w:rFonts w:hint="eastAsia" w:ascii="仿宋_GB2312" w:hAnsi="Times New Roman"/>
                <w:color w:val="000000"/>
                <w:kern w:val="0"/>
                <w:sz w:val="21"/>
                <w:szCs w:val="21"/>
              </w:rPr>
              <w:t>66.67%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54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合计</w:t>
            </w:r>
          </w:p>
        </w:tc>
        <w:tc>
          <w:tcPr>
            <w:tcW w:w="2642"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057" w:type="dxa"/>
            <w:tcBorders>
              <w:top w:val="nil"/>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15</w:t>
            </w:r>
          </w:p>
        </w:tc>
        <w:tc>
          <w:tcPr>
            <w:tcW w:w="989"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127" w:type="dxa"/>
            <w:tcBorders>
              <w:top w:val="nil"/>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p>
        </w:tc>
        <w:tc>
          <w:tcPr>
            <w:tcW w:w="784" w:type="dxa"/>
            <w:tcBorders>
              <w:top w:val="nil"/>
              <w:left w:val="nil"/>
              <w:bottom w:val="single" w:color="auto" w:sz="4" w:space="0"/>
              <w:right w:val="single" w:color="auto" w:sz="4" w:space="0"/>
            </w:tcBorders>
            <w:vAlign w:val="bottom"/>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10</w:t>
            </w:r>
          </w:p>
        </w:tc>
        <w:tc>
          <w:tcPr>
            <w:tcW w:w="1035" w:type="dxa"/>
            <w:tcBorders>
              <w:top w:val="nil"/>
              <w:left w:val="nil"/>
              <w:bottom w:val="single" w:color="auto" w:sz="4" w:space="0"/>
              <w:right w:val="single" w:color="auto" w:sz="4" w:space="0"/>
            </w:tcBorders>
            <w:vAlign w:val="bottom"/>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66.67%</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从项目决策上看：项目立项具有市区政府政策依据支撑，属于村级公益事业建设一事一议奖补项目，村庄两委决议已通过，立项较规范；预算按照标准测算编制，但只提供万锦建设集团有限公司编制审核的招标工程量清单，未提供招标控制价报告。还存在绩效意识淡薄，未设置预算绩效目标的问题。具体分析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1.立项依据充分性：根据评价指标体系，本指标得4分，得分率100.00%，得分明细如下：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（1）项目符合《青岛市财政局、青岛市农村综合改革领导小组办公室关于修订&lt;青岛市村级公益事业建设财政奖补项目和资金管理办法&gt;的通知》（青财规</w:t>
      </w:r>
      <w:r>
        <w:rPr>
          <w:rFonts w:hint="eastAsia" w:ascii="宋体" w:hAnsi="宋体" w:eastAsia="宋体" w:cs="宋体"/>
          <w:kern w:val="0"/>
          <w:sz w:val="32"/>
          <w:szCs w:val="32"/>
        </w:rPr>
        <w:t>〔</w:t>
      </w:r>
      <w:r>
        <w:rPr>
          <w:rFonts w:hint="eastAsia" w:ascii="仿宋_GB2312" w:hAnsi="Calibri"/>
          <w:kern w:val="0"/>
          <w:sz w:val="32"/>
          <w:szCs w:val="32"/>
        </w:rPr>
        <w:t>2018</w:t>
      </w:r>
      <w:r>
        <w:rPr>
          <w:rFonts w:hint="eastAsia" w:ascii="宋体" w:hAnsi="宋体" w:eastAsia="宋体" w:cs="宋体"/>
          <w:kern w:val="0"/>
          <w:sz w:val="32"/>
          <w:szCs w:val="32"/>
        </w:rPr>
        <w:t>〕</w:t>
      </w:r>
      <w:r>
        <w:rPr>
          <w:rFonts w:hint="eastAsia" w:ascii="仿宋_GB2312" w:hAnsi="Calibri"/>
          <w:kern w:val="0"/>
          <w:sz w:val="32"/>
          <w:szCs w:val="32"/>
        </w:rPr>
        <w:t>4号）、关于印发《即墨区政府投资项目管理办法》的通知（即政发</w:t>
      </w:r>
      <w:r>
        <w:rPr>
          <w:rFonts w:hint="eastAsia" w:ascii="宋体" w:hAnsi="宋体" w:eastAsia="宋体" w:cs="宋体"/>
          <w:kern w:val="0"/>
          <w:sz w:val="32"/>
          <w:szCs w:val="32"/>
        </w:rPr>
        <w:t>〔</w:t>
      </w:r>
      <w:r>
        <w:rPr>
          <w:rFonts w:hint="eastAsia" w:ascii="仿宋_GB2312" w:hAnsi="Calibri"/>
          <w:kern w:val="0"/>
          <w:sz w:val="32"/>
          <w:szCs w:val="32"/>
        </w:rPr>
        <w:t>2015</w:t>
      </w:r>
      <w:r>
        <w:rPr>
          <w:rFonts w:hint="eastAsia" w:ascii="宋体" w:hAnsi="宋体" w:eastAsia="宋体" w:cs="宋体"/>
          <w:kern w:val="0"/>
          <w:sz w:val="32"/>
          <w:szCs w:val="32"/>
        </w:rPr>
        <w:t>〕</w:t>
      </w:r>
      <w:r>
        <w:rPr>
          <w:rFonts w:hint="eastAsia" w:ascii="仿宋_GB2312" w:hAnsi="Calibri"/>
          <w:kern w:val="0"/>
          <w:sz w:val="32"/>
          <w:szCs w:val="32"/>
        </w:rPr>
        <w:t>4号）、《青岛市即墨区财政局关于做好2022年农村公益事业财政奖补工作的通知》（即财农</w:t>
      </w:r>
      <w:r>
        <w:rPr>
          <w:rFonts w:hint="eastAsia" w:ascii="宋体" w:hAnsi="宋体" w:eastAsia="宋体" w:cs="宋体"/>
          <w:kern w:val="0"/>
          <w:sz w:val="32"/>
          <w:szCs w:val="32"/>
        </w:rPr>
        <w:t>〔</w:t>
      </w:r>
      <w:r>
        <w:rPr>
          <w:rFonts w:hint="eastAsia" w:ascii="仿宋_GB2312" w:hAnsi="Calibri"/>
          <w:kern w:val="0"/>
          <w:sz w:val="32"/>
          <w:szCs w:val="32"/>
        </w:rPr>
        <w:t>2022</w:t>
      </w:r>
      <w:r>
        <w:rPr>
          <w:rFonts w:hint="eastAsia" w:ascii="宋体" w:hAnsi="宋体" w:eastAsia="宋体" w:cs="宋体"/>
          <w:kern w:val="0"/>
          <w:sz w:val="32"/>
          <w:szCs w:val="32"/>
        </w:rPr>
        <w:t>〕</w:t>
      </w:r>
      <w:r>
        <w:rPr>
          <w:rFonts w:hint="eastAsia" w:ascii="仿宋_GB2312" w:hAnsi="Calibri" w:eastAsia="宋体"/>
          <w:kern w:val="0"/>
          <w:sz w:val="32"/>
          <w:szCs w:val="32"/>
        </w:rPr>
        <w:t>97</w:t>
      </w:r>
      <w:r>
        <w:rPr>
          <w:rFonts w:hint="eastAsia" w:ascii="仿宋_GB2312" w:hAnsi="Calibri"/>
          <w:kern w:val="0"/>
          <w:sz w:val="32"/>
          <w:szCs w:val="32"/>
        </w:rPr>
        <w:t>号）等市区相关政策的规定，得2分。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（2）项目属于村级公益事业建设一事一议财政奖补项目，已经村两委决议并经潮海街道办事处审核通过，得2分。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2.绩效目标合理性：青岛市即墨区潮海街道办事处及辛戈庄村经济合作社均未制定相关绩效目标，绩效意识淡薄，依据评价指标体系，本指标得0分，得分率0.00%。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3.绩效目标明确性：未制定绩效目标，已于绩效目标合理性处扣分，不再重复扣分。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4.预算编制科学性：依据评价指标体系，本指标得2分，得分率66.67%，得分明细如下：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（1）项目已编制预算，预算金额为424,900.00元，已报财政局批复，得1分。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（2）预算按照标准测算编制，但只提供万锦建设集团有限公司编制审核的招标工程量清单，未提供招标控制价报告，得0.5分。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（3）预算内容为村内排水沟3700米盖板，与项目内容一致，得0.5分。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5.资金分配合理性：依据评价指标体系，本指标得2分，得分率66.67%，得分明细如下：</w:t>
      </w:r>
    </w:p>
    <w:p>
      <w:pPr>
        <w:pStyle w:val="26"/>
        <w:spacing w:line="560" w:lineRule="exact"/>
        <w:ind w:firstLine="640"/>
        <w:rPr>
          <w:rFonts w:hint="eastAsia" w:ascii="仿宋_GB2312" w:hAnsi="Calibri"/>
          <w:kern w:val="0"/>
          <w:sz w:val="32"/>
          <w:szCs w:val="32"/>
        </w:rPr>
      </w:pPr>
      <w:bookmarkStart w:id="463" w:name="_Toc13833"/>
      <w:bookmarkStart w:id="464" w:name="_Toc21389"/>
      <w:bookmarkStart w:id="465" w:name="_Toc27084"/>
      <w:bookmarkStart w:id="466" w:name="_Toc8359"/>
      <w:bookmarkStart w:id="467" w:name="_Toc7754"/>
      <w:bookmarkStart w:id="468" w:name="_Toc21567"/>
      <w:bookmarkStart w:id="469" w:name="_Toc17558"/>
      <w:bookmarkStart w:id="470" w:name="_Toc8167"/>
      <w:r>
        <w:rPr>
          <w:rFonts w:hint="eastAsia" w:ascii="仿宋_GB2312" w:hAnsi="Calibri"/>
          <w:kern w:val="0"/>
          <w:sz w:val="32"/>
          <w:szCs w:val="32"/>
        </w:rPr>
        <w:t>（1）提供万锦建设集团有限公司编制审核的招标工程量清单，未提供招标控制价报告，得0.5分。</w:t>
      </w:r>
      <w:bookmarkEnd w:id="463"/>
      <w:bookmarkEnd w:id="464"/>
      <w:bookmarkEnd w:id="465"/>
      <w:bookmarkEnd w:id="466"/>
      <w:bookmarkEnd w:id="467"/>
    </w:p>
    <w:p>
      <w:pPr>
        <w:pStyle w:val="26"/>
        <w:spacing w:line="560" w:lineRule="exact"/>
        <w:ind w:firstLine="640"/>
        <w:rPr>
          <w:rFonts w:hint="eastAsia" w:ascii="仿宋_GB2312" w:hAnsi="Calibri"/>
          <w:kern w:val="0"/>
          <w:sz w:val="32"/>
          <w:szCs w:val="32"/>
        </w:rPr>
      </w:pPr>
      <w:bookmarkStart w:id="471" w:name="_Toc22675"/>
      <w:bookmarkStart w:id="472" w:name="_Toc7342"/>
      <w:bookmarkStart w:id="473" w:name="_Toc28352"/>
      <w:bookmarkStart w:id="474" w:name="_Toc7718"/>
      <w:bookmarkStart w:id="475" w:name="_Toc4418"/>
      <w:r>
        <w:rPr>
          <w:rFonts w:hint="eastAsia" w:ascii="仿宋_GB2312" w:hAnsi="Calibri"/>
          <w:kern w:val="0"/>
          <w:sz w:val="32"/>
          <w:szCs w:val="32"/>
        </w:rPr>
        <w:t>（2）预</w:t>
      </w:r>
      <w:bookmarkEnd w:id="471"/>
      <w:bookmarkEnd w:id="472"/>
      <w:r>
        <w:rPr>
          <w:rFonts w:hint="eastAsia" w:ascii="仿宋_GB2312" w:hAnsi="Calibri"/>
          <w:kern w:val="0"/>
          <w:sz w:val="32"/>
          <w:szCs w:val="32"/>
        </w:rPr>
        <w:t>算安排按照排水沟盖板长度测算，与年度任务完成情况相匹配，得1.5分。</w:t>
      </w:r>
      <w:bookmarkEnd w:id="473"/>
      <w:bookmarkEnd w:id="474"/>
      <w:bookmarkEnd w:id="475"/>
    </w:p>
    <w:p>
      <w:pPr>
        <w:pStyle w:val="26"/>
        <w:spacing w:line="560" w:lineRule="exact"/>
        <w:ind w:firstLine="640"/>
        <w:outlineLvl w:val="1"/>
        <w:rPr>
          <w:rFonts w:hint="eastAsia" w:eastAsia="楷体_GB2312"/>
          <w:bCs/>
          <w:kern w:val="0"/>
          <w:sz w:val="32"/>
          <w:szCs w:val="32"/>
        </w:rPr>
      </w:pPr>
      <w:bookmarkStart w:id="476" w:name="_Toc32244"/>
      <w:r>
        <w:rPr>
          <w:rFonts w:hint="eastAsia" w:eastAsia="楷体_GB2312"/>
          <w:bCs/>
          <w:kern w:val="0"/>
          <w:sz w:val="32"/>
          <w:szCs w:val="32"/>
        </w:rPr>
        <w:t>（二）项目过程情况</w:t>
      </w:r>
      <w:bookmarkEnd w:id="468"/>
      <w:bookmarkEnd w:id="469"/>
      <w:bookmarkEnd w:id="470"/>
      <w:bookmarkEnd w:id="476"/>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项目过程权重分为20分，实际得分10分，得分率50.00%，由2个二级指标及4个三级指标构成，从资金管理和组织实施两个方面进行评价。各项指标得分和绩效分析如下：</w:t>
      </w:r>
    </w:p>
    <w:p>
      <w:pPr>
        <w:pStyle w:val="19"/>
        <w:spacing w:line="560" w:lineRule="exact"/>
        <w:ind w:firstLine="400" w:firstLineChars="200"/>
        <w:jc w:val="center"/>
        <w:rPr>
          <w:rFonts w:hint="eastAsia" w:ascii="仿宋_GB2312" w:hAnsi="Calibri"/>
          <w:szCs w:val="30"/>
        </w:rPr>
      </w:pPr>
      <w:bookmarkStart w:id="477" w:name="_Toc5680"/>
      <w:bookmarkStart w:id="478" w:name="_Toc5050"/>
      <w:bookmarkStart w:id="479" w:name="_Toc17620"/>
      <w:bookmarkStart w:id="480" w:name="_Toc26160"/>
      <w:bookmarkStart w:id="481" w:name="_Toc17007"/>
      <w:bookmarkStart w:id="482" w:name="_Toc23167"/>
      <w:bookmarkStart w:id="483" w:name="_Toc12333"/>
      <w:bookmarkStart w:id="484" w:name="_Toc5929"/>
      <w:bookmarkStart w:id="485" w:name="_Toc2464"/>
      <w:bookmarkStart w:id="486" w:name="_Toc23180"/>
      <w:bookmarkStart w:id="487" w:name="_Toc15489"/>
      <w:bookmarkStart w:id="488" w:name="_Toc17076"/>
      <w:bookmarkStart w:id="489" w:name="_Toc31605"/>
      <w:bookmarkStart w:id="490" w:name="_Toc15764"/>
      <w:bookmarkStart w:id="491" w:name="_Toc3108"/>
      <w:bookmarkStart w:id="492" w:name="_Toc29126"/>
      <w:bookmarkStart w:id="493" w:name="_Toc17219"/>
      <w:bookmarkStart w:id="494" w:name="_Toc20802"/>
      <w:bookmarkStart w:id="495" w:name="_Toc6957"/>
      <w:bookmarkStart w:id="496" w:name="_Toc18668"/>
      <w:bookmarkStart w:id="497" w:name="_Toc17307"/>
      <w:bookmarkStart w:id="498" w:name="_Toc28092"/>
      <w:bookmarkStart w:id="499" w:name="_Toc22562"/>
      <w:bookmarkStart w:id="500" w:name="_Toc20337"/>
      <w:bookmarkStart w:id="501" w:name="_Toc32546"/>
      <w:bookmarkStart w:id="502" w:name="_Toc21537"/>
      <w:r>
        <w:rPr>
          <w:rFonts w:hint="eastAsia" w:ascii="仿宋_GB2312" w:hAnsi="Calibri"/>
          <w:szCs w:val="30"/>
        </w:rPr>
        <w:t>表-5 过程类指标得分情况</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tbl>
      <w:tblPr>
        <w:tblW w:w="91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4"/>
        <w:gridCol w:w="2230"/>
        <w:gridCol w:w="1174"/>
        <w:gridCol w:w="1161"/>
        <w:gridCol w:w="1152"/>
        <w:gridCol w:w="1107"/>
        <w:gridCol w:w="1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4" w:hRule="atLeast"/>
          <w:tblHeader/>
        </w:trPr>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二级指标</w:t>
            </w:r>
          </w:p>
        </w:tc>
        <w:tc>
          <w:tcPr>
            <w:tcW w:w="223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三级指标</w:t>
            </w:r>
          </w:p>
        </w:tc>
        <w:tc>
          <w:tcPr>
            <w:tcW w:w="1174"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分值</w:t>
            </w:r>
          </w:p>
        </w:tc>
        <w:tc>
          <w:tcPr>
            <w:tcW w:w="1161"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标杆值</w:t>
            </w:r>
          </w:p>
        </w:tc>
        <w:tc>
          <w:tcPr>
            <w:tcW w:w="1152"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完成情况</w:t>
            </w:r>
          </w:p>
        </w:tc>
        <w:tc>
          <w:tcPr>
            <w:tcW w:w="1107"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w:t>
            </w:r>
          </w:p>
        </w:tc>
        <w:tc>
          <w:tcPr>
            <w:tcW w:w="1114"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4" w:hRule="atLeast"/>
        </w:trPr>
        <w:tc>
          <w:tcPr>
            <w:tcW w:w="1234" w:type="dxa"/>
            <w:vMerge w:val="restart"/>
            <w:tcBorders>
              <w:left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资金管理</w:t>
            </w:r>
          </w:p>
        </w:tc>
        <w:tc>
          <w:tcPr>
            <w:tcW w:w="2230"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1"/>
                <w:szCs w:val="21"/>
              </w:rPr>
              <w:t>预算执行率</w:t>
            </w:r>
          </w:p>
        </w:tc>
        <w:tc>
          <w:tcPr>
            <w:tcW w:w="117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8</w:t>
            </w:r>
          </w:p>
        </w:tc>
        <w:tc>
          <w:tcPr>
            <w:tcW w:w="116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95%</w:t>
            </w:r>
          </w:p>
        </w:tc>
        <w:tc>
          <w:tcPr>
            <w:tcW w:w="1152" w:type="dxa"/>
            <w:tcBorders>
              <w:top w:val="nil"/>
              <w:left w:val="nil"/>
              <w:bottom w:val="single" w:color="auto" w:sz="4" w:space="0"/>
              <w:right w:val="single" w:color="auto" w:sz="4" w:space="0"/>
            </w:tcBorders>
            <w:vAlign w:val="center"/>
          </w:tcPr>
          <w:p>
            <w:pPr>
              <w:widowControl/>
              <w:jc w:val="center"/>
              <w:textAlignment w:val="center"/>
              <w:rPr>
                <w:rFonts w:ascii="仿宋_GB2312" w:hAnsi="Times New Roman"/>
                <w:color w:val="000000"/>
                <w:kern w:val="0"/>
                <w:sz w:val="22"/>
                <w:szCs w:val="22"/>
              </w:rPr>
            </w:pPr>
            <w:r>
              <w:rPr>
                <w:rFonts w:hint="eastAsia" w:ascii="仿宋_GB2312" w:hAnsi="Tahoma" w:cs="仿宋_GB2312"/>
                <w:color w:val="000000"/>
                <w:kern w:val="0"/>
                <w:sz w:val="21"/>
                <w:szCs w:val="21"/>
                <w:lang w:val="en-US" w:eastAsia="zh-CN"/>
              </w:rPr>
              <w:t>10</w:t>
            </w:r>
            <w:r>
              <w:rPr>
                <w:rFonts w:hint="eastAsia" w:ascii="仿宋_GB2312" w:hAnsi="Tahoma" w:cs="仿宋_GB2312"/>
                <w:color w:val="000000"/>
                <w:kern w:val="0"/>
                <w:sz w:val="21"/>
                <w:szCs w:val="21"/>
                <w:lang/>
              </w:rPr>
              <w:t>0.00%</w:t>
            </w:r>
          </w:p>
        </w:tc>
        <w:tc>
          <w:tcPr>
            <w:tcW w:w="110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eastAsia="仿宋_GB2312"/>
                <w:color w:val="000000"/>
                <w:kern w:val="0"/>
                <w:sz w:val="21"/>
                <w:szCs w:val="21"/>
                <w:lang w:eastAsia="zh-CN"/>
              </w:rPr>
            </w:pPr>
            <w:r>
              <w:rPr>
                <w:rFonts w:hint="eastAsia" w:ascii="仿宋_GB2312" w:hAnsi="Tahoma" w:cs="仿宋_GB2312"/>
                <w:color w:val="000000"/>
                <w:kern w:val="0"/>
                <w:sz w:val="21"/>
                <w:szCs w:val="21"/>
                <w:lang w:val="en-US" w:eastAsia="zh-CN"/>
              </w:rPr>
              <w:t>8</w:t>
            </w:r>
          </w:p>
        </w:tc>
        <w:tc>
          <w:tcPr>
            <w:tcW w:w="111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2"/>
                <w:szCs w:val="22"/>
              </w:rPr>
            </w:pPr>
            <w:r>
              <w:rPr>
                <w:rFonts w:hint="eastAsia" w:ascii="仿宋_GB2312" w:hAnsi="Tahoma" w:cs="仿宋_GB2312"/>
                <w:color w:val="000000"/>
                <w:kern w:val="0"/>
                <w:sz w:val="21"/>
                <w:szCs w:val="21"/>
                <w:lang w:val="en-US" w:eastAsia="zh-CN"/>
              </w:rPr>
              <w:t>10</w:t>
            </w:r>
            <w:r>
              <w:rPr>
                <w:rFonts w:hint="eastAsia" w:ascii="仿宋_GB2312" w:hAnsi="Tahoma" w:cs="仿宋_GB2312"/>
                <w:color w:val="000000"/>
                <w:kern w:val="0"/>
                <w:sz w:val="21"/>
                <w:szCs w:val="21"/>
                <w:lang/>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4" w:hRule="atLeast"/>
        </w:trPr>
        <w:tc>
          <w:tcPr>
            <w:tcW w:w="1234" w:type="dxa"/>
            <w:vMerge w:val="continue"/>
            <w:tcBorders>
              <w:left w:val="single" w:color="auto" w:sz="4" w:space="0"/>
              <w:bottom w:val="single" w:color="auto" w:sz="4" w:space="0"/>
              <w:right w:val="single" w:color="auto" w:sz="4" w:space="0"/>
            </w:tcBorders>
            <w:vAlign w:val="center"/>
          </w:tcPr>
          <w:p>
            <w:pPr>
              <w:widowControl/>
              <w:rPr>
                <w:rFonts w:hint="eastAsia" w:ascii="仿宋_GB2312" w:hAnsi="Times New Roman"/>
                <w:color w:val="000000"/>
                <w:kern w:val="0"/>
                <w:sz w:val="22"/>
                <w:szCs w:val="22"/>
              </w:rPr>
            </w:pPr>
          </w:p>
        </w:tc>
        <w:tc>
          <w:tcPr>
            <w:tcW w:w="2230"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1"/>
                <w:szCs w:val="21"/>
              </w:rPr>
              <w:t>资金使用合规性</w:t>
            </w:r>
          </w:p>
        </w:tc>
        <w:tc>
          <w:tcPr>
            <w:tcW w:w="117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6</w:t>
            </w:r>
          </w:p>
        </w:tc>
        <w:tc>
          <w:tcPr>
            <w:tcW w:w="116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合规</w:t>
            </w:r>
          </w:p>
        </w:tc>
        <w:tc>
          <w:tcPr>
            <w:tcW w:w="1152"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2"/>
                <w:szCs w:val="22"/>
              </w:rPr>
            </w:pPr>
            <w:r>
              <w:rPr>
                <w:rFonts w:hint="eastAsia" w:ascii="仿宋_GB2312" w:hAnsi="Tahoma" w:cs="仿宋_GB2312"/>
                <w:color w:val="000000"/>
                <w:kern w:val="0"/>
                <w:sz w:val="21"/>
                <w:szCs w:val="21"/>
                <w:lang/>
              </w:rPr>
              <w:t>合规</w:t>
            </w:r>
          </w:p>
        </w:tc>
        <w:tc>
          <w:tcPr>
            <w:tcW w:w="110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6</w:t>
            </w:r>
          </w:p>
        </w:tc>
        <w:tc>
          <w:tcPr>
            <w:tcW w:w="111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2"/>
                <w:szCs w:val="22"/>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4" w:hRule="atLeast"/>
        </w:trPr>
        <w:tc>
          <w:tcPr>
            <w:tcW w:w="12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组织实施</w:t>
            </w:r>
          </w:p>
        </w:tc>
        <w:tc>
          <w:tcPr>
            <w:tcW w:w="22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Times New Roman"/>
                <w:color w:val="000000"/>
                <w:kern w:val="0"/>
                <w:sz w:val="21"/>
                <w:szCs w:val="21"/>
              </w:rPr>
            </w:pPr>
            <w:r>
              <w:rPr>
                <w:rFonts w:hint="eastAsia" w:ascii="仿宋_GB2312" w:hAnsi="Tahoma" w:cs="仿宋_GB2312"/>
                <w:color w:val="000000"/>
                <w:kern w:val="0"/>
                <w:sz w:val="21"/>
                <w:szCs w:val="21"/>
                <w:lang/>
              </w:rPr>
              <w:t xml:space="preserve"> 制度健全性</w:t>
            </w:r>
          </w:p>
        </w:tc>
        <w:tc>
          <w:tcPr>
            <w:tcW w:w="117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2</w:t>
            </w:r>
          </w:p>
        </w:tc>
        <w:tc>
          <w:tcPr>
            <w:tcW w:w="116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规范</w:t>
            </w:r>
          </w:p>
        </w:tc>
        <w:tc>
          <w:tcPr>
            <w:tcW w:w="1152"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ahoma" w:cs="仿宋_GB2312"/>
                <w:color w:val="000000"/>
                <w:kern w:val="0"/>
                <w:sz w:val="21"/>
                <w:szCs w:val="21"/>
                <w:lang/>
              </w:rPr>
              <w:t>规范</w:t>
            </w:r>
          </w:p>
        </w:tc>
        <w:tc>
          <w:tcPr>
            <w:tcW w:w="110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2</w:t>
            </w:r>
          </w:p>
        </w:tc>
        <w:tc>
          <w:tcPr>
            <w:tcW w:w="111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2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p>
        </w:tc>
        <w:tc>
          <w:tcPr>
            <w:tcW w:w="22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Times New Roman"/>
                <w:color w:val="000000"/>
                <w:kern w:val="0"/>
                <w:sz w:val="21"/>
                <w:szCs w:val="21"/>
              </w:rPr>
            </w:pPr>
            <w:r>
              <w:rPr>
                <w:rFonts w:hint="eastAsia" w:ascii="仿宋_GB2312" w:hAnsi="Tahoma" w:cs="仿宋_GB2312"/>
                <w:color w:val="000000"/>
                <w:kern w:val="0"/>
                <w:sz w:val="21"/>
                <w:szCs w:val="21"/>
                <w:lang/>
              </w:rPr>
              <w:t>执行有效性</w:t>
            </w:r>
          </w:p>
        </w:tc>
        <w:tc>
          <w:tcPr>
            <w:tcW w:w="1174" w:type="dxa"/>
            <w:tcBorders>
              <w:top w:val="nil"/>
              <w:left w:val="nil"/>
              <w:bottom w:val="single" w:color="auto" w:sz="4" w:space="0"/>
              <w:right w:val="single" w:color="auto" w:sz="4" w:space="0"/>
            </w:tcBorders>
            <w:vAlign w:val="center"/>
          </w:tcPr>
          <w:p>
            <w:pPr>
              <w:widowControl/>
              <w:jc w:val="center"/>
              <w:textAlignment w:val="center"/>
              <w:rPr>
                <w:rFonts w:ascii="仿宋_GB2312" w:hAnsi="Times New Roman"/>
                <w:color w:val="000000"/>
                <w:kern w:val="0"/>
                <w:sz w:val="21"/>
                <w:szCs w:val="21"/>
              </w:rPr>
            </w:pPr>
            <w:r>
              <w:rPr>
                <w:rFonts w:hint="eastAsia" w:ascii="仿宋_GB2312" w:hAnsi="Tahoma" w:cs="仿宋_GB2312"/>
                <w:color w:val="000000"/>
                <w:kern w:val="0"/>
                <w:sz w:val="21"/>
                <w:szCs w:val="21"/>
                <w:lang/>
              </w:rPr>
              <w:t>4</w:t>
            </w:r>
          </w:p>
        </w:tc>
        <w:tc>
          <w:tcPr>
            <w:tcW w:w="116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健全</w:t>
            </w:r>
          </w:p>
        </w:tc>
        <w:tc>
          <w:tcPr>
            <w:tcW w:w="1152"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ahoma" w:cs="仿宋_GB2312"/>
                <w:color w:val="000000"/>
                <w:kern w:val="0"/>
                <w:sz w:val="21"/>
                <w:szCs w:val="21"/>
                <w:lang/>
              </w:rPr>
              <w:t>较</w:t>
            </w:r>
            <w:r>
              <w:rPr>
                <w:rFonts w:hint="eastAsia" w:ascii="仿宋_GB2312" w:hAnsi="Times New Roman"/>
                <w:color w:val="000000"/>
                <w:kern w:val="0"/>
                <w:sz w:val="22"/>
                <w:szCs w:val="22"/>
              </w:rPr>
              <w:t>健全</w:t>
            </w:r>
          </w:p>
        </w:tc>
        <w:tc>
          <w:tcPr>
            <w:tcW w:w="110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2</w:t>
            </w:r>
          </w:p>
        </w:tc>
        <w:tc>
          <w:tcPr>
            <w:tcW w:w="1114"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合计</w:t>
            </w:r>
          </w:p>
        </w:tc>
        <w:tc>
          <w:tcPr>
            <w:tcW w:w="223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174" w:type="dxa"/>
            <w:tcBorders>
              <w:top w:val="nil"/>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20</w:t>
            </w:r>
          </w:p>
        </w:tc>
        <w:tc>
          <w:tcPr>
            <w:tcW w:w="1161" w:type="dxa"/>
            <w:tcBorders>
              <w:top w:val="nil"/>
              <w:left w:val="nil"/>
              <w:bottom w:val="single" w:color="auto" w:sz="4" w:space="0"/>
              <w:right w:val="single" w:color="auto" w:sz="4" w:space="0"/>
            </w:tcBorders>
            <w:vAlign w:val="top"/>
          </w:tcPr>
          <w:p>
            <w:pPr>
              <w:widowControl/>
              <w:jc w:val="center"/>
              <w:rPr>
                <w:rFonts w:hint="eastAsia" w:ascii="仿宋_GB2312" w:hAnsi="Times New Roman"/>
                <w:b/>
                <w:bCs/>
                <w:color w:val="000000"/>
                <w:kern w:val="0"/>
                <w:sz w:val="22"/>
                <w:szCs w:val="22"/>
              </w:rPr>
            </w:pPr>
          </w:p>
        </w:tc>
        <w:tc>
          <w:tcPr>
            <w:tcW w:w="1152" w:type="dxa"/>
            <w:tcBorders>
              <w:top w:val="nil"/>
              <w:left w:val="nil"/>
              <w:bottom w:val="single" w:color="auto" w:sz="4" w:space="0"/>
              <w:right w:val="single" w:color="auto" w:sz="4" w:space="0"/>
            </w:tcBorders>
            <w:vAlign w:val="top"/>
          </w:tcPr>
          <w:p>
            <w:pPr>
              <w:widowControl/>
              <w:jc w:val="center"/>
              <w:rPr>
                <w:rFonts w:ascii="仿宋_GB2312" w:hAnsi="Times New Roman"/>
                <w:b/>
                <w:bCs/>
                <w:color w:val="000000"/>
                <w:kern w:val="0"/>
                <w:sz w:val="22"/>
                <w:szCs w:val="22"/>
              </w:rPr>
            </w:pPr>
          </w:p>
        </w:tc>
        <w:tc>
          <w:tcPr>
            <w:tcW w:w="1107" w:type="dxa"/>
            <w:tcBorders>
              <w:top w:val="nil"/>
              <w:left w:val="nil"/>
              <w:bottom w:val="single" w:color="auto" w:sz="4" w:space="0"/>
              <w:right w:val="single" w:color="auto" w:sz="4" w:space="0"/>
            </w:tcBorders>
            <w:vAlign w:val="bottom"/>
          </w:tcPr>
          <w:p>
            <w:pPr>
              <w:widowControl/>
              <w:jc w:val="center"/>
              <w:rPr>
                <w:rFonts w:hint="eastAsia" w:ascii="仿宋_GB2312" w:hAnsi="Times New Roman" w:eastAsia="仿宋_GB2312"/>
                <w:b/>
                <w:bCs/>
                <w:color w:val="000000"/>
                <w:kern w:val="0"/>
                <w:sz w:val="22"/>
                <w:szCs w:val="22"/>
                <w:lang w:eastAsia="zh-CN"/>
              </w:rPr>
            </w:pPr>
            <w:r>
              <w:rPr>
                <w:rFonts w:hint="eastAsia" w:ascii="仿宋_GB2312" w:hAnsi="Times New Roman"/>
                <w:b/>
                <w:bCs/>
                <w:color w:val="000000"/>
                <w:kern w:val="0"/>
                <w:sz w:val="22"/>
                <w:szCs w:val="22"/>
              </w:rPr>
              <w:t>1</w:t>
            </w:r>
            <w:r>
              <w:rPr>
                <w:rFonts w:hint="eastAsia" w:ascii="仿宋_GB2312" w:hAnsi="Times New Roman"/>
                <w:b/>
                <w:bCs/>
                <w:color w:val="000000"/>
                <w:kern w:val="0"/>
                <w:sz w:val="22"/>
                <w:szCs w:val="22"/>
                <w:lang w:val="en-US" w:eastAsia="zh-CN"/>
              </w:rPr>
              <w:t>8</w:t>
            </w:r>
          </w:p>
        </w:tc>
        <w:tc>
          <w:tcPr>
            <w:tcW w:w="1114" w:type="dxa"/>
            <w:tcBorders>
              <w:top w:val="nil"/>
              <w:left w:val="nil"/>
              <w:bottom w:val="single" w:color="auto" w:sz="4" w:space="0"/>
              <w:right w:val="single" w:color="auto" w:sz="4" w:space="0"/>
            </w:tcBorders>
            <w:vAlign w:val="bottom"/>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lang w:val="en-US" w:eastAsia="zh-CN"/>
              </w:rPr>
              <w:t>9</w:t>
            </w:r>
            <w:r>
              <w:rPr>
                <w:rFonts w:hint="eastAsia" w:ascii="仿宋_GB2312" w:hAnsi="Times New Roman"/>
                <w:b/>
                <w:bCs/>
                <w:color w:val="000000"/>
                <w:kern w:val="0"/>
                <w:sz w:val="22"/>
                <w:szCs w:val="22"/>
              </w:rPr>
              <w:t>0.00%</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从项目过程上看：项目资金</w:t>
      </w:r>
      <w:r>
        <w:rPr>
          <w:rFonts w:hint="eastAsia" w:ascii="仿宋_GB2312" w:hAnsi="Calibri"/>
          <w:kern w:val="0"/>
          <w:sz w:val="32"/>
          <w:szCs w:val="32"/>
          <w:lang w:val="en-US" w:eastAsia="zh-CN"/>
        </w:rPr>
        <w:t>已按预算</w:t>
      </w:r>
      <w:r>
        <w:rPr>
          <w:rFonts w:hint="eastAsia" w:ascii="仿宋_GB2312" w:hAnsi="Calibri"/>
          <w:kern w:val="0"/>
          <w:sz w:val="32"/>
          <w:szCs w:val="32"/>
        </w:rPr>
        <w:t>支付；项目管理制度健全，但存在方案简易不够完整，合同约定不够明确等问题。具体分析如下：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1.预算执行率:根据潮海街道提供的项目收支凭证，项目奖补资金</w:t>
      </w:r>
      <w:r>
        <w:rPr>
          <w:rFonts w:hint="eastAsia" w:ascii="仿宋_GB2312" w:hAnsi="Calibri"/>
          <w:kern w:val="0"/>
          <w:sz w:val="32"/>
          <w:szCs w:val="32"/>
          <w:lang w:val="en-US" w:eastAsia="zh-CN"/>
        </w:rPr>
        <w:t>已</w:t>
      </w:r>
      <w:r>
        <w:rPr>
          <w:rFonts w:hint="eastAsia" w:ascii="仿宋_GB2312" w:hAnsi="Calibri"/>
          <w:kern w:val="0"/>
          <w:sz w:val="32"/>
          <w:szCs w:val="32"/>
        </w:rPr>
        <w:t>支付</w:t>
      </w:r>
      <w:r>
        <w:rPr>
          <w:rFonts w:hint="eastAsia" w:ascii="仿宋_GB2312" w:hAnsi="Calibri"/>
          <w:kern w:val="0"/>
          <w:sz w:val="32"/>
          <w:szCs w:val="32"/>
          <w:lang w:val="en-US" w:eastAsia="zh-CN"/>
        </w:rPr>
        <w:t>60,000.00元</w:t>
      </w:r>
      <w:r>
        <w:rPr>
          <w:rFonts w:hint="eastAsia" w:ascii="仿宋_GB2312" w:hAnsi="Calibri"/>
          <w:kern w:val="0"/>
          <w:sz w:val="32"/>
          <w:szCs w:val="32"/>
        </w:rPr>
        <w:t>，预算执行率=（实际支出</w:t>
      </w:r>
      <w:r>
        <w:rPr>
          <w:rFonts w:hint="eastAsia" w:ascii="仿宋_GB2312" w:hAnsi="Calibri"/>
          <w:kern w:val="0"/>
          <w:sz w:val="32"/>
          <w:szCs w:val="32"/>
          <w:lang w:val="en-US" w:eastAsia="zh-CN"/>
        </w:rPr>
        <w:t>60,000.00</w:t>
      </w:r>
      <w:r>
        <w:rPr>
          <w:rFonts w:hint="eastAsia" w:ascii="仿宋_GB2312" w:hAnsi="Calibri"/>
          <w:kern w:val="0"/>
          <w:sz w:val="32"/>
          <w:szCs w:val="32"/>
        </w:rPr>
        <w:t>元/预算安排金额</w:t>
      </w:r>
      <w:r>
        <w:rPr>
          <w:rFonts w:hint="eastAsia" w:ascii="仿宋_GB2312" w:hAnsi="Calibri"/>
          <w:kern w:val="0"/>
          <w:sz w:val="32"/>
          <w:szCs w:val="32"/>
          <w:lang w:val="en-US" w:eastAsia="zh-CN"/>
        </w:rPr>
        <w:t>60,000.00</w:t>
      </w:r>
      <w:r>
        <w:rPr>
          <w:rFonts w:hint="eastAsia" w:ascii="仿宋_GB2312" w:hAnsi="Calibri"/>
          <w:kern w:val="0"/>
          <w:sz w:val="32"/>
          <w:szCs w:val="32"/>
        </w:rPr>
        <w:t>元）*100%=</w:t>
      </w:r>
      <w:r>
        <w:rPr>
          <w:rFonts w:hint="eastAsia" w:ascii="仿宋_GB2312" w:hAnsi="Calibri"/>
          <w:kern w:val="0"/>
          <w:sz w:val="32"/>
          <w:szCs w:val="32"/>
          <w:lang w:val="en-US" w:eastAsia="zh-CN"/>
        </w:rPr>
        <w:t>10</w:t>
      </w:r>
      <w:r>
        <w:rPr>
          <w:rFonts w:hint="eastAsia" w:ascii="仿宋_GB2312" w:hAnsi="Calibri"/>
          <w:kern w:val="0"/>
          <w:sz w:val="32"/>
          <w:szCs w:val="32"/>
        </w:rPr>
        <w:t>0.00%。依据评价指标体系，本指标得</w:t>
      </w:r>
      <w:r>
        <w:rPr>
          <w:rFonts w:hint="eastAsia" w:ascii="仿宋_GB2312" w:hAnsi="Calibri"/>
          <w:kern w:val="0"/>
          <w:sz w:val="32"/>
          <w:szCs w:val="32"/>
          <w:lang w:val="en-US" w:eastAsia="zh-CN"/>
        </w:rPr>
        <w:t>8</w:t>
      </w:r>
      <w:r>
        <w:rPr>
          <w:rFonts w:hint="eastAsia" w:ascii="仿宋_GB2312" w:hAnsi="Calibri"/>
          <w:kern w:val="0"/>
          <w:sz w:val="32"/>
          <w:szCs w:val="32"/>
        </w:rPr>
        <w:t>分，得分率</w:t>
      </w:r>
      <w:r>
        <w:rPr>
          <w:rFonts w:hint="eastAsia" w:ascii="仿宋_GB2312" w:hAnsi="Calibri"/>
          <w:kern w:val="0"/>
          <w:sz w:val="32"/>
          <w:szCs w:val="32"/>
          <w:lang w:val="en-US" w:eastAsia="zh-CN"/>
        </w:rPr>
        <w:t>10</w:t>
      </w:r>
      <w:r>
        <w:rPr>
          <w:rFonts w:hint="eastAsia" w:ascii="仿宋_GB2312" w:hAnsi="Calibri"/>
          <w:kern w:val="0"/>
          <w:sz w:val="32"/>
          <w:szCs w:val="32"/>
        </w:rPr>
        <w:t>0.00%。</w:t>
      </w:r>
    </w:p>
    <w:p>
      <w:pPr>
        <w:pStyle w:val="26"/>
        <w:spacing w:line="560" w:lineRule="exact"/>
        <w:ind w:firstLine="640"/>
        <w:rPr>
          <w:rFonts w:hint="eastAsia" w:ascii="仿宋_GB2312" w:hAnsi="Calibri" w:eastAsia="仿宋_GB2312"/>
          <w:kern w:val="0"/>
          <w:sz w:val="32"/>
          <w:szCs w:val="32"/>
          <w:lang w:val="en-US" w:eastAsia="zh-CN"/>
        </w:rPr>
      </w:pPr>
      <w:r>
        <w:rPr>
          <w:rFonts w:hint="eastAsia" w:ascii="仿宋_GB2312" w:hAnsi="Calibri"/>
          <w:kern w:val="0"/>
          <w:sz w:val="32"/>
          <w:szCs w:val="32"/>
        </w:rPr>
        <w:t>2.资金使用合规性：依据评价指标体系，本指标得</w:t>
      </w:r>
      <w:r>
        <w:rPr>
          <w:rFonts w:hint="eastAsia" w:ascii="仿宋_GB2312" w:hAnsi="Calibri"/>
          <w:kern w:val="0"/>
          <w:sz w:val="32"/>
          <w:szCs w:val="32"/>
          <w:lang w:val="en-US" w:eastAsia="zh-CN"/>
        </w:rPr>
        <w:t>6</w:t>
      </w:r>
      <w:r>
        <w:rPr>
          <w:rFonts w:hint="eastAsia" w:ascii="仿宋_GB2312" w:hAnsi="Calibri"/>
          <w:kern w:val="0"/>
          <w:sz w:val="32"/>
          <w:szCs w:val="32"/>
        </w:rPr>
        <w:t>分，得分率100.00%，得分明细如下</w:t>
      </w:r>
      <w:r>
        <w:rPr>
          <w:rFonts w:hint="eastAsia" w:ascii="仿宋_GB2312" w:hAnsi="Calibri"/>
          <w:kern w:val="0"/>
          <w:sz w:val="32"/>
          <w:szCs w:val="32"/>
          <w:lang w:eastAsia="zh-CN"/>
        </w:rPr>
        <w:t>：</w:t>
      </w:r>
    </w:p>
    <w:p>
      <w:pPr>
        <w:pStyle w:val="26"/>
        <w:spacing w:line="560" w:lineRule="exact"/>
        <w:ind w:left="0" w:leftChars="0" w:firstLine="640" w:firstLineChars="200"/>
        <w:rPr>
          <w:rFonts w:hint="eastAsia" w:ascii="仿宋_GB2312" w:hAnsi="Calibri"/>
          <w:kern w:val="0"/>
          <w:sz w:val="32"/>
          <w:szCs w:val="32"/>
        </w:rPr>
      </w:pPr>
      <w:r>
        <w:rPr>
          <w:rFonts w:hint="eastAsia" w:ascii="仿宋_GB2312" w:hAnsi="Calibri"/>
          <w:kern w:val="0"/>
          <w:sz w:val="32"/>
          <w:szCs w:val="32"/>
        </w:rPr>
        <w:t>（1）资金使用符合相关规定，得1分。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w:t>
      </w:r>
      <w:r>
        <w:rPr>
          <w:rFonts w:hint="eastAsia" w:ascii="仿宋_GB2312" w:hAnsi="Calibri"/>
          <w:kern w:val="0"/>
          <w:sz w:val="32"/>
          <w:szCs w:val="32"/>
          <w:lang w:val="en-US" w:eastAsia="zh-CN"/>
        </w:rPr>
        <w:t>2</w:t>
      </w:r>
      <w:r>
        <w:rPr>
          <w:rFonts w:hint="eastAsia" w:ascii="仿宋_GB2312" w:hAnsi="Calibri"/>
          <w:kern w:val="0"/>
          <w:sz w:val="32"/>
          <w:szCs w:val="32"/>
        </w:rPr>
        <w:t>）资金的拨付申请有完整的审批程序，得2分。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w:t>
      </w:r>
      <w:r>
        <w:rPr>
          <w:rFonts w:hint="eastAsia" w:ascii="仿宋_GB2312" w:hAnsi="Calibri"/>
          <w:kern w:val="0"/>
          <w:sz w:val="32"/>
          <w:szCs w:val="32"/>
          <w:lang w:val="en-US" w:eastAsia="zh-CN"/>
        </w:rPr>
        <w:t>3</w:t>
      </w:r>
      <w:r>
        <w:rPr>
          <w:rFonts w:hint="eastAsia" w:ascii="仿宋_GB2312" w:hAnsi="Calibri"/>
          <w:kern w:val="0"/>
          <w:sz w:val="32"/>
          <w:szCs w:val="32"/>
        </w:rPr>
        <w:t>）资金使用符合预算和合同约定的道路整修工程，得1分。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w:t>
      </w:r>
      <w:r>
        <w:rPr>
          <w:rFonts w:hint="eastAsia" w:ascii="仿宋_GB2312" w:hAnsi="Calibri"/>
          <w:kern w:val="0"/>
          <w:sz w:val="32"/>
          <w:szCs w:val="32"/>
          <w:lang w:val="en-US" w:eastAsia="zh-CN"/>
        </w:rPr>
        <w:t>4</w:t>
      </w:r>
      <w:r>
        <w:rPr>
          <w:rFonts w:hint="eastAsia" w:ascii="仿宋_GB2312" w:hAnsi="Calibri"/>
          <w:kern w:val="0"/>
          <w:sz w:val="32"/>
          <w:szCs w:val="32"/>
        </w:rPr>
        <w:t>）未发现存在截留、挤占、挪用、虚列支出等情况，得2分。</w:t>
      </w:r>
    </w:p>
    <w:p>
      <w:pPr>
        <w:pStyle w:val="26"/>
        <w:spacing w:line="560" w:lineRule="exact"/>
        <w:ind w:left="0" w:leftChars="0" w:firstLine="640" w:firstLineChars="200"/>
        <w:rPr>
          <w:rFonts w:hint="eastAsia" w:ascii="仿宋_GB2312" w:hAnsi="Calibri"/>
          <w:kern w:val="0"/>
          <w:sz w:val="32"/>
          <w:szCs w:val="32"/>
        </w:rPr>
      </w:pPr>
      <w:r>
        <w:rPr>
          <w:rFonts w:hint="eastAsia" w:ascii="仿宋_GB2312" w:hAnsi="Calibri"/>
          <w:kern w:val="0"/>
          <w:sz w:val="32"/>
          <w:szCs w:val="32"/>
        </w:rPr>
        <w:t>3.制度健全性：依据评价指标体系，本指标得2分，得分率100.00%，得分明细如下：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（1）潮海街道办事处农村公益事业财政奖补项目方案已公示，得1分；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（2）项目的开展依据《青岛市即墨区财政局关于做好2022年农村公益事业财政奖补工作的通知》（即财农</w:t>
      </w:r>
      <w:r>
        <w:rPr>
          <w:rFonts w:hint="eastAsia" w:ascii="宋体" w:hAnsi="宋体" w:eastAsia="宋体" w:cs="宋体"/>
          <w:kern w:val="0"/>
          <w:sz w:val="32"/>
          <w:szCs w:val="32"/>
        </w:rPr>
        <w:t>〔</w:t>
      </w:r>
      <w:r>
        <w:rPr>
          <w:rFonts w:hint="eastAsia" w:ascii="仿宋_GB2312" w:hAnsi="Calibri"/>
          <w:kern w:val="0"/>
          <w:sz w:val="32"/>
          <w:szCs w:val="32"/>
        </w:rPr>
        <w:t>2022</w:t>
      </w:r>
      <w:r>
        <w:rPr>
          <w:rFonts w:hint="eastAsia" w:ascii="宋体" w:hAnsi="宋体" w:eastAsia="宋体" w:cs="宋体"/>
          <w:kern w:val="0"/>
          <w:sz w:val="32"/>
          <w:szCs w:val="32"/>
        </w:rPr>
        <w:t>〕</w:t>
      </w:r>
      <w:r>
        <w:rPr>
          <w:rFonts w:hint="eastAsia" w:ascii="仿宋_GB2312" w:hAnsi="Calibri" w:eastAsia="宋体"/>
          <w:kern w:val="0"/>
          <w:sz w:val="32"/>
          <w:szCs w:val="32"/>
        </w:rPr>
        <w:t>97</w:t>
      </w:r>
      <w:r>
        <w:rPr>
          <w:rFonts w:hint="eastAsia" w:ascii="仿宋_GB2312" w:hAnsi="Calibri"/>
          <w:kern w:val="0"/>
          <w:sz w:val="32"/>
          <w:szCs w:val="32"/>
        </w:rPr>
        <w:t>号），合法合规，得1分。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4.执行有效性：依据评价指标体系，本指标得2分，得分率50.00%。</w:t>
      </w:r>
    </w:p>
    <w:p>
      <w:pPr>
        <w:pStyle w:val="26"/>
        <w:spacing w:line="560" w:lineRule="exact"/>
        <w:ind w:firstLine="640"/>
        <w:rPr>
          <w:rFonts w:hint="eastAsia" w:ascii="仿宋_GB2312" w:hAnsi="Calibri"/>
          <w:kern w:val="0"/>
          <w:sz w:val="32"/>
          <w:szCs w:val="32"/>
        </w:rPr>
      </w:pPr>
      <w:bookmarkStart w:id="503" w:name="_Toc14594"/>
      <w:bookmarkStart w:id="504" w:name="_Toc28871"/>
      <w:bookmarkStart w:id="505" w:name="_Toc13159"/>
      <w:bookmarkStart w:id="506" w:name="_Toc11995"/>
      <w:r>
        <w:rPr>
          <w:rFonts w:hint="eastAsia" w:ascii="仿宋_GB2312" w:hAnsi="Calibri"/>
          <w:kern w:val="0"/>
          <w:sz w:val="32"/>
          <w:szCs w:val="32"/>
        </w:rPr>
        <w:t>（1）项目实施过程符合相关法律法规和管理规定，但合同约定内容不规范，质量要求及保修责任期约定过于笼统，没有明确标准，扣1分；</w:t>
      </w:r>
      <w:bookmarkEnd w:id="503"/>
    </w:p>
    <w:p>
      <w:pPr>
        <w:pStyle w:val="26"/>
        <w:spacing w:line="560" w:lineRule="exact"/>
        <w:ind w:firstLine="640"/>
        <w:rPr>
          <w:rFonts w:hint="eastAsia" w:ascii="仿宋_GB2312" w:hAnsi="Calibri"/>
          <w:kern w:val="0"/>
          <w:sz w:val="32"/>
          <w:szCs w:val="32"/>
        </w:rPr>
      </w:pPr>
      <w:bookmarkStart w:id="507" w:name="_Toc30066"/>
      <w:r>
        <w:rPr>
          <w:rFonts w:hint="eastAsia" w:ascii="仿宋_GB2312" w:hAnsi="Calibri"/>
          <w:kern w:val="0"/>
          <w:sz w:val="32"/>
          <w:szCs w:val="32"/>
        </w:rPr>
        <w:t>（2）项目合同、验收表等资料已归档，但项目竣工验收简易，验收报告表只有村庄书记签字及相关</w:t>
      </w:r>
      <w:r>
        <w:rPr>
          <w:rFonts w:hint="eastAsia" w:ascii="仿宋_GB2312" w:hAnsi="Calibri"/>
          <w:kern w:val="0"/>
          <w:sz w:val="32"/>
          <w:szCs w:val="32"/>
          <w:lang w:eastAsia="zh-CN"/>
        </w:rPr>
        <w:t>单位</w:t>
      </w:r>
      <w:r>
        <w:rPr>
          <w:rFonts w:hint="eastAsia" w:ascii="仿宋_GB2312" w:hAnsi="Calibri"/>
          <w:kern w:val="0"/>
          <w:sz w:val="32"/>
          <w:szCs w:val="32"/>
        </w:rPr>
        <w:t>盖章，无验收意见及验收流程，扣1分。</w:t>
      </w:r>
      <w:bookmarkEnd w:id="507"/>
    </w:p>
    <w:p>
      <w:pPr>
        <w:pStyle w:val="26"/>
        <w:spacing w:line="560" w:lineRule="exact"/>
        <w:ind w:firstLine="640"/>
        <w:outlineLvl w:val="1"/>
        <w:rPr>
          <w:rFonts w:hint="eastAsia" w:eastAsia="楷体_GB2312"/>
          <w:bCs/>
          <w:kern w:val="0"/>
          <w:sz w:val="32"/>
          <w:szCs w:val="32"/>
        </w:rPr>
      </w:pPr>
      <w:bookmarkStart w:id="508" w:name="_Toc27520"/>
      <w:r>
        <w:rPr>
          <w:rFonts w:hint="eastAsia" w:eastAsia="楷体_GB2312"/>
          <w:bCs/>
          <w:kern w:val="0"/>
          <w:sz w:val="32"/>
          <w:szCs w:val="32"/>
        </w:rPr>
        <w:t>（三）项目产出情况</w:t>
      </w:r>
      <w:bookmarkEnd w:id="504"/>
      <w:bookmarkEnd w:id="505"/>
      <w:bookmarkEnd w:id="506"/>
      <w:bookmarkEnd w:id="508"/>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项目产出类指标权重分32分，得分32分，得分率100.00%，由4个二级指标及4个三级指标构成，从产出数量、产出质量、产出时效和产出成本四个方面进行考察。各项指标得分和绩效分析如下：</w:t>
      </w:r>
    </w:p>
    <w:p>
      <w:pPr>
        <w:pStyle w:val="26"/>
        <w:spacing w:line="600" w:lineRule="exact"/>
        <w:ind w:firstLine="0" w:firstLineChars="0"/>
        <w:jc w:val="center"/>
        <w:rPr>
          <w:rFonts w:hint="eastAsia" w:ascii="仿宋_GB2312" w:hAnsi="黑体"/>
          <w:kern w:val="0"/>
          <w:szCs w:val="30"/>
        </w:rPr>
      </w:pPr>
      <w:r>
        <w:rPr>
          <w:rFonts w:hint="eastAsia" w:ascii="仿宋_GB2312" w:hAnsi="黑体"/>
          <w:kern w:val="0"/>
          <w:szCs w:val="30"/>
        </w:rPr>
        <w:t>表-6 产出类指标得分情况</w:t>
      </w:r>
    </w:p>
    <w:tbl>
      <w:tblPr>
        <w:tblW w:w="91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5"/>
        <w:gridCol w:w="1641"/>
        <w:gridCol w:w="1477"/>
        <w:gridCol w:w="1315"/>
        <w:gridCol w:w="1141"/>
        <w:gridCol w:w="1132"/>
        <w:gridCol w:w="1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3" w:hRule="atLeast"/>
          <w:tblHeader/>
        </w:trPr>
        <w:tc>
          <w:tcPr>
            <w:tcW w:w="13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二级指标</w:t>
            </w:r>
          </w:p>
        </w:tc>
        <w:tc>
          <w:tcPr>
            <w:tcW w:w="1641" w:type="dxa"/>
            <w:tcBorders>
              <w:top w:val="single" w:color="auto" w:sz="4" w:space="0"/>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三级指标</w:t>
            </w:r>
          </w:p>
        </w:tc>
        <w:tc>
          <w:tcPr>
            <w:tcW w:w="1477"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分值</w:t>
            </w:r>
          </w:p>
        </w:tc>
        <w:tc>
          <w:tcPr>
            <w:tcW w:w="131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标杆值</w:t>
            </w:r>
          </w:p>
        </w:tc>
        <w:tc>
          <w:tcPr>
            <w:tcW w:w="1141"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完成情况</w:t>
            </w:r>
          </w:p>
        </w:tc>
        <w:tc>
          <w:tcPr>
            <w:tcW w:w="1132"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w:t>
            </w:r>
          </w:p>
        </w:tc>
        <w:tc>
          <w:tcPr>
            <w:tcW w:w="1091"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3" w:hRule="atLeast"/>
        </w:trPr>
        <w:tc>
          <w:tcPr>
            <w:tcW w:w="137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产出数量</w:t>
            </w:r>
          </w:p>
        </w:tc>
        <w:tc>
          <w:tcPr>
            <w:tcW w:w="164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实际完成率</w:t>
            </w:r>
          </w:p>
        </w:tc>
        <w:tc>
          <w:tcPr>
            <w:tcW w:w="1477" w:type="dxa"/>
            <w:tcBorders>
              <w:top w:val="nil"/>
              <w:left w:val="nil"/>
              <w:bottom w:val="single" w:color="auto" w:sz="4" w:space="0"/>
              <w:right w:val="single" w:color="auto" w:sz="4" w:space="0"/>
            </w:tcBorders>
            <w:vAlign w:val="center"/>
          </w:tcPr>
          <w:p>
            <w:pPr>
              <w:widowControl/>
              <w:jc w:val="center"/>
              <w:textAlignment w:val="center"/>
              <w:rPr>
                <w:rFonts w:ascii="仿宋_GB2312" w:hAnsi="Times New Roman"/>
                <w:color w:val="000000"/>
                <w:kern w:val="0"/>
                <w:sz w:val="21"/>
                <w:szCs w:val="21"/>
              </w:rPr>
            </w:pPr>
            <w:r>
              <w:rPr>
                <w:rFonts w:hint="eastAsia" w:ascii="仿宋_GB2312" w:hAnsi="Tahoma" w:cs="仿宋_GB2312"/>
                <w:color w:val="000000"/>
                <w:kern w:val="0"/>
                <w:sz w:val="21"/>
                <w:szCs w:val="21"/>
                <w:lang/>
              </w:rPr>
              <w:t>8</w:t>
            </w:r>
          </w:p>
        </w:tc>
        <w:tc>
          <w:tcPr>
            <w:tcW w:w="1315"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4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32"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8</w:t>
            </w:r>
          </w:p>
        </w:tc>
        <w:tc>
          <w:tcPr>
            <w:tcW w:w="109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3" w:hRule="atLeast"/>
        </w:trPr>
        <w:tc>
          <w:tcPr>
            <w:tcW w:w="137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产出质量</w:t>
            </w:r>
          </w:p>
        </w:tc>
        <w:tc>
          <w:tcPr>
            <w:tcW w:w="164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质量达标率</w:t>
            </w:r>
          </w:p>
        </w:tc>
        <w:tc>
          <w:tcPr>
            <w:tcW w:w="147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8</w:t>
            </w:r>
          </w:p>
        </w:tc>
        <w:tc>
          <w:tcPr>
            <w:tcW w:w="1315"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4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32"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8</w:t>
            </w:r>
          </w:p>
        </w:tc>
        <w:tc>
          <w:tcPr>
            <w:tcW w:w="109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3" w:hRule="atLeast"/>
        </w:trPr>
        <w:tc>
          <w:tcPr>
            <w:tcW w:w="137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产出时效</w:t>
            </w:r>
          </w:p>
        </w:tc>
        <w:tc>
          <w:tcPr>
            <w:tcW w:w="164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完成及时率</w:t>
            </w:r>
          </w:p>
        </w:tc>
        <w:tc>
          <w:tcPr>
            <w:tcW w:w="1477"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imes New Roman"/>
                <w:color w:val="000000"/>
                <w:kern w:val="0"/>
                <w:sz w:val="21"/>
                <w:szCs w:val="21"/>
              </w:rPr>
            </w:pPr>
            <w:r>
              <w:rPr>
                <w:rFonts w:hint="eastAsia" w:ascii="仿宋_GB2312" w:hAnsi="Tahoma" w:cs="仿宋_GB2312"/>
                <w:color w:val="000000"/>
                <w:kern w:val="0"/>
                <w:sz w:val="21"/>
                <w:szCs w:val="21"/>
                <w:lang/>
              </w:rPr>
              <w:t>8</w:t>
            </w:r>
          </w:p>
        </w:tc>
        <w:tc>
          <w:tcPr>
            <w:tcW w:w="1315"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4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ascii="仿宋_GB2312" w:hAnsi="Times New Roman"/>
                <w:color w:val="000000"/>
                <w:kern w:val="0"/>
                <w:sz w:val="22"/>
                <w:szCs w:val="22"/>
              </w:rPr>
              <w:t>100</w:t>
            </w:r>
            <w:r>
              <w:rPr>
                <w:rFonts w:hint="eastAsia" w:ascii="仿宋_GB2312" w:hAnsi="Times New Roman"/>
                <w:color w:val="000000"/>
                <w:kern w:val="0"/>
                <w:sz w:val="22"/>
                <w:szCs w:val="22"/>
              </w:rPr>
              <w:t>.00</w:t>
            </w:r>
            <w:r>
              <w:rPr>
                <w:rFonts w:ascii="仿宋_GB2312" w:hAnsi="Times New Roman"/>
                <w:color w:val="000000"/>
                <w:kern w:val="0"/>
                <w:sz w:val="22"/>
                <w:szCs w:val="22"/>
              </w:rPr>
              <w:t>%</w:t>
            </w:r>
          </w:p>
        </w:tc>
        <w:tc>
          <w:tcPr>
            <w:tcW w:w="1132"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8</w:t>
            </w:r>
          </w:p>
        </w:tc>
        <w:tc>
          <w:tcPr>
            <w:tcW w:w="109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8" w:hRule="atLeast"/>
        </w:trPr>
        <w:tc>
          <w:tcPr>
            <w:tcW w:w="137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产出成本</w:t>
            </w:r>
          </w:p>
        </w:tc>
        <w:tc>
          <w:tcPr>
            <w:tcW w:w="164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成本节约率</w:t>
            </w:r>
          </w:p>
        </w:tc>
        <w:tc>
          <w:tcPr>
            <w:tcW w:w="1477" w:type="dxa"/>
            <w:tcBorders>
              <w:top w:val="nil"/>
              <w:left w:val="nil"/>
              <w:bottom w:val="single" w:color="auto" w:sz="4" w:space="0"/>
              <w:right w:val="single" w:color="auto" w:sz="4" w:space="0"/>
            </w:tcBorders>
            <w:vAlign w:val="center"/>
          </w:tcPr>
          <w:p>
            <w:pPr>
              <w:widowControl/>
              <w:jc w:val="center"/>
              <w:textAlignment w:val="center"/>
              <w:rPr>
                <w:rFonts w:ascii="仿宋_GB2312" w:hAnsi="Times New Roman"/>
                <w:color w:val="000000"/>
                <w:kern w:val="0"/>
                <w:sz w:val="21"/>
                <w:szCs w:val="21"/>
              </w:rPr>
            </w:pPr>
            <w:r>
              <w:rPr>
                <w:rFonts w:hint="eastAsia" w:ascii="仿宋_GB2312" w:hAnsi="Tahoma" w:cs="仿宋_GB2312"/>
                <w:color w:val="000000"/>
                <w:kern w:val="0"/>
                <w:sz w:val="21"/>
                <w:szCs w:val="21"/>
                <w:lang/>
              </w:rPr>
              <w:t>8</w:t>
            </w:r>
          </w:p>
        </w:tc>
        <w:tc>
          <w:tcPr>
            <w:tcW w:w="1315"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0.00</w:t>
            </w:r>
            <w:r>
              <w:rPr>
                <w:rFonts w:ascii="仿宋_GB2312" w:hAnsi="Times New Roman"/>
                <w:color w:val="000000"/>
                <w:kern w:val="0"/>
                <w:sz w:val="22"/>
                <w:szCs w:val="22"/>
              </w:rPr>
              <w:t>%</w:t>
            </w:r>
          </w:p>
        </w:tc>
        <w:tc>
          <w:tcPr>
            <w:tcW w:w="114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0.00</w:t>
            </w:r>
            <w:r>
              <w:rPr>
                <w:rFonts w:ascii="仿宋_GB2312" w:hAnsi="Times New Roman"/>
                <w:color w:val="000000"/>
                <w:kern w:val="0"/>
                <w:sz w:val="22"/>
                <w:szCs w:val="22"/>
              </w:rPr>
              <w:t>%</w:t>
            </w:r>
          </w:p>
        </w:tc>
        <w:tc>
          <w:tcPr>
            <w:tcW w:w="1132"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8</w:t>
            </w:r>
          </w:p>
        </w:tc>
        <w:tc>
          <w:tcPr>
            <w:tcW w:w="1091" w:type="dxa"/>
            <w:tcBorders>
              <w:top w:val="nil"/>
              <w:left w:val="nil"/>
              <w:bottom w:val="single" w:color="auto" w:sz="4" w:space="0"/>
              <w:right w:val="single" w:color="auto" w:sz="4" w:space="0"/>
            </w:tcBorders>
            <w:vAlign w:val="center"/>
          </w:tcPr>
          <w:p>
            <w:pPr>
              <w:widowControl/>
              <w:jc w:val="center"/>
              <w:textAlignment w:val="center"/>
              <w:rPr>
                <w:rFonts w:hint="eastAsia" w:ascii="仿宋_GB2312" w:hAnsi="Tahoma" w:cs="仿宋_GB2312"/>
                <w:color w:val="000000"/>
                <w:kern w:val="0"/>
                <w:sz w:val="21"/>
                <w:szCs w:val="21"/>
                <w:lang/>
              </w:rPr>
            </w:pPr>
            <w:r>
              <w:rPr>
                <w:rFonts w:hint="eastAsia" w:ascii="仿宋_GB2312" w:hAnsi="Tahoma" w:cs="仿宋_GB2312"/>
                <w:color w:val="000000"/>
                <w:kern w:val="0"/>
                <w:sz w:val="21"/>
                <w:szCs w:val="21"/>
                <w:lang/>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3" w:hRule="atLeast"/>
        </w:trPr>
        <w:tc>
          <w:tcPr>
            <w:tcW w:w="137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合计</w:t>
            </w:r>
          </w:p>
        </w:tc>
        <w:tc>
          <w:tcPr>
            <w:tcW w:w="1641"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477" w:type="dxa"/>
            <w:tcBorders>
              <w:top w:val="nil"/>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32</w:t>
            </w:r>
          </w:p>
        </w:tc>
        <w:tc>
          <w:tcPr>
            <w:tcW w:w="1315"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141"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132" w:type="dxa"/>
            <w:tcBorders>
              <w:top w:val="nil"/>
              <w:left w:val="nil"/>
              <w:bottom w:val="single" w:color="auto" w:sz="4" w:space="0"/>
              <w:right w:val="single" w:color="auto" w:sz="4" w:space="0"/>
            </w:tcBorders>
            <w:vAlign w:val="bottom"/>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32</w:t>
            </w:r>
          </w:p>
        </w:tc>
        <w:tc>
          <w:tcPr>
            <w:tcW w:w="1091"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100.00%</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从项目产出上看：预算计划的工程量已全部按时完成并验收通过，质量达标，未出现开裂、坍塌、排水不畅等不良现象，实际成本在预算安排的成本范围内。具体分析如下：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1.产出数量：经现场勘察，已完成村内排水沟3700米盖板，依据评价指标体系，本指标得8分，得分率100.00%。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产出质量：根据潮海街道办事处提供的项目验收报告表，辛戈庄村部分污水沟清理、盖板隐蔽化处理工程项目已经村庄监督小组验收通过，村庄及潮海街道办事处已盖章批复；经现场勘察，已整修的排水沟未出现淤积、开裂、排水不畅等不良情况，依据评价指标体系，本指标得8分，得分率100.00%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3.产出时效：根据潮海街道办事处提供的项目验收报告表，辛戈庄村部分污水沟清理、盖板隐蔽化处理工程项目竣工时间为2022年11月10日，符合项目时效，依据评价指标体系，本指标得8分，得分率100.00%。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4.产出成本：依据评价指标体系，本指标得8分，得分率100.00%，得分明细如下：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（1）项目预算金额424,900.00元，中标价为424,900.00元，实际成本为423,233.12元，节约成本1,666.88元,得4分。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（2）项目已由山东汇鑫安工程项目管理有限公司出具结算审核报告，工程实际成本在申报的预算范围内，得4分。</w:t>
      </w:r>
    </w:p>
    <w:p>
      <w:pPr>
        <w:pStyle w:val="26"/>
        <w:spacing w:line="560" w:lineRule="exact"/>
        <w:ind w:firstLine="640"/>
        <w:outlineLvl w:val="1"/>
        <w:rPr>
          <w:rFonts w:hint="eastAsia" w:eastAsia="楷体_GB2312"/>
          <w:bCs/>
          <w:kern w:val="0"/>
          <w:sz w:val="32"/>
          <w:szCs w:val="32"/>
        </w:rPr>
      </w:pPr>
      <w:bookmarkStart w:id="509" w:name="_Toc24505"/>
      <w:bookmarkStart w:id="510" w:name="_Toc10558"/>
      <w:bookmarkStart w:id="511" w:name="_Toc17075"/>
      <w:bookmarkStart w:id="512" w:name="_Toc29870"/>
      <w:r>
        <w:rPr>
          <w:rFonts w:hint="eastAsia" w:eastAsia="楷体_GB2312"/>
          <w:bCs/>
          <w:kern w:val="0"/>
          <w:sz w:val="32"/>
          <w:szCs w:val="32"/>
        </w:rPr>
        <w:t>（四）项目效益情况</w:t>
      </w:r>
      <w:bookmarkEnd w:id="509"/>
      <w:bookmarkEnd w:id="510"/>
      <w:bookmarkEnd w:id="511"/>
      <w:bookmarkEnd w:id="512"/>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项目效益类指标权重分33分，得分28分，得分率84.85%。共设3个二级指标及5个三级指标，从项目效益、可持续影响、满意度三个方面进行考察。各项指标得分和绩效分析如下：</w:t>
      </w:r>
    </w:p>
    <w:p>
      <w:pPr>
        <w:pStyle w:val="26"/>
        <w:spacing w:line="600" w:lineRule="exact"/>
        <w:ind w:firstLine="0" w:firstLineChars="0"/>
        <w:jc w:val="center"/>
        <w:rPr>
          <w:rFonts w:hint="eastAsia" w:ascii="仿宋_GB2312" w:hAnsi="黑体"/>
          <w:kern w:val="0"/>
          <w:szCs w:val="30"/>
        </w:rPr>
      </w:pPr>
      <w:r>
        <w:rPr>
          <w:rFonts w:hint="eastAsia" w:ascii="仿宋_GB2312" w:hAnsi="黑体"/>
          <w:kern w:val="0"/>
          <w:szCs w:val="30"/>
        </w:rPr>
        <w:t>表-7效益类指标得分情况</w:t>
      </w:r>
    </w:p>
    <w:tbl>
      <w:tblPr>
        <w:tblW w:w="91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3"/>
        <w:gridCol w:w="2571"/>
        <w:gridCol w:w="918"/>
        <w:gridCol w:w="1098"/>
        <w:gridCol w:w="1108"/>
        <w:gridCol w:w="1053"/>
        <w:gridCol w:w="10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tblHeader/>
        </w:trPr>
        <w:tc>
          <w:tcPr>
            <w:tcW w:w="13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二级指标</w:t>
            </w:r>
          </w:p>
        </w:tc>
        <w:tc>
          <w:tcPr>
            <w:tcW w:w="2571" w:type="dxa"/>
            <w:tcBorders>
              <w:top w:val="single" w:color="auto" w:sz="4" w:space="0"/>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三级指标</w:t>
            </w:r>
          </w:p>
        </w:tc>
        <w:tc>
          <w:tcPr>
            <w:tcW w:w="91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分值</w:t>
            </w:r>
          </w:p>
        </w:tc>
        <w:tc>
          <w:tcPr>
            <w:tcW w:w="109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标杆值</w:t>
            </w:r>
          </w:p>
        </w:tc>
        <w:tc>
          <w:tcPr>
            <w:tcW w:w="110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完成情况</w:t>
            </w:r>
          </w:p>
        </w:tc>
        <w:tc>
          <w:tcPr>
            <w:tcW w:w="1053"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w:t>
            </w:r>
          </w:p>
        </w:tc>
        <w:tc>
          <w:tcPr>
            <w:tcW w:w="1031"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得分率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1393" w:type="dxa"/>
            <w:vMerge w:val="restart"/>
            <w:tcBorders>
              <w:top w:val="nil"/>
              <w:left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项目效益</w:t>
            </w:r>
          </w:p>
        </w:tc>
        <w:tc>
          <w:tcPr>
            <w:tcW w:w="257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经济效益</w:t>
            </w:r>
          </w:p>
        </w:tc>
        <w:tc>
          <w:tcPr>
            <w:tcW w:w="91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4</w:t>
            </w:r>
          </w:p>
        </w:tc>
        <w:tc>
          <w:tcPr>
            <w:tcW w:w="109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影响</w:t>
            </w:r>
          </w:p>
        </w:tc>
        <w:tc>
          <w:tcPr>
            <w:tcW w:w="1108"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影响</w:t>
            </w:r>
          </w:p>
        </w:tc>
        <w:tc>
          <w:tcPr>
            <w:tcW w:w="1053"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4</w:t>
            </w:r>
          </w:p>
        </w:tc>
        <w:tc>
          <w:tcPr>
            <w:tcW w:w="103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8" w:hRule="atLeast"/>
        </w:trPr>
        <w:tc>
          <w:tcPr>
            <w:tcW w:w="1393" w:type="dxa"/>
            <w:vMerge w:val="continue"/>
            <w:tcBorders>
              <w:left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p>
        </w:tc>
        <w:tc>
          <w:tcPr>
            <w:tcW w:w="257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社会效益</w:t>
            </w:r>
          </w:p>
        </w:tc>
        <w:tc>
          <w:tcPr>
            <w:tcW w:w="918"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8</w:t>
            </w:r>
          </w:p>
        </w:tc>
        <w:tc>
          <w:tcPr>
            <w:tcW w:w="109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影响</w:t>
            </w:r>
          </w:p>
        </w:tc>
        <w:tc>
          <w:tcPr>
            <w:tcW w:w="1108"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影响</w:t>
            </w:r>
          </w:p>
        </w:tc>
        <w:tc>
          <w:tcPr>
            <w:tcW w:w="1053"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6</w:t>
            </w:r>
          </w:p>
        </w:tc>
        <w:tc>
          <w:tcPr>
            <w:tcW w:w="103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8" w:hRule="atLeast"/>
        </w:trPr>
        <w:tc>
          <w:tcPr>
            <w:tcW w:w="1393"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p>
        </w:tc>
        <w:tc>
          <w:tcPr>
            <w:tcW w:w="257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生态效益</w:t>
            </w:r>
          </w:p>
        </w:tc>
        <w:tc>
          <w:tcPr>
            <w:tcW w:w="91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8</w:t>
            </w:r>
          </w:p>
        </w:tc>
        <w:tc>
          <w:tcPr>
            <w:tcW w:w="109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影响</w:t>
            </w:r>
          </w:p>
        </w:tc>
        <w:tc>
          <w:tcPr>
            <w:tcW w:w="110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影响</w:t>
            </w:r>
          </w:p>
        </w:tc>
        <w:tc>
          <w:tcPr>
            <w:tcW w:w="1053"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8</w:t>
            </w:r>
          </w:p>
        </w:tc>
        <w:tc>
          <w:tcPr>
            <w:tcW w:w="103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1393" w:type="dxa"/>
            <w:tcBorders>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可持续影响</w:t>
            </w:r>
          </w:p>
        </w:tc>
        <w:tc>
          <w:tcPr>
            <w:tcW w:w="257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可持续影响</w:t>
            </w:r>
          </w:p>
        </w:tc>
        <w:tc>
          <w:tcPr>
            <w:tcW w:w="91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8</w:t>
            </w:r>
          </w:p>
        </w:tc>
        <w:tc>
          <w:tcPr>
            <w:tcW w:w="1098"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持续</w:t>
            </w:r>
          </w:p>
        </w:tc>
        <w:tc>
          <w:tcPr>
            <w:tcW w:w="110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持续</w:t>
            </w:r>
          </w:p>
        </w:tc>
        <w:tc>
          <w:tcPr>
            <w:tcW w:w="1053"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5</w:t>
            </w:r>
          </w:p>
        </w:tc>
        <w:tc>
          <w:tcPr>
            <w:tcW w:w="103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62.50%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1393"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满意度</w:t>
            </w:r>
          </w:p>
        </w:tc>
        <w:tc>
          <w:tcPr>
            <w:tcW w:w="2571"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服务对象满意度</w:t>
            </w:r>
          </w:p>
        </w:tc>
        <w:tc>
          <w:tcPr>
            <w:tcW w:w="91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5</w:t>
            </w:r>
          </w:p>
        </w:tc>
        <w:tc>
          <w:tcPr>
            <w:tcW w:w="1098"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满意</w:t>
            </w:r>
          </w:p>
        </w:tc>
        <w:tc>
          <w:tcPr>
            <w:tcW w:w="1108" w:type="dxa"/>
            <w:tcBorders>
              <w:top w:val="nil"/>
              <w:left w:val="nil"/>
              <w:bottom w:val="single" w:color="auto" w:sz="4" w:space="0"/>
              <w:right w:val="single" w:color="auto" w:sz="4" w:space="0"/>
            </w:tcBorders>
            <w:vAlign w:val="center"/>
          </w:tcPr>
          <w:p>
            <w:pPr>
              <w:widowControl/>
              <w:jc w:val="center"/>
              <w:rPr>
                <w:rFonts w:ascii="仿宋_GB2312" w:hAnsi="Times New Roman"/>
                <w:color w:val="000000"/>
                <w:kern w:val="0"/>
                <w:sz w:val="22"/>
                <w:szCs w:val="22"/>
              </w:rPr>
            </w:pPr>
            <w:r>
              <w:rPr>
                <w:rFonts w:hint="eastAsia" w:ascii="仿宋_GB2312" w:hAnsi="Times New Roman"/>
                <w:color w:val="000000"/>
                <w:kern w:val="0"/>
                <w:sz w:val="22"/>
                <w:szCs w:val="22"/>
              </w:rPr>
              <w:t>满意</w:t>
            </w:r>
          </w:p>
        </w:tc>
        <w:tc>
          <w:tcPr>
            <w:tcW w:w="1053"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5</w:t>
            </w:r>
          </w:p>
        </w:tc>
        <w:tc>
          <w:tcPr>
            <w:tcW w:w="1031" w:type="dxa"/>
            <w:tcBorders>
              <w:top w:val="nil"/>
              <w:left w:val="nil"/>
              <w:bottom w:val="single" w:color="auto" w:sz="4" w:space="0"/>
              <w:right w:val="single" w:color="auto" w:sz="4" w:space="0"/>
            </w:tcBorders>
            <w:vAlign w:val="center"/>
          </w:tcPr>
          <w:p>
            <w:pPr>
              <w:widowControl/>
              <w:jc w:val="center"/>
              <w:rPr>
                <w:rFonts w:hint="eastAsia" w:ascii="仿宋_GB2312" w:hAnsi="Times New Roman"/>
                <w:color w:val="000000"/>
                <w:kern w:val="0"/>
                <w:sz w:val="22"/>
                <w:szCs w:val="22"/>
              </w:rPr>
            </w:pPr>
            <w:r>
              <w:rPr>
                <w:rFonts w:hint="eastAsia" w:ascii="仿宋_GB2312" w:hAnsi="Times New Roman"/>
                <w:color w:val="000000"/>
                <w:kern w:val="0"/>
                <w:sz w:val="22"/>
                <w:szCs w:val="22"/>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1393"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合计</w:t>
            </w:r>
          </w:p>
        </w:tc>
        <w:tc>
          <w:tcPr>
            <w:tcW w:w="2571"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918" w:type="dxa"/>
            <w:tcBorders>
              <w:top w:val="nil"/>
              <w:left w:val="nil"/>
              <w:bottom w:val="single" w:color="auto" w:sz="4" w:space="0"/>
              <w:right w:val="single" w:color="auto" w:sz="4" w:space="0"/>
            </w:tcBorders>
            <w:vAlign w:val="center"/>
          </w:tcPr>
          <w:p>
            <w:pPr>
              <w:widowControl/>
              <w:jc w:val="center"/>
              <w:rPr>
                <w:rFonts w:ascii="仿宋_GB2312" w:hAnsi="Times New Roman"/>
                <w:b/>
                <w:bCs/>
                <w:color w:val="000000"/>
                <w:kern w:val="0"/>
                <w:sz w:val="22"/>
                <w:szCs w:val="22"/>
              </w:rPr>
            </w:pPr>
            <w:r>
              <w:rPr>
                <w:rFonts w:hint="eastAsia" w:ascii="仿宋_GB2312" w:hAnsi="Times New Roman"/>
                <w:b/>
                <w:bCs/>
                <w:color w:val="000000"/>
                <w:kern w:val="0"/>
                <w:sz w:val="22"/>
                <w:szCs w:val="22"/>
              </w:rPr>
              <w:t>33</w:t>
            </w:r>
          </w:p>
        </w:tc>
        <w:tc>
          <w:tcPr>
            <w:tcW w:w="1098"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108" w:type="dxa"/>
            <w:tcBorders>
              <w:top w:val="nil"/>
              <w:left w:val="nil"/>
              <w:bottom w:val="single" w:color="auto" w:sz="4" w:space="0"/>
              <w:right w:val="single" w:color="auto" w:sz="4" w:space="0"/>
            </w:tcBorders>
            <w:vAlign w:val="center"/>
          </w:tcPr>
          <w:p>
            <w:pPr>
              <w:widowControl/>
              <w:jc w:val="center"/>
              <w:rPr>
                <w:rFonts w:hint="eastAsia" w:ascii="仿宋_GB2312" w:hAnsi="Times New Roman"/>
                <w:b/>
                <w:bCs/>
                <w:color w:val="000000"/>
                <w:kern w:val="0"/>
                <w:sz w:val="22"/>
                <w:szCs w:val="22"/>
              </w:rPr>
            </w:pPr>
          </w:p>
        </w:tc>
        <w:tc>
          <w:tcPr>
            <w:tcW w:w="1053" w:type="dxa"/>
            <w:tcBorders>
              <w:top w:val="nil"/>
              <w:left w:val="nil"/>
              <w:bottom w:val="single" w:color="auto" w:sz="4" w:space="0"/>
              <w:right w:val="single" w:color="auto" w:sz="4" w:space="0"/>
            </w:tcBorders>
            <w:vAlign w:val="bottom"/>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28</w:t>
            </w:r>
          </w:p>
        </w:tc>
        <w:tc>
          <w:tcPr>
            <w:tcW w:w="1031" w:type="dxa"/>
            <w:tcBorders>
              <w:top w:val="nil"/>
              <w:left w:val="nil"/>
              <w:bottom w:val="single" w:color="auto" w:sz="4" w:space="0"/>
              <w:right w:val="single" w:color="auto" w:sz="4" w:space="0"/>
            </w:tcBorders>
            <w:vAlign w:val="bottom"/>
          </w:tcPr>
          <w:p>
            <w:pPr>
              <w:widowControl/>
              <w:jc w:val="center"/>
              <w:rPr>
                <w:rFonts w:hint="eastAsia" w:ascii="仿宋_GB2312" w:hAnsi="Times New Roman"/>
                <w:b/>
                <w:bCs/>
                <w:color w:val="000000"/>
                <w:kern w:val="0"/>
                <w:sz w:val="22"/>
                <w:szCs w:val="22"/>
              </w:rPr>
            </w:pPr>
            <w:r>
              <w:rPr>
                <w:rFonts w:hint="eastAsia" w:ascii="仿宋_GB2312" w:hAnsi="Times New Roman"/>
                <w:b/>
                <w:bCs/>
                <w:color w:val="000000"/>
                <w:kern w:val="0"/>
                <w:sz w:val="22"/>
                <w:szCs w:val="22"/>
              </w:rPr>
              <w:t>84.85%</w:t>
            </w:r>
          </w:p>
        </w:tc>
      </w:tr>
    </w:tbl>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从项目效益上看：根据调查问卷反馈结果，项目社会效益和生态效益较明显，但存在未关注效益发展情况等问题。</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经济效益：部分污水沟清理、盖板隐蔽化处理工程项目作为村级公益建设事项，不能产生直接的经济效益，但项目的实施完善了辛戈庄村的基础设施，对后期辛戈庄村发展村庄经济打下坚实基础，具有积极影响，依据评价指标体系，本指标得4分，得分率100.00%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社会效益：根根据施工前照片，项目实施前村庄排水沟较破烂，淤泥及生活垃圾堆积，排水功能减弱，影响周围村民生活。部分污水沟清理、盖板隐蔽化处理工程项目实施后，排水沟清除淤积，恢复排水功能，并加盖盖板，防止垃圾堆积，评价小组抽取辛戈庄村21户人家进行问卷调查，其中反映项目实施改善了排水不畅问题、提高人居环境质量的共30户，占比100%，但村庄和街道办事处绩效意识淡薄，未关注效益的发展情况，依据评价指标体系，本指标得6分，得分率75.00%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生态效益：项目实施前村庄排水沟淤泥较厚，垃圾堆积，严重影响村庄整体形象及周边环境。项目实施后村庄整体环境面貌得到较大改善，评价小组抽取辛戈庄村21户人家进行问卷调查，其中反映项目实施改善了村庄整体环境面貌、推进了美丽乡村建设的共21户，占比100%，但村庄和街道办事处绩效意识淡薄，未关注效益的发展情况，因已在社会效益处扣分，本项不再重复扣分。依据评价指标体系，本指标得8分，得分率100.00%。</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4.可持续影响：依据评价指标体系，本指标得5分，得分率62.50%，得分明细如下：</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（1）经现场勘察，未发现已修建的排水沟盖板有开裂、坍塌现象，得3分。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（2）抽取辛戈庄村21户人家进行问卷调查，排水沟未再出现排水不畅等不良情况，得2分。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（3）未设立相关管护措施或资金保障，合同未约定保修责任，后续的质量问题得不到保障，扣3分。</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5.服务对象满意度：部分污水沟清理、盖板隐蔽化处理工程项目属于村级公益事业建设一事一议财政奖补项目，服务对象主要为辛戈庄村村民，抽取辛戈庄村21户人家进行问卷调查，其中对部分污水沟清理、盖板隐蔽化处理工程项目的实施表示满意的共21户，满意度100%。依据评价指标体系，本指标得5分，得分率100.00%。</w:t>
      </w:r>
    </w:p>
    <w:p>
      <w:pPr>
        <w:spacing w:line="560" w:lineRule="exact"/>
        <w:ind w:firstLine="640" w:firstLineChars="200"/>
        <w:outlineLvl w:val="0"/>
        <w:rPr>
          <w:rFonts w:hint="eastAsia" w:ascii="黑体" w:hAnsi="黑体" w:eastAsia="黑体"/>
          <w:sz w:val="32"/>
          <w:szCs w:val="32"/>
        </w:rPr>
      </w:pPr>
      <w:bookmarkStart w:id="513" w:name="_Toc5074"/>
      <w:r>
        <w:rPr>
          <w:rFonts w:hint="eastAsia" w:ascii="黑体" w:hAnsi="黑体" w:eastAsia="黑体"/>
          <w:sz w:val="32"/>
          <w:szCs w:val="32"/>
        </w:rPr>
        <w:t>五、主要经验及做法</w:t>
      </w:r>
      <w:bookmarkEnd w:id="460"/>
      <w:bookmarkEnd w:id="461"/>
      <w:bookmarkEnd w:id="462"/>
      <w:bookmarkEnd w:id="513"/>
    </w:p>
    <w:p>
      <w:pPr>
        <w:pStyle w:val="26"/>
        <w:spacing w:line="560" w:lineRule="exact"/>
        <w:ind w:firstLine="640"/>
        <w:rPr>
          <w:rFonts w:ascii="仿宋_GB2312" w:hAnsi="Calibri"/>
          <w:kern w:val="0"/>
          <w:sz w:val="32"/>
          <w:szCs w:val="32"/>
        </w:rPr>
      </w:pPr>
      <w:r>
        <w:rPr>
          <w:rFonts w:hint="eastAsia" w:eastAsia="楷体_GB2312"/>
          <w:bCs/>
          <w:kern w:val="0"/>
          <w:sz w:val="32"/>
          <w:szCs w:val="32"/>
        </w:rPr>
        <w:t>（一）</w:t>
      </w:r>
      <w:r>
        <w:rPr>
          <w:rFonts w:hint="eastAsia" w:ascii="仿宋_GB2312" w:hAnsi="Calibri"/>
          <w:kern w:val="0"/>
          <w:sz w:val="32"/>
          <w:szCs w:val="32"/>
        </w:rPr>
        <w:t>组织领导到位，监督保障有力</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街道明确辛戈庄村部分污水沟清理、盖板隐蔽化处理工程项目后，辛戈庄村委及时召开了两委会议，决定成立由村庄党总支书记领导的工程监督协调小组，协调村民与施工单位，加强对部分污水沟清理、盖板隐蔽化处理工作的指导和监督，便于整修工程快速推进。</w:t>
      </w:r>
    </w:p>
    <w:p>
      <w:pPr>
        <w:pStyle w:val="26"/>
        <w:spacing w:line="560" w:lineRule="exact"/>
        <w:ind w:firstLine="640"/>
        <w:rPr>
          <w:rFonts w:hint="eastAsia" w:ascii="仿宋_GB2312" w:hAnsi="Calibri"/>
          <w:kern w:val="0"/>
          <w:sz w:val="32"/>
          <w:szCs w:val="32"/>
        </w:rPr>
      </w:pPr>
      <w:r>
        <w:rPr>
          <w:rFonts w:hint="eastAsia" w:eastAsia="楷体_GB2312"/>
          <w:bCs/>
          <w:kern w:val="0"/>
          <w:sz w:val="32"/>
          <w:szCs w:val="32"/>
        </w:rPr>
        <w:t>（</w:t>
      </w:r>
      <w:r>
        <w:rPr>
          <w:rFonts w:hint="eastAsia" w:eastAsia="楷体_GB2312"/>
          <w:bCs/>
          <w:kern w:val="0"/>
          <w:sz w:val="32"/>
          <w:szCs w:val="32"/>
          <w:lang w:val="en-US" w:eastAsia="zh-CN"/>
        </w:rPr>
        <w:t>二</w:t>
      </w:r>
      <w:r>
        <w:rPr>
          <w:rFonts w:hint="eastAsia" w:eastAsia="楷体_GB2312"/>
          <w:bCs/>
          <w:kern w:val="0"/>
          <w:sz w:val="32"/>
          <w:szCs w:val="32"/>
        </w:rPr>
        <w:t>）</w:t>
      </w:r>
      <w:r>
        <w:rPr>
          <w:rFonts w:hint="eastAsia" w:ascii="仿宋_GB2312" w:hAnsi="Calibri"/>
          <w:kern w:val="0"/>
          <w:sz w:val="32"/>
          <w:szCs w:val="32"/>
        </w:rPr>
        <w:t>密切干群关系，推动社会主义新农村建设</w:t>
      </w:r>
    </w:p>
    <w:p>
      <w:pPr>
        <w:spacing w:line="560" w:lineRule="exact"/>
        <w:ind w:firstLine="640" w:firstLineChars="200"/>
        <w:rPr>
          <w:rFonts w:hint="eastAsia" w:ascii="仿宋_GB2312" w:hAnsi="Calibri"/>
          <w:kern w:val="0"/>
          <w:sz w:val="32"/>
          <w:szCs w:val="32"/>
        </w:rPr>
      </w:pPr>
      <w:bookmarkStart w:id="514" w:name="_Toc6525"/>
      <w:bookmarkStart w:id="515" w:name="_Toc14601"/>
      <w:bookmarkStart w:id="516" w:name="_Toc2972"/>
      <w:bookmarkStart w:id="517" w:name="_Toc7374"/>
      <w:bookmarkStart w:id="518" w:name="_Toc15866"/>
      <w:bookmarkStart w:id="519" w:name="_Toc8250"/>
      <w:bookmarkStart w:id="520" w:name="_Toc20685"/>
      <w:bookmarkStart w:id="521" w:name="_Toc7933"/>
      <w:r>
        <w:rPr>
          <w:rFonts w:hint="eastAsia" w:ascii="仿宋_GB2312" w:hAnsi="Calibri"/>
          <w:kern w:val="0"/>
          <w:sz w:val="32"/>
          <w:szCs w:val="32"/>
        </w:rPr>
        <w:t>潮海街道办事处及辛戈庄村经济合作社积极推动部分污水沟清理、盖板隐蔽化处理工程项目的实施，向村民充分宣传修建排水沟的优势，鼓励村民自觉参与工程的监督，实现排水沟修建与村庄整体规划的和谐统一，通过改善内涝整治村容村貌，便民惠民，推动社会主义新农村建设。</w:t>
      </w:r>
      <w:bookmarkEnd w:id="514"/>
      <w:bookmarkEnd w:id="515"/>
      <w:bookmarkEnd w:id="516"/>
      <w:bookmarkEnd w:id="517"/>
      <w:bookmarkEnd w:id="518"/>
    </w:p>
    <w:p>
      <w:pPr>
        <w:spacing w:line="560" w:lineRule="exact"/>
        <w:ind w:firstLine="640" w:firstLineChars="200"/>
        <w:outlineLvl w:val="0"/>
        <w:rPr>
          <w:rFonts w:hint="eastAsia" w:ascii="黑体" w:hAnsi="黑体" w:eastAsia="黑体"/>
          <w:sz w:val="32"/>
          <w:szCs w:val="32"/>
        </w:rPr>
      </w:pPr>
      <w:bookmarkStart w:id="522" w:name="_Toc990"/>
      <w:r>
        <w:rPr>
          <w:rFonts w:hint="eastAsia" w:ascii="黑体" w:hAnsi="黑体" w:eastAsia="黑体"/>
          <w:sz w:val="32"/>
          <w:szCs w:val="32"/>
        </w:rPr>
        <w:t>六、存在的问题及原因分析</w:t>
      </w:r>
      <w:bookmarkEnd w:id="519"/>
      <w:bookmarkEnd w:id="520"/>
      <w:bookmarkEnd w:id="522"/>
    </w:p>
    <w:bookmarkEnd w:id="521"/>
    <w:p>
      <w:pPr>
        <w:pStyle w:val="26"/>
        <w:spacing w:line="560" w:lineRule="exact"/>
        <w:ind w:firstLine="640"/>
        <w:outlineLvl w:val="1"/>
        <w:rPr>
          <w:rFonts w:hint="eastAsia" w:eastAsia="楷体_GB2312"/>
          <w:bCs/>
          <w:kern w:val="0"/>
          <w:sz w:val="32"/>
          <w:szCs w:val="32"/>
        </w:rPr>
      </w:pPr>
      <w:bookmarkStart w:id="523" w:name="_Toc4815"/>
      <w:bookmarkStart w:id="524" w:name="_Toc21909"/>
      <w:bookmarkStart w:id="525" w:name="_Toc22612"/>
      <w:bookmarkStart w:id="526" w:name="_Toc19603"/>
      <w:r>
        <w:rPr>
          <w:rFonts w:hint="eastAsia" w:eastAsia="楷体_GB2312"/>
          <w:bCs/>
          <w:kern w:val="0"/>
          <w:sz w:val="32"/>
          <w:szCs w:val="32"/>
        </w:rPr>
        <w:t>（一）绩效意识淡薄，项目实施前未设绩效目标</w:t>
      </w:r>
      <w:bookmarkEnd w:id="523"/>
    </w:p>
    <w:p>
      <w:pPr>
        <w:pStyle w:val="26"/>
        <w:spacing w:line="560" w:lineRule="exact"/>
        <w:ind w:firstLine="640"/>
        <w:rPr>
          <w:rFonts w:ascii="仿宋_GB2312" w:hAnsi="Calibri"/>
          <w:kern w:val="0"/>
          <w:sz w:val="32"/>
          <w:szCs w:val="32"/>
        </w:rPr>
      </w:pPr>
      <w:r>
        <w:rPr>
          <w:rFonts w:hint="eastAsia" w:ascii="仿宋_GB2312" w:hAnsi="Calibri"/>
          <w:kern w:val="0"/>
          <w:sz w:val="32"/>
          <w:szCs w:val="32"/>
        </w:rPr>
        <w:t>根据青岛市即墨区财政局《关于印发青岛市即墨区预算绩效管理办法的通知》（即财绩效〔2020〕260号）第七条“专项资金预算绩效目标，按照“谁申请、谁编制”的原则编制。”、第九条“专项资金绩效目标是编制专项资金预算的前置条件，也是开展专项资金绩效监控和评价的重要依据。各预算</w:t>
      </w:r>
      <w:r>
        <w:rPr>
          <w:rFonts w:hint="eastAsia" w:ascii="仿宋_GB2312" w:hAnsi="Calibri"/>
          <w:kern w:val="0"/>
          <w:sz w:val="32"/>
          <w:szCs w:val="32"/>
          <w:lang w:eastAsia="zh-CN"/>
        </w:rPr>
        <w:t>单位</w:t>
      </w:r>
      <w:r>
        <w:rPr>
          <w:rFonts w:hint="eastAsia" w:ascii="仿宋_GB2312" w:hAnsi="Calibri"/>
          <w:kern w:val="0"/>
          <w:sz w:val="32"/>
          <w:szCs w:val="32"/>
        </w:rPr>
        <w:t>要建立健全本</w:t>
      </w:r>
      <w:r>
        <w:rPr>
          <w:rFonts w:hint="eastAsia" w:ascii="仿宋_GB2312" w:hAnsi="Calibri"/>
          <w:kern w:val="0"/>
          <w:sz w:val="32"/>
          <w:szCs w:val="32"/>
          <w:lang w:eastAsia="zh-CN"/>
        </w:rPr>
        <w:t>单位</w:t>
      </w:r>
      <w:r>
        <w:rPr>
          <w:rFonts w:hint="eastAsia" w:ascii="仿宋_GB2312" w:hAnsi="Calibri"/>
          <w:kern w:val="0"/>
          <w:sz w:val="32"/>
          <w:szCs w:val="32"/>
        </w:rPr>
        <w:t>专项资金绩效目标编制管理的制度办法和决策程序，加强对所属单位的业务指导和专项资金绩效目标审核工作。”的要求，潮海街道办事处应负责或指导本级财政专项资金绩效目标的设定，但在实际工作中，潮海街道办事处未形成本级绩效体系，在项目预算申报前未指导、监督项目绩效目标的编制，预算绩效管理意识淡薄，绩效理念未树立。</w:t>
      </w:r>
    </w:p>
    <w:p>
      <w:pPr>
        <w:pStyle w:val="26"/>
        <w:spacing w:line="560" w:lineRule="exact"/>
        <w:ind w:firstLine="640"/>
        <w:outlineLvl w:val="1"/>
        <w:rPr>
          <w:rFonts w:hint="eastAsia" w:eastAsia="楷体_GB2312"/>
          <w:bCs/>
          <w:kern w:val="0"/>
          <w:sz w:val="32"/>
          <w:szCs w:val="32"/>
        </w:rPr>
      </w:pPr>
      <w:bookmarkStart w:id="527" w:name="_Toc15723"/>
      <w:r>
        <w:rPr>
          <w:rFonts w:hint="eastAsia" w:eastAsia="楷体_GB2312"/>
          <w:bCs/>
          <w:kern w:val="0"/>
          <w:sz w:val="32"/>
          <w:szCs w:val="32"/>
        </w:rPr>
        <w:t>（二）重投入轻效益，可持续影响的关注力度有待提高</w:t>
      </w:r>
      <w:bookmarkEnd w:id="527"/>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预算绩效管理的使命是提升资金使用绩效，优化资源配置，推动实现高质量发展。潮海街道办事处绩效理念尚未牢固树立，存在重投入轻管理、重支出轻绩效的意识，未在实际工作开展中将绩效理念和方法深度融入预算编制、执行、监督全过程，构建事前事中事后绩效管理闭环系统。</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预算</w:t>
      </w:r>
      <w:r>
        <w:rPr>
          <w:rFonts w:hint="eastAsia" w:ascii="仿宋_GB2312" w:hAnsi="Calibri"/>
          <w:kern w:val="0"/>
          <w:sz w:val="32"/>
          <w:szCs w:val="32"/>
          <w:lang w:eastAsia="zh-CN"/>
        </w:rPr>
        <w:t>单位</w:t>
      </w:r>
      <w:r>
        <w:rPr>
          <w:rFonts w:hint="eastAsia" w:ascii="仿宋_GB2312" w:hAnsi="Calibri"/>
          <w:kern w:val="0"/>
          <w:sz w:val="32"/>
          <w:szCs w:val="32"/>
        </w:rPr>
        <w:t>无法提供项目完成后的效益依据，未在部分污水沟清理、盖板隐蔽化处理工程项目完成后及时跟踪项目效益和村民满意度，未关注项目实施是否在经济、社会和生态方面产生积极影响，存在重投入轻效益问题，对项目的可持续影响关注力度不足。</w:t>
      </w:r>
    </w:p>
    <w:p>
      <w:pPr>
        <w:pStyle w:val="26"/>
        <w:spacing w:line="560" w:lineRule="exact"/>
        <w:ind w:firstLine="640"/>
        <w:outlineLvl w:val="1"/>
        <w:rPr>
          <w:rFonts w:eastAsia="楷体_GB2312"/>
          <w:bCs/>
          <w:kern w:val="0"/>
          <w:sz w:val="32"/>
          <w:szCs w:val="32"/>
        </w:rPr>
      </w:pPr>
      <w:bookmarkStart w:id="528" w:name="_Toc6456"/>
      <w:r>
        <w:rPr>
          <w:rFonts w:hint="eastAsia" w:eastAsia="楷体_GB2312"/>
          <w:bCs/>
          <w:kern w:val="0"/>
          <w:sz w:val="32"/>
          <w:szCs w:val="32"/>
        </w:rPr>
        <w:t>（三）合同约定不规范，质量标准未明确</w:t>
      </w:r>
      <w:bookmarkEnd w:id="528"/>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根据潮海街道办事处提供的项目施工合同，合同内容对质量标准的要求仅为“工程质量符合合格标准”，但未对合格标准进行明确约定，不便于后续验收。</w:t>
      </w:r>
    </w:p>
    <w:p>
      <w:pPr>
        <w:pStyle w:val="26"/>
        <w:spacing w:line="560" w:lineRule="exact"/>
        <w:ind w:firstLine="640"/>
        <w:outlineLvl w:val="1"/>
        <w:rPr>
          <w:rFonts w:eastAsia="楷体_GB2312"/>
          <w:bCs/>
          <w:kern w:val="0"/>
          <w:sz w:val="32"/>
          <w:szCs w:val="32"/>
        </w:rPr>
      </w:pPr>
      <w:bookmarkStart w:id="529" w:name="_Toc3359"/>
      <w:r>
        <w:rPr>
          <w:rFonts w:hint="eastAsia" w:eastAsia="楷体_GB2312"/>
          <w:bCs/>
          <w:kern w:val="0"/>
          <w:sz w:val="32"/>
          <w:szCs w:val="32"/>
        </w:rPr>
        <w:t>（</w:t>
      </w:r>
      <w:r>
        <w:rPr>
          <w:rFonts w:hint="eastAsia" w:eastAsia="楷体_GB2312"/>
          <w:bCs/>
          <w:kern w:val="0"/>
          <w:sz w:val="32"/>
          <w:szCs w:val="32"/>
          <w:lang w:val="en-US" w:eastAsia="zh-CN"/>
        </w:rPr>
        <w:t>四</w:t>
      </w:r>
      <w:r>
        <w:rPr>
          <w:rFonts w:hint="eastAsia" w:eastAsia="楷体_GB2312"/>
          <w:bCs/>
          <w:kern w:val="0"/>
          <w:sz w:val="32"/>
          <w:szCs w:val="32"/>
        </w:rPr>
        <w:t>）竣工验收流程较简易</w:t>
      </w:r>
      <w:bookmarkEnd w:id="529"/>
    </w:p>
    <w:p>
      <w:pPr>
        <w:spacing w:line="560" w:lineRule="exact"/>
        <w:ind w:firstLine="640" w:firstLineChars="200"/>
        <w:rPr>
          <w:rFonts w:hint="eastAsia" w:ascii="仿宋_GB2312" w:hAnsi="Calibri"/>
          <w:kern w:val="0"/>
          <w:sz w:val="32"/>
          <w:szCs w:val="32"/>
        </w:rPr>
      </w:pPr>
      <w:r>
        <w:rPr>
          <w:rFonts w:hint="eastAsia" w:ascii="仿宋_GB2312" w:hAnsi="Calibri"/>
          <w:kern w:val="0"/>
          <w:sz w:val="32"/>
          <w:szCs w:val="32"/>
        </w:rPr>
        <w:t>根据潮海街道办事处提供的项目验收报告表显示，项目竣工验收</w:t>
      </w:r>
      <w:r>
        <w:rPr>
          <w:rFonts w:hint="eastAsia" w:eastAsia="楷体_GB2312"/>
          <w:bCs/>
          <w:kern w:val="0"/>
          <w:sz w:val="32"/>
          <w:szCs w:val="32"/>
        </w:rPr>
        <w:t>较</w:t>
      </w:r>
      <w:r>
        <w:rPr>
          <w:rFonts w:hint="eastAsia" w:ascii="仿宋_GB2312" w:hAnsi="Calibri"/>
          <w:kern w:val="0"/>
          <w:sz w:val="32"/>
          <w:szCs w:val="32"/>
        </w:rPr>
        <w:t>简易，验收报告表只有村庄书记签字及相关</w:t>
      </w:r>
      <w:r>
        <w:rPr>
          <w:rFonts w:hint="eastAsia" w:ascii="仿宋_GB2312" w:hAnsi="Calibri"/>
          <w:kern w:val="0"/>
          <w:sz w:val="32"/>
          <w:szCs w:val="32"/>
          <w:lang w:eastAsia="zh-CN"/>
        </w:rPr>
        <w:t>单位</w:t>
      </w:r>
      <w:r>
        <w:rPr>
          <w:rFonts w:hint="eastAsia" w:ascii="仿宋_GB2312" w:hAnsi="Calibri"/>
          <w:kern w:val="0"/>
          <w:sz w:val="32"/>
          <w:szCs w:val="32"/>
        </w:rPr>
        <w:t>盖章，无验收意见及验收流程，对验收的内容、实际整修数量及质量状况无实质性验收情况表述，验收流于形式。</w:t>
      </w:r>
    </w:p>
    <w:p>
      <w:pPr>
        <w:spacing w:line="560" w:lineRule="exact"/>
        <w:ind w:firstLine="640" w:firstLineChars="200"/>
        <w:outlineLvl w:val="0"/>
        <w:rPr>
          <w:rFonts w:hint="eastAsia" w:ascii="黑体" w:hAnsi="黑体" w:eastAsia="黑体"/>
          <w:sz w:val="32"/>
          <w:szCs w:val="32"/>
        </w:rPr>
      </w:pPr>
      <w:bookmarkStart w:id="530" w:name="_Toc3313"/>
      <w:r>
        <w:rPr>
          <w:rFonts w:hint="eastAsia" w:ascii="黑体" w:hAnsi="黑体" w:eastAsia="黑体"/>
          <w:sz w:val="32"/>
          <w:szCs w:val="32"/>
        </w:rPr>
        <w:t>七、意见建议</w:t>
      </w:r>
      <w:bookmarkEnd w:id="530"/>
    </w:p>
    <w:p>
      <w:pPr>
        <w:pStyle w:val="26"/>
        <w:spacing w:line="560" w:lineRule="exact"/>
        <w:ind w:firstLine="640"/>
        <w:outlineLvl w:val="1"/>
        <w:rPr>
          <w:rFonts w:eastAsia="楷体_GB2312"/>
          <w:bCs/>
          <w:kern w:val="0"/>
          <w:sz w:val="32"/>
          <w:szCs w:val="32"/>
        </w:rPr>
      </w:pPr>
      <w:bookmarkStart w:id="531" w:name="_Toc26261"/>
      <w:r>
        <w:rPr>
          <w:rFonts w:hint="eastAsia" w:eastAsia="楷体_GB2312"/>
          <w:bCs/>
          <w:kern w:val="0"/>
          <w:sz w:val="32"/>
          <w:szCs w:val="32"/>
        </w:rPr>
        <w:t>（一）提高绩效管理意识，加强预算绩效管理机制的建立</w:t>
      </w:r>
      <w:bookmarkEnd w:id="531"/>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1.树立绩效理念，夯实绩效目标管理机制。坚持将绩效目标作为全过程预算绩效管理的“生命线”，按照“谁申请资金，谁编制目标；谁分配资金，谁审核目标”的原则，建立“层层把关、各负其责”的审核机制，切实提高编制质量，将绩效目标审核、批复、调整工作嵌入预算编制、批复、执行各环节，进一步提升预算绩效管理水平，实现绩效目标管理与预算管理有机结合。</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2.重视绩效监控，建立单位日常监控机制。明确绩效监控实施主体为预算</w:t>
      </w:r>
      <w:r>
        <w:rPr>
          <w:rFonts w:hint="eastAsia" w:ascii="仿宋_GB2312" w:hAnsi="Calibri"/>
          <w:kern w:val="0"/>
          <w:sz w:val="32"/>
          <w:szCs w:val="32"/>
          <w:lang w:eastAsia="zh-CN"/>
        </w:rPr>
        <w:t>单位</w:t>
      </w:r>
      <w:r>
        <w:rPr>
          <w:rFonts w:hint="eastAsia" w:ascii="仿宋_GB2312" w:hAnsi="Calibri"/>
          <w:kern w:val="0"/>
          <w:sz w:val="32"/>
          <w:szCs w:val="32"/>
        </w:rPr>
        <w:t>和单位，要求单位对纳入预算绩效管理的项目开展自我监控，重点把项目实施和管理情况、预算执行情况、项目产出目标的实现程度等作为绩效监控重点，对绩效监控发现的绩效偏差，分析原因，及时纠偏。</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3.关注项目的可持续影响，建立效益追踪机制。及时追踪项目实施的效益发展，加强对项目可持续影响的关注力度，例如关注项目实施对推进美丽乡村建设的积极影响，对改善交通条件、提高村庄人居环境质量的可持续影响等。</w:t>
      </w: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4.强化结果运用，提升绩效管理的效果。建议完善结果反馈机制。建议单位对评价结果及时进行整改落实，将绩效评价结果与预算安排相结合，逐步建立以绩效为导向的单位预算编制模式，提高资金使用效益。</w:t>
      </w:r>
    </w:p>
    <w:p>
      <w:pPr>
        <w:pStyle w:val="26"/>
        <w:spacing w:line="560" w:lineRule="exact"/>
        <w:ind w:firstLine="640"/>
        <w:rPr>
          <w:rFonts w:ascii="仿宋_GB2312" w:hAnsi="Calibri"/>
          <w:kern w:val="0"/>
          <w:sz w:val="32"/>
          <w:szCs w:val="32"/>
        </w:rPr>
      </w:pPr>
      <w:bookmarkStart w:id="532" w:name="_Toc4551"/>
      <w:bookmarkStart w:id="533" w:name="_Toc6675"/>
      <w:bookmarkStart w:id="534" w:name="_Toc31798"/>
      <w:bookmarkStart w:id="535" w:name="_Toc30686"/>
      <w:r>
        <w:rPr>
          <w:rFonts w:ascii="仿宋_GB2312" w:hAnsi="Calibri"/>
          <w:kern w:val="0"/>
          <w:sz w:val="32"/>
          <w:szCs w:val="32"/>
        </w:rPr>
        <w:t>通过本次评价，我所按照财政部绩效目标管理标准重新对该项目绩效目标进行优化，优化后的绩效目标作为</w:t>
      </w:r>
      <w:r>
        <w:rPr>
          <w:rFonts w:hint="eastAsia" w:ascii="仿宋_GB2312" w:hAnsi="Calibri"/>
          <w:kern w:val="0"/>
          <w:sz w:val="32"/>
          <w:szCs w:val="32"/>
        </w:rPr>
        <w:t>潮海街道办事处建立同类</w:t>
      </w:r>
      <w:r>
        <w:rPr>
          <w:rFonts w:ascii="仿宋_GB2312" w:hAnsi="Calibri"/>
          <w:kern w:val="0"/>
          <w:sz w:val="32"/>
          <w:szCs w:val="32"/>
        </w:rPr>
        <w:t>项目</w:t>
      </w:r>
      <w:r>
        <w:rPr>
          <w:rFonts w:hint="eastAsia" w:ascii="仿宋_GB2312" w:hAnsi="Calibri"/>
          <w:kern w:val="0"/>
          <w:sz w:val="32"/>
          <w:szCs w:val="32"/>
        </w:rPr>
        <w:t>预算绩效目标标准化体系</w:t>
      </w:r>
      <w:r>
        <w:rPr>
          <w:rFonts w:ascii="仿宋_GB2312" w:hAnsi="Calibri"/>
          <w:kern w:val="0"/>
          <w:sz w:val="32"/>
          <w:szCs w:val="32"/>
        </w:rPr>
        <w:t>的参考内容。</w:t>
      </w:r>
      <w:bookmarkEnd w:id="532"/>
      <w:bookmarkEnd w:id="533"/>
      <w:bookmarkEnd w:id="534"/>
      <w:bookmarkEnd w:id="535"/>
    </w:p>
    <w:p>
      <w:pPr>
        <w:pStyle w:val="26"/>
        <w:spacing w:line="560" w:lineRule="exact"/>
        <w:ind w:firstLine="643"/>
        <w:jc w:val="center"/>
        <w:rPr>
          <w:rFonts w:hint="eastAsia" w:ascii="宋体" w:hAnsi="宋体" w:eastAsia="宋体" w:cs="宋体"/>
          <w:b/>
          <w:bCs/>
          <w:color w:val="000000"/>
          <w:kern w:val="0"/>
          <w:sz w:val="32"/>
          <w:szCs w:val="32"/>
          <w:lang/>
        </w:rPr>
      </w:pPr>
      <w:bookmarkStart w:id="536" w:name="_Toc23869"/>
      <w:bookmarkStart w:id="537" w:name="_Toc19080"/>
      <w:bookmarkStart w:id="538" w:name="_Toc2241"/>
      <w:bookmarkStart w:id="539" w:name="_Toc11682"/>
      <w:r>
        <w:rPr>
          <w:rFonts w:hint="eastAsia" w:ascii="宋体" w:hAnsi="宋体" w:eastAsia="宋体" w:cs="宋体"/>
          <w:b/>
          <w:bCs/>
          <w:color w:val="000000"/>
          <w:kern w:val="0"/>
          <w:sz w:val="32"/>
          <w:szCs w:val="32"/>
          <w:lang/>
        </w:rPr>
        <w:t>2022年预算绩效目标申请表</w:t>
      </w:r>
      <w:bookmarkEnd w:id="536"/>
      <w:bookmarkEnd w:id="537"/>
      <w:bookmarkEnd w:id="538"/>
      <w:bookmarkEnd w:id="539"/>
    </w:p>
    <w:p>
      <w:pPr>
        <w:pStyle w:val="26"/>
        <w:spacing w:line="560" w:lineRule="exact"/>
        <w:ind w:firstLine="400"/>
        <w:jc w:val="left"/>
        <w:rPr>
          <w:rFonts w:hint="eastAsia" w:ascii="宋体" w:hAnsi="宋体" w:eastAsia="宋体" w:cs="宋体"/>
          <w:color w:val="000000"/>
          <w:kern w:val="0"/>
          <w:sz w:val="20"/>
          <w:szCs w:val="20"/>
          <w:lang/>
        </w:rPr>
      </w:pPr>
      <w:bookmarkStart w:id="540" w:name="_Toc19188"/>
      <w:bookmarkStart w:id="541" w:name="_Toc8943"/>
      <w:bookmarkStart w:id="542" w:name="_Toc8539"/>
      <w:bookmarkStart w:id="543" w:name="_Toc10238"/>
      <w:r>
        <w:rPr>
          <w:rFonts w:hint="eastAsia" w:ascii="宋体" w:hAnsi="宋体" w:cs="宋体"/>
          <w:color w:val="000000"/>
          <w:kern w:val="0"/>
          <w:sz w:val="20"/>
          <w:szCs w:val="20"/>
          <w:lang w:eastAsia="zh-CN"/>
        </w:rPr>
        <w:t>单位</w:t>
      </w:r>
      <w:r>
        <w:rPr>
          <w:rFonts w:hint="eastAsia" w:ascii="宋体" w:hAnsi="宋体" w:eastAsia="宋体" w:cs="宋体"/>
          <w:color w:val="000000"/>
          <w:kern w:val="0"/>
          <w:sz w:val="20"/>
          <w:szCs w:val="20"/>
          <w:lang/>
        </w:rPr>
        <w:t>：青岛市即墨区潮海街道办事处</w:t>
      </w:r>
      <w:bookmarkEnd w:id="540"/>
      <w:bookmarkEnd w:id="541"/>
      <w:bookmarkEnd w:id="542"/>
      <w:bookmarkEnd w:id="543"/>
    </w:p>
    <w:tbl>
      <w:tblPr>
        <w:tblW w:w="98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4"/>
        <w:gridCol w:w="993"/>
        <w:gridCol w:w="1134"/>
        <w:gridCol w:w="1977"/>
        <w:gridCol w:w="1278"/>
        <w:gridCol w:w="2013"/>
        <w:gridCol w:w="1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292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项目名称</w:t>
            </w:r>
          </w:p>
        </w:tc>
        <w:tc>
          <w:tcPr>
            <w:tcW w:w="688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辛戈庄村部分污水沟清理、盖板隐蔽化处理</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工程项目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921" w:type="dxa"/>
            <w:gridSpan w:val="3"/>
            <w:tcBorders>
              <w:top w:val="single" w:color="000000" w:sz="4" w:space="0"/>
              <w:left w:val="single" w:color="000000" w:sz="4" w:space="0"/>
              <w:bottom w:val="single" w:color="000000" w:sz="4" w:space="0"/>
              <w:right w:val="nil"/>
            </w:tcBorders>
            <w:vAlign w:val="center"/>
          </w:tcPr>
          <w:p>
            <w:pPr>
              <w:widowControl/>
              <w:jc w:val="center"/>
              <w:textAlignment w:val="center"/>
              <w:rPr>
                <w:rFonts w:hint="eastAsia" w:ascii="宋体" w:hAnsi="宋体" w:eastAsia="宋体" w:cs="宋体"/>
                <w:color w:val="000000"/>
                <w:sz w:val="20"/>
                <w:szCs w:val="20"/>
                <w:lang w:eastAsia="zh-CN"/>
              </w:rPr>
            </w:pPr>
            <w:r>
              <w:rPr>
                <w:rFonts w:hint="eastAsia" w:ascii="宋体" w:hAnsi="宋体" w:eastAsia="宋体" w:cs="宋体"/>
                <w:color w:val="000000"/>
                <w:kern w:val="0"/>
                <w:sz w:val="20"/>
                <w:szCs w:val="20"/>
                <w:lang/>
              </w:rPr>
              <w:t>主管</w:t>
            </w:r>
            <w:r>
              <w:rPr>
                <w:rFonts w:hint="eastAsia" w:ascii="宋体" w:hAnsi="宋体" w:cs="宋体"/>
                <w:color w:val="000000"/>
                <w:kern w:val="0"/>
                <w:sz w:val="20"/>
                <w:szCs w:val="20"/>
                <w:lang w:eastAsia="zh-CN"/>
              </w:rPr>
              <w:t>单位</w:t>
            </w:r>
          </w:p>
        </w:tc>
        <w:tc>
          <w:tcPr>
            <w:tcW w:w="325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青岛市即墨区潮海街道办事处</w:t>
            </w:r>
          </w:p>
        </w:tc>
        <w:tc>
          <w:tcPr>
            <w:tcW w:w="2013" w:type="dxa"/>
            <w:tcBorders>
              <w:top w:val="single" w:color="000000" w:sz="4" w:space="0"/>
              <w:left w:val="single" w:color="000000" w:sz="4" w:space="0"/>
              <w:bottom w:val="single" w:color="000000" w:sz="4" w:space="0"/>
              <w:right w:val="nil"/>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项目单位</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辛戈庄村经济合作社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4" w:hRule="atLeast"/>
        </w:trPr>
        <w:tc>
          <w:tcPr>
            <w:tcW w:w="2921" w:type="dxa"/>
            <w:gridSpan w:val="3"/>
            <w:tcBorders>
              <w:top w:val="single" w:color="000000" w:sz="4" w:space="0"/>
              <w:left w:val="single" w:color="000000" w:sz="4" w:space="0"/>
              <w:bottom w:val="single" w:color="000000" w:sz="4" w:space="0"/>
              <w:right w:val="nil"/>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项目属性</w:t>
            </w:r>
          </w:p>
        </w:tc>
        <w:tc>
          <w:tcPr>
            <w:tcW w:w="325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新增项目</w:t>
            </w:r>
          </w:p>
        </w:tc>
        <w:tc>
          <w:tcPr>
            <w:tcW w:w="2013" w:type="dxa"/>
            <w:tcBorders>
              <w:top w:val="single" w:color="000000" w:sz="4" w:space="0"/>
              <w:left w:val="single" w:color="000000" w:sz="4" w:space="0"/>
              <w:bottom w:val="single" w:color="000000" w:sz="4" w:space="0"/>
              <w:right w:val="nil"/>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项目实施期</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自2022年9月10日起至2022年11月10日止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6" w:hRule="atLeast"/>
        </w:trPr>
        <w:tc>
          <w:tcPr>
            <w:tcW w:w="2921"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项目资金</w:t>
            </w:r>
          </w:p>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（万元）</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项目实施期资金总额：</w:t>
            </w:r>
          </w:p>
        </w:tc>
        <w:tc>
          <w:tcPr>
            <w:tcW w:w="127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sz w:val="20"/>
                <w:szCs w:val="20"/>
              </w:rPr>
              <w:t>424,900.00</w:t>
            </w:r>
          </w:p>
        </w:tc>
        <w:tc>
          <w:tcPr>
            <w:tcW w:w="2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年度资金总额：</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ind w:firstLine="200" w:firstLineChars="100"/>
              <w:jc w:val="left"/>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lang w:val="en-US" w:eastAsia="zh-CN"/>
              </w:rPr>
              <w:t>60,000</w:t>
            </w:r>
            <w:r>
              <w:rPr>
                <w:rFonts w:hint="eastAsia" w:ascii="宋体" w:hAnsi="宋体" w:eastAsia="宋体" w:cs="宋体"/>
                <w:color w:val="000000"/>
                <w:sz w:val="20"/>
                <w:szCs w:val="20"/>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292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其中：财政拨款</w:t>
            </w:r>
          </w:p>
        </w:tc>
        <w:tc>
          <w:tcPr>
            <w:tcW w:w="12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300,000.00</w:t>
            </w:r>
          </w:p>
        </w:tc>
        <w:tc>
          <w:tcPr>
            <w:tcW w:w="2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其中：财政拨款</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lang w:val="en-US" w:eastAsia="zh-CN"/>
              </w:rPr>
              <w:t>60,000</w:t>
            </w:r>
            <w:r>
              <w:rPr>
                <w:rFonts w:hint="eastAsia" w:ascii="宋体" w:hAnsi="宋体" w:eastAsia="宋体" w:cs="宋体"/>
                <w:color w:val="000000"/>
                <w:sz w:val="20"/>
                <w:szCs w:val="20"/>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292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其他资金-</w:t>
            </w:r>
            <w:r>
              <w:rPr>
                <w:rFonts w:hint="eastAsia" w:ascii="宋体" w:hAnsi="宋体" w:eastAsia="宋体" w:cs="宋体"/>
                <w:color w:val="000000"/>
                <w:kern w:val="0"/>
                <w:sz w:val="20"/>
                <w:szCs w:val="20"/>
                <w:lang w:val="en-US" w:eastAsia="zh-CN"/>
              </w:rPr>
              <w:t>村庄</w:t>
            </w:r>
            <w:r>
              <w:rPr>
                <w:rFonts w:hint="eastAsia" w:ascii="宋体" w:hAnsi="宋体" w:eastAsia="宋体" w:cs="宋体"/>
                <w:color w:val="000000"/>
                <w:kern w:val="0"/>
                <w:sz w:val="20"/>
                <w:szCs w:val="20"/>
                <w:lang/>
              </w:rPr>
              <w:t>自筹</w:t>
            </w:r>
          </w:p>
        </w:tc>
        <w:tc>
          <w:tcPr>
            <w:tcW w:w="12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r>
              <w:rPr>
                <w:rFonts w:hint="eastAsia" w:ascii="宋体" w:hAnsi="宋体" w:eastAsia="宋体" w:cs="宋体"/>
                <w:color w:val="000000"/>
                <w:sz w:val="20"/>
                <w:szCs w:val="20"/>
              </w:rPr>
              <w:t>124,900.00</w:t>
            </w:r>
          </w:p>
        </w:tc>
        <w:tc>
          <w:tcPr>
            <w:tcW w:w="2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其他资金-</w:t>
            </w:r>
            <w:r>
              <w:rPr>
                <w:rFonts w:hint="eastAsia" w:ascii="宋体" w:hAnsi="宋体" w:eastAsia="宋体" w:cs="宋体"/>
                <w:color w:val="000000"/>
                <w:kern w:val="0"/>
                <w:sz w:val="20"/>
                <w:szCs w:val="20"/>
                <w:lang w:val="en-US" w:eastAsia="zh-CN"/>
              </w:rPr>
              <w:t>村庄</w:t>
            </w:r>
            <w:r>
              <w:rPr>
                <w:rFonts w:hint="eastAsia" w:ascii="宋体" w:hAnsi="宋体" w:eastAsia="宋体" w:cs="宋体"/>
                <w:color w:val="000000"/>
                <w:kern w:val="0"/>
                <w:sz w:val="20"/>
                <w:szCs w:val="20"/>
                <w:lang/>
              </w:rPr>
              <w:t>自筹</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34" w:hRule="atLeast"/>
        </w:trPr>
        <w:tc>
          <w:tcPr>
            <w:tcW w:w="7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年度绩效目标</w:t>
            </w:r>
          </w:p>
        </w:tc>
        <w:tc>
          <w:tcPr>
            <w:tcW w:w="9016" w:type="dxa"/>
            <w:gridSpan w:val="6"/>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村内排水沟3700米盖板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6" w:hRule="atLeast"/>
        </w:trPr>
        <w:tc>
          <w:tcPr>
            <w:tcW w:w="7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绩</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效</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指</w:t>
            </w:r>
          </w:p>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标</w:t>
            </w:r>
          </w:p>
        </w:tc>
        <w:tc>
          <w:tcPr>
            <w:tcW w:w="9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一级</w:t>
            </w:r>
          </w:p>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指标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二级指标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三级指标</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指标值</w:t>
            </w:r>
          </w:p>
        </w:tc>
        <w:tc>
          <w:tcPr>
            <w:tcW w:w="1621"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产</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出</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指</w:t>
            </w:r>
          </w:p>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数量指标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sz w:val="20"/>
                <w:szCs w:val="20"/>
              </w:rPr>
              <w:t>排水沟盖板长度</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3700米</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质量指标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000000"/>
                <w:sz w:val="18"/>
                <w:szCs w:val="18"/>
              </w:rPr>
            </w:pPr>
            <w:r>
              <w:rPr>
                <w:rFonts w:hint="eastAsia" w:ascii="宋体" w:hAnsi="宋体" w:eastAsia="宋体" w:cs="宋体"/>
                <w:color w:val="000000"/>
                <w:sz w:val="20"/>
                <w:szCs w:val="20"/>
              </w:rPr>
              <w:t>质量达标率</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100%</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时效指标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完工时限</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2022年11月10日前完成所有工程</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成本指标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施工成本</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w:t>
            </w:r>
            <w:r>
              <w:rPr>
                <w:rFonts w:hint="eastAsia" w:ascii="宋体" w:hAnsi="宋体" w:eastAsia="宋体" w:cs="宋体"/>
                <w:color w:val="000000"/>
                <w:sz w:val="20"/>
                <w:szCs w:val="20"/>
              </w:rPr>
              <w:t>424,900.00元</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实际支付</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依照项目结算金额</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6"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效</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益</w:t>
            </w:r>
          </w:p>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指</w:t>
            </w:r>
          </w:p>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经济效益指标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促进乡村经济发展</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r>
              <w:rPr>
                <w:rFonts w:hint="eastAsia" w:ascii="宋体" w:hAnsi="宋体" w:eastAsia="宋体" w:cs="宋体"/>
                <w:color w:val="000000"/>
                <w:kern w:val="0"/>
                <w:sz w:val="20"/>
                <w:szCs w:val="20"/>
                <w:lang/>
              </w:rPr>
              <w:t>完善基础设施，对带动镇村的开发建设和经济发展具有积极影响</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8"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社会效益指标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rPr>
              <w:t>改善村庄内涝</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改善村庄排水不畅问题</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改善人居环境</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改善人居环境、提高村民生活质量</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6"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生态效益指标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改善村庄整体环境面貌</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改善村庄整体环境面貌</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8"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推进美丽乡村建设</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推进美丽乡村建设</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6"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可持续影响指标</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sz w:val="20"/>
                <w:szCs w:val="20"/>
              </w:rPr>
              <w:t>养护可持续性</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已修建的排水沟得到良好的养护，不出现淤积、开裂、塌陷等现象</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6"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continue"/>
            <w:tcBorders>
              <w:left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sz w:val="20"/>
                <w:szCs w:val="20"/>
              </w:rPr>
              <w:t>作用可持续性</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sz w:val="20"/>
                <w:szCs w:val="20"/>
              </w:rPr>
              <w:t>已修建的排水沟发挥预期作用，不出现排水不畅等不良情况</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vMerge w:val="continue"/>
            <w:tcBorders>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113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rPr>
            </w:pP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sz w:val="20"/>
                <w:szCs w:val="20"/>
              </w:rPr>
              <w:t>保障可持续性</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设立相关管护措施或资金保障，明确质量保修责任</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0" w:hRule="atLeast"/>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c>
          <w:tcPr>
            <w:tcW w:w="9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满意度指标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服务对象满意度</w:t>
            </w:r>
          </w:p>
        </w:tc>
        <w:tc>
          <w:tcPr>
            <w:tcW w:w="19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村民满意度</w:t>
            </w:r>
          </w:p>
        </w:tc>
        <w:tc>
          <w:tcPr>
            <w:tcW w:w="329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rPr>
              <w:t>≥95%</w:t>
            </w:r>
          </w:p>
        </w:tc>
        <w:tc>
          <w:tcPr>
            <w:tcW w:w="16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rPr>
            </w:pPr>
          </w:p>
        </w:tc>
      </w:tr>
    </w:tbl>
    <w:p>
      <w:pPr>
        <w:pStyle w:val="26"/>
        <w:spacing w:line="560" w:lineRule="exact"/>
        <w:ind w:firstLine="640"/>
        <w:outlineLvl w:val="1"/>
        <w:rPr>
          <w:rFonts w:eastAsia="楷体_GB2312"/>
          <w:bCs/>
          <w:kern w:val="0"/>
          <w:sz w:val="32"/>
          <w:szCs w:val="32"/>
        </w:rPr>
      </w:pPr>
      <w:bookmarkStart w:id="544" w:name="_Toc19274"/>
      <w:r>
        <w:rPr>
          <w:rFonts w:hint="eastAsia" w:eastAsia="楷体_GB2312"/>
          <w:bCs/>
          <w:kern w:val="0"/>
          <w:sz w:val="32"/>
          <w:szCs w:val="32"/>
        </w:rPr>
        <w:t>（</w:t>
      </w:r>
      <w:r>
        <w:rPr>
          <w:rFonts w:hint="eastAsia" w:eastAsia="楷体_GB2312"/>
          <w:bCs/>
          <w:kern w:val="0"/>
          <w:sz w:val="32"/>
          <w:szCs w:val="32"/>
          <w:lang w:val="en-US" w:eastAsia="zh-CN"/>
        </w:rPr>
        <w:t>二</w:t>
      </w:r>
      <w:r>
        <w:rPr>
          <w:rFonts w:hint="eastAsia" w:eastAsia="楷体_GB2312"/>
          <w:bCs/>
          <w:kern w:val="0"/>
          <w:sz w:val="32"/>
          <w:szCs w:val="32"/>
        </w:rPr>
        <w:t>）规范项目程序，避免验收流于形式</w:t>
      </w:r>
      <w:bookmarkEnd w:id="544"/>
    </w:p>
    <w:p>
      <w:pPr>
        <w:spacing w:line="560" w:lineRule="exact"/>
        <w:ind w:firstLine="640" w:firstLineChars="200"/>
        <w:rPr>
          <w:rFonts w:hint="eastAsia" w:ascii="仿宋_GB2312" w:hAnsi="Calibri"/>
          <w:kern w:val="0"/>
          <w:sz w:val="32"/>
          <w:szCs w:val="32"/>
        </w:rPr>
      </w:pPr>
      <w:bookmarkStart w:id="545" w:name="_Toc24827"/>
      <w:r>
        <w:rPr>
          <w:rFonts w:hint="eastAsia" w:ascii="仿宋_GB2312" w:hAnsi="Calibri"/>
          <w:kern w:val="0"/>
          <w:sz w:val="32"/>
          <w:szCs w:val="32"/>
        </w:rPr>
        <w:t>建议项目施工前，在招标公告或合同内容中对质量标准和保修责任进行明确、细致的约定，重视项目验收，对项目成果和项目过程进行严格审定，杜绝出现“走过场”的形式主义。</w:t>
      </w:r>
      <w:bookmarkEnd w:id="545"/>
    </w:p>
    <w:p>
      <w:pPr>
        <w:spacing w:line="560" w:lineRule="exact"/>
        <w:ind w:firstLine="640" w:firstLineChars="200"/>
        <w:rPr>
          <w:rFonts w:hint="eastAsia" w:ascii="黑体" w:hAnsi="黑体" w:eastAsia="黑体"/>
          <w:sz w:val="32"/>
          <w:szCs w:val="32"/>
        </w:rPr>
      </w:pPr>
    </w:p>
    <w:p>
      <w:pPr>
        <w:spacing w:line="560" w:lineRule="exact"/>
        <w:ind w:firstLine="640" w:firstLineChars="200"/>
        <w:outlineLvl w:val="0"/>
        <w:rPr>
          <w:rFonts w:hint="eastAsia"/>
        </w:rPr>
      </w:pPr>
      <w:bookmarkStart w:id="546" w:name="_Toc4474"/>
      <w:r>
        <w:rPr>
          <w:rFonts w:hint="eastAsia" w:ascii="黑体" w:hAnsi="黑体" w:eastAsia="黑体"/>
          <w:sz w:val="32"/>
          <w:szCs w:val="32"/>
        </w:rPr>
        <w:t>八、</w:t>
      </w:r>
      <w:bookmarkStart w:id="547" w:name="_Toc5885"/>
      <w:bookmarkStart w:id="548" w:name="_Toc3816"/>
      <w:bookmarkStart w:id="549" w:name="_Toc23927"/>
      <w:bookmarkEnd w:id="524"/>
      <w:bookmarkEnd w:id="525"/>
      <w:bookmarkEnd w:id="526"/>
      <w:r>
        <w:rPr>
          <w:rFonts w:hint="eastAsia" w:ascii="黑体" w:hAnsi="黑体" w:eastAsia="黑体"/>
          <w:sz w:val="32"/>
          <w:szCs w:val="32"/>
        </w:rPr>
        <w:t>机构盖章</w:t>
      </w:r>
      <w:bookmarkEnd w:id="546"/>
      <w:bookmarkEnd w:id="547"/>
      <w:bookmarkEnd w:id="548"/>
      <w:bookmarkEnd w:id="549"/>
    </w:p>
    <w:p>
      <w:pPr>
        <w:pStyle w:val="26"/>
        <w:ind w:firstLine="600"/>
        <w:rPr>
          <w:rFonts w:hint="eastAsia"/>
        </w:rPr>
      </w:pPr>
    </w:p>
    <w:p>
      <w:pPr>
        <w:pStyle w:val="26"/>
        <w:ind w:firstLine="600"/>
        <w:rPr>
          <w:rFonts w:hint="eastAsia"/>
        </w:rPr>
      </w:pPr>
    </w:p>
    <w:p>
      <w:pPr>
        <w:pStyle w:val="26"/>
        <w:spacing w:line="560" w:lineRule="exact"/>
        <w:ind w:firstLine="640"/>
        <w:rPr>
          <w:rFonts w:hint="eastAsia" w:ascii="仿宋_GB2312" w:hAnsi="Calibri"/>
          <w:kern w:val="0"/>
          <w:sz w:val="32"/>
          <w:szCs w:val="32"/>
        </w:rPr>
      </w:pPr>
      <w:r>
        <w:rPr>
          <w:rFonts w:hint="eastAsia" w:ascii="仿宋_GB2312" w:hAnsi="Calibri"/>
          <w:kern w:val="0"/>
          <w:sz w:val="32"/>
          <w:szCs w:val="32"/>
        </w:rPr>
        <w:t>评审机构：</w:t>
      </w:r>
      <w:bookmarkStart w:id="550" w:name="_Toc32511"/>
      <w:r>
        <w:rPr>
          <w:rFonts w:hint="eastAsia" w:ascii="仿宋_GB2312" w:hAnsi="Calibri"/>
          <w:kern w:val="0"/>
          <w:sz w:val="32"/>
          <w:szCs w:val="32"/>
        </w:rPr>
        <w:t>青岛大信英德会计师事务所有限公司</w:t>
      </w:r>
      <w:bookmarkEnd w:id="550"/>
    </w:p>
    <w:p>
      <w:pPr>
        <w:spacing w:line="560" w:lineRule="exact"/>
        <w:ind w:firstLine="640" w:firstLineChars="200"/>
        <w:rPr>
          <w:rFonts w:hint="eastAsia" w:ascii="黑体" w:hAnsi="黑体" w:eastAsia="黑体"/>
          <w:sz w:val="32"/>
          <w:szCs w:val="32"/>
        </w:rPr>
      </w:pPr>
      <w:bookmarkStart w:id="551" w:name="_Toc51602998"/>
      <w:bookmarkStart w:id="552" w:name="_Toc21289"/>
      <w:bookmarkStart w:id="553" w:name="_Toc30031"/>
      <w:bookmarkStart w:id="554" w:name="_Toc5243"/>
      <w:bookmarkStart w:id="555" w:name="_Toc217"/>
    </w:p>
    <w:p>
      <w:pPr>
        <w:spacing w:line="560" w:lineRule="exact"/>
        <w:ind w:firstLine="640" w:firstLineChars="200"/>
        <w:outlineLvl w:val="0"/>
        <w:rPr>
          <w:rFonts w:hint="eastAsia" w:ascii="黑体" w:hAnsi="黑体" w:eastAsia="黑体"/>
          <w:sz w:val="32"/>
          <w:szCs w:val="32"/>
        </w:rPr>
      </w:pPr>
      <w:bookmarkStart w:id="556" w:name="_Toc18030"/>
      <w:r>
        <w:rPr>
          <w:rFonts w:hint="eastAsia" w:ascii="黑体" w:hAnsi="黑体" w:eastAsia="黑体"/>
          <w:sz w:val="32"/>
          <w:szCs w:val="32"/>
        </w:rPr>
        <w:t>九、附件</w:t>
      </w:r>
      <w:bookmarkEnd w:id="551"/>
      <w:bookmarkEnd w:id="552"/>
      <w:bookmarkEnd w:id="553"/>
      <w:bookmarkEnd w:id="554"/>
      <w:bookmarkEnd w:id="555"/>
      <w:bookmarkEnd w:id="556"/>
    </w:p>
    <w:p>
      <w:pPr>
        <w:pStyle w:val="26"/>
        <w:spacing w:line="560" w:lineRule="exact"/>
        <w:ind w:firstLine="640"/>
        <w:rPr>
          <w:rFonts w:hint="eastAsia" w:ascii="仿宋_GB2312" w:hAnsi="Calibri"/>
          <w:kern w:val="0"/>
          <w:sz w:val="32"/>
          <w:szCs w:val="32"/>
        </w:rPr>
      </w:pPr>
      <w:bookmarkStart w:id="557" w:name="_Toc29247"/>
      <w:bookmarkStart w:id="558" w:name="_Toc51602999"/>
      <w:bookmarkStart w:id="559" w:name="_Toc50134911"/>
      <w:bookmarkStart w:id="560" w:name="_Toc31128"/>
      <w:bookmarkStart w:id="561" w:name="_Toc50134812"/>
      <w:bookmarkStart w:id="562" w:name="_Toc2538"/>
      <w:bookmarkStart w:id="563" w:name="_Toc50532242"/>
      <w:bookmarkStart w:id="564" w:name="_Toc51239862"/>
      <w:r>
        <w:rPr>
          <w:rFonts w:hint="eastAsia" w:ascii="仿宋_GB2312" w:hAnsi="Calibri"/>
          <w:kern w:val="0"/>
          <w:sz w:val="32"/>
          <w:szCs w:val="32"/>
        </w:rPr>
        <w:t>附件1：</w:t>
      </w:r>
      <w:bookmarkEnd w:id="557"/>
      <w:bookmarkEnd w:id="558"/>
      <w:bookmarkEnd w:id="559"/>
      <w:bookmarkEnd w:id="560"/>
      <w:bookmarkEnd w:id="561"/>
      <w:bookmarkEnd w:id="562"/>
      <w:bookmarkEnd w:id="563"/>
      <w:bookmarkEnd w:id="564"/>
      <w:r>
        <w:rPr>
          <w:rFonts w:hint="eastAsia" w:ascii="仿宋_GB2312" w:hAnsi="Calibri"/>
          <w:kern w:val="0"/>
          <w:sz w:val="32"/>
          <w:szCs w:val="32"/>
        </w:rPr>
        <w:t>辛戈庄村部分污水沟清理、盖板隐蔽化处理工程项目绩效评分表</w:t>
      </w:r>
    </w:p>
    <w:p>
      <w:pPr>
        <w:pStyle w:val="26"/>
        <w:spacing w:line="560" w:lineRule="exact"/>
        <w:ind w:firstLine="640"/>
        <w:rPr>
          <w:rFonts w:ascii="仿宋_GB2312" w:hAnsi="Calibri"/>
          <w:kern w:val="0"/>
          <w:sz w:val="32"/>
          <w:szCs w:val="32"/>
        </w:rPr>
      </w:pPr>
      <w:bookmarkStart w:id="565" w:name="_Toc19362"/>
      <w:bookmarkStart w:id="566" w:name="_Toc13292"/>
      <w:bookmarkStart w:id="567" w:name="_Toc17371"/>
      <w:r>
        <w:rPr>
          <w:rFonts w:hint="eastAsia" w:ascii="仿宋_GB2312" w:hAnsi="Calibri"/>
          <w:kern w:val="0"/>
          <w:sz w:val="32"/>
          <w:szCs w:val="32"/>
        </w:rPr>
        <w:t>附件2：</w:t>
      </w:r>
      <w:bookmarkEnd w:id="565"/>
      <w:bookmarkEnd w:id="566"/>
      <w:bookmarkEnd w:id="567"/>
      <w:r>
        <w:rPr>
          <w:rFonts w:hint="eastAsia" w:ascii="仿宋_GB2312" w:hAnsi="Calibri"/>
          <w:kern w:val="0"/>
          <w:sz w:val="32"/>
          <w:szCs w:val="32"/>
        </w:rPr>
        <w:t>辛戈庄村部分污水沟清理、盖板隐蔽化处理工程项目调查问卷</w:t>
      </w:r>
    </w:p>
    <w:p>
      <w:pPr>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rPr>
          <w:rFonts w:hint="eastAsia" w:ascii="方正小标宋简体" w:eastAsia="方正小标宋简体"/>
          <w:spacing w:val="60"/>
          <w:sz w:val="48"/>
          <w:lang w:val="zh-CN" w:eastAsia="zh-CN"/>
        </w:rPr>
      </w:pPr>
    </w:p>
    <w:p>
      <w:pPr>
        <w:pStyle w:val="26"/>
        <w:ind w:left="0" w:leftChars="0" w:firstLine="0" w:firstLineChars="0"/>
        <w:rPr>
          <w:rFonts w:hint="eastAsia" w:ascii="方正小标宋简体" w:eastAsia="方正小标宋简体"/>
          <w:spacing w:val="60"/>
          <w:sz w:val="48"/>
          <w:lang w:val="zh-CN" w:eastAsia="zh-CN"/>
        </w:rPr>
      </w:pPr>
      <w:r>
        <w:rPr>
          <w:rFonts w:hint="eastAsia" w:ascii="方正小标宋简体" w:hAnsi="Times New Roman" w:eastAsia="方正小标宋简体" w:cs="Times New Roman"/>
          <w:spacing w:val="60"/>
          <w:kern w:val="2"/>
          <w:sz w:val="48"/>
          <w:szCs w:val="24"/>
          <w:lang w:val="zh-CN" w:eastAsia="zh-CN" w:bidi="ar-SA"/>
        </w:rPr>
        <w:pict>
          <v:shape id="图片 8" o:spid="_x0000_s1033" type="#_x0000_t75" style="height:642.35pt;width:384.8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jc w:val="both"/>
        <w:rPr>
          <w:rFonts w:hint="eastAsia"/>
          <w:b w:val="0"/>
          <w:bCs w:val="0"/>
          <w:sz w:val="24"/>
          <w:szCs w:val="24"/>
          <w:lang w:val="en-US" w:eastAsia="zh-CN"/>
        </w:rPr>
      </w:pPr>
      <w:r>
        <w:rPr>
          <w:rFonts w:hint="eastAsia"/>
          <w:b w:val="0"/>
          <w:bCs w:val="0"/>
          <w:sz w:val="24"/>
          <w:szCs w:val="24"/>
          <w:lang w:val="en-US" w:eastAsia="zh-CN"/>
        </w:rPr>
        <w:t>附件2：</w:t>
      </w:r>
    </w:p>
    <w:p>
      <w:pPr>
        <w:jc w:val="center"/>
        <w:rPr>
          <w:b/>
          <w:bCs/>
          <w:sz w:val="22"/>
          <w:szCs w:val="22"/>
        </w:rPr>
      </w:pPr>
      <w:r>
        <w:rPr>
          <w:rFonts w:hint="eastAsia"/>
          <w:b/>
          <w:bCs/>
          <w:sz w:val="36"/>
          <w:szCs w:val="36"/>
        </w:rPr>
        <w:t>青岛市即墨区潮海街道办事处辛戈庄村部分污水沟清理、盖板隐蔽化处理工程项目调查问卷</w:t>
      </w:r>
    </w:p>
    <w:p>
      <w:pPr>
        <w:numPr>
          <w:ilvl w:val="0"/>
          <w:numId w:val="2"/>
        </w:numPr>
        <w:spacing w:line="480" w:lineRule="exact"/>
        <w:ind w:left="0" w:firstLine="0"/>
        <w:jc w:val="left"/>
        <w:rPr>
          <w:b/>
          <w:bCs/>
          <w:sz w:val="24"/>
        </w:rPr>
      </w:pPr>
      <w:r>
        <w:rPr>
          <w:rFonts w:hint="eastAsia"/>
          <w:b/>
          <w:bCs/>
          <w:sz w:val="24"/>
        </w:rPr>
        <w:t>姓名：</w:t>
      </w:r>
      <w:r>
        <w:rPr>
          <w:rFonts w:hint="eastAsia"/>
          <w:sz w:val="24"/>
          <w:u w:val="single"/>
        </w:rPr>
        <w:t xml:space="preserve">                     </w:t>
      </w:r>
    </w:p>
    <w:p>
      <w:pPr>
        <w:numPr>
          <w:ilvl w:val="0"/>
          <w:numId w:val="2"/>
        </w:numPr>
        <w:spacing w:line="480" w:lineRule="exact"/>
        <w:ind w:left="0" w:firstLine="0"/>
        <w:jc w:val="left"/>
        <w:rPr>
          <w:b/>
          <w:bCs/>
          <w:sz w:val="24"/>
        </w:rPr>
      </w:pPr>
      <w:r>
        <w:rPr>
          <w:rFonts w:hint="eastAsia"/>
          <w:b/>
          <w:bCs/>
          <w:sz w:val="24"/>
        </w:rPr>
        <w:t>领导班子在该项目中是否做到了指导和监督？</w:t>
      </w:r>
    </w:p>
    <w:p>
      <w:pPr>
        <w:widowControl/>
        <w:numPr>
          <w:ilvl w:val="0"/>
          <w:numId w:val="3"/>
        </w:numPr>
        <w:spacing w:line="480" w:lineRule="exact"/>
        <w:jc w:val="left"/>
        <w:rPr>
          <w:sz w:val="24"/>
        </w:rPr>
      </w:pPr>
      <w:r>
        <w:rPr>
          <w:rFonts w:hint="eastAsia"/>
          <w:sz w:val="24"/>
        </w:rPr>
        <w:t xml:space="preserve">是      B.否  </w:t>
      </w:r>
    </w:p>
    <w:p>
      <w:pPr>
        <w:numPr>
          <w:ilvl w:val="0"/>
          <w:numId w:val="2"/>
        </w:numPr>
        <w:spacing w:line="480" w:lineRule="exact"/>
        <w:ind w:left="0" w:firstLine="0"/>
        <w:jc w:val="left"/>
        <w:rPr>
          <w:b/>
          <w:bCs/>
          <w:sz w:val="24"/>
        </w:rPr>
      </w:pPr>
      <w:r>
        <w:rPr>
          <w:rFonts w:hint="eastAsia"/>
          <w:b/>
          <w:bCs/>
          <w:sz w:val="24"/>
        </w:rPr>
        <w:t>您认为该项目是否具有开展的必要性？</w:t>
      </w:r>
    </w:p>
    <w:p>
      <w:pPr>
        <w:spacing w:line="480" w:lineRule="exact"/>
        <w:jc w:val="left"/>
        <w:rPr>
          <w:sz w:val="24"/>
        </w:rPr>
      </w:pPr>
      <w:r>
        <w:rPr>
          <w:rFonts w:hint="eastAsia"/>
          <w:sz w:val="24"/>
        </w:rPr>
        <w:t>A</w:t>
      </w:r>
      <w:r>
        <w:rPr>
          <w:sz w:val="24"/>
        </w:rPr>
        <w:t>.</w:t>
      </w:r>
      <w:r>
        <w:rPr>
          <w:rFonts w:hint="eastAsia"/>
          <w:sz w:val="24"/>
        </w:rPr>
        <w:t xml:space="preserve">是      B.否  </w:t>
      </w:r>
    </w:p>
    <w:p>
      <w:pPr>
        <w:numPr>
          <w:ilvl w:val="0"/>
          <w:numId w:val="2"/>
        </w:numPr>
        <w:spacing w:line="480" w:lineRule="exact"/>
        <w:ind w:left="0" w:firstLine="0"/>
        <w:jc w:val="left"/>
        <w:rPr>
          <w:b/>
          <w:bCs/>
          <w:sz w:val="24"/>
        </w:rPr>
      </w:pPr>
      <w:r>
        <w:rPr>
          <w:rFonts w:hint="eastAsia"/>
          <w:b/>
          <w:bCs/>
          <w:sz w:val="24"/>
        </w:rPr>
        <w:t>项目施工过程中是否有给您的生活带来不便？</w:t>
      </w:r>
    </w:p>
    <w:p>
      <w:pPr>
        <w:spacing w:line="480" w:lineRule="exact"/>
        <w:jc w:val="left"/>
        <w:rPr>
          <w:sz w:val="24"/>
        </w:rPr>
      </w:pPr>
      <w:r>
        <w:rPr>
          <w:rFonts w:hint="eastAsia"/>
          <w:sz w:val="24"/>
        </w:rPr>
        <w:t xml:space="preserve">A.是      B.否 </w:t>
      </w:r>
    </w:p>
    <w:p>
      <w:pPr>
        <w:numPr>
          <w:ilvl w:val="0"/>
          <w:numId w:val="2"/>
        </w:numPr>
        <w:spacing w:line="480" w:lineRule="exact"/>
        <w:ind w:left="0" w:firstLine="0"/>
        <w:jc w:val="left"/>
        <w:rPr>
          <w:b/>
          <w:bCs/>
          <w:sz w:val="24"/>
        </w:rPr>
      </w:pPr>
      <w:r>
        <w:rPr>
          <w:rFonts w:hint="eastAsia"/>
          <w:b/>
          <w:bCs/>
          <w:sz w:val="24"/>
        </w:rPr>
        <w:t>该项目是否有给您的出行和日常生活带来改善？</w:t>
      </w:r>
    </w:p>
    <w:p>
      <w:pPr>
        <w:spacing w:line="480" w:lineRule="exact"/>
        <w:jc w:val="left"/>
        <w:rPr>
          <w:sz w:val="24"/>
        </w:rPr>
      </w:pPr>
      <w:r>
        <w:rPr>
          <w:rFonts w:hint="eastAsia"/>
          <w:sz w:val="24"/>
        </w:rPr>
        <w:t>A.有较大改善            B.影响一般              C.没有改善</w:t>
      </w:r>
    </w:p>
    <w:p>
      <w:pPr>
        <w:numPr>
          <w:ilvl w:val="0"/>
          <w:numId w:val="2"/>
        </w:numPr>
        <w:spacing w:line="480" w:lineRule="exact"/>
        <w:ind w:left="0" w:firstLine="0"/>
        <w:jc w:val="left"/>
        <w:rPr>
          <w:b/>
          <w:bCs/>
          <w:sz w:val="24"/>
        </w:rPr>
      </w:pPr>
      <w:r>
        <w:rPr>
          <w:rFonts w:hint="eastAsia"/>
          <w:b/>
          <w:bCs/>
          <w:sz w:val="24"/>
        </w:rPr>
        <w:t>您认为该项目的实施是否有助于提升村庄整体环境面貌？</w:t>
      </w:r>
    </w:p>
    <w:p>
      <w:pPr>
        <w:spacing w:line="480" w:lineRule="exact"/>
        <w:jc w:val="left"/>
        <w:rPr>
          <w:sz w:val="24"/>
        </w:rPr>
      </w:pPr>
      <w:r>
        <w:rPr>
          <w:rFonts w:hint="eastAsia"/>
          <w:sz w:val="24"/>
        </w:rPr>
        <w:t>A.有较大提升            B.有提升              C.没有提升</w:t>
      </w:r>
    </w:p>
    <w:p>
      <w:pPr>
        <w:numPr>
          <w:ilvl w:val="0"/>
          <w:numId w:val="2"/>
        </w:numPr>
        <w:spacing w:line="480" w:lineRule="exact"/>
        <w:ind w:left="0" w:firstLine="0"/>
        <w:jc w:val="left"/>
        <w:rPr>
          <w:b/>
          <w:bCs/>
          <w:sz w:val="24"/>
        </w:rPr>
      </w:pPr>
      <w:r>
        <w:rPr>
          <w:rFonts w:hint="eastAsia"/>
          <w:b/>
          <w:bCs/>
          <w:sz w:val="24"/>
        </w:rPr>
        <w:t>您认为该项目的实施是否有助于完善村庄内的基础设施？</w:t>
      </w:r>
    </w:p>
    <w:p>
      <w:pPr>
        <w:spacing w:line="480" w:lineRule="exact"/>
        <w:jc w:val="left"/>
        <w:rPr>
          <w:sz w:val="24"/>
        </w:rPr>
      </w:pPr>
      <w:r>
        <w:rPr>
          <w:rFonts w:hint="eastAsia"/>
          <w:sz w:val="24"/>
        </w:rPr>
        <w:t>A.有较大提升            B.有提升            C.没有提升</w:t>
      </w:r>
    </w:p>
    <w:p>
      <w:pPr>
        <w:numPr>
          <w:ilvl w:val="0"/>
          <w:numId w:val="2"/>
        </w:numPr>
        <w:spacing w:line="480" w:lineRule="exact"/>
        <w:ind w:left="0" w:firstLine="0"/>
        <w:jc w:val="left"/>
        <w:rPr>
          <w:b/>
          <w:bCs/>
          <w:sz w:val="24"/>
        </w:rPr>
      </w:pPr>
      <w:r>
        <w:rPr>
          <w:rFonts w:hint="eastAsia"/>
          <w:b/>
          <w:bCs/>
          <w:sz w:val="24"/>
        </w:rPr>
        <w:t>您认为该项目的实施对推进村级公益事业建设一事一议是否具有积极影响？</w:t>
      </w:r>
    </w:p>
    <w:p>
      <w:pPr>
        <w:spacing w:line="480" w:lineRule="exact"/>
        <w:jc w:val="left"/>
        <w:rPr>
          <w:sz w:val="24"/>
        </w:rPr>
      </w:pPr>
      <w:r>
        <w:rPr>
          <w:rFonts w:hint="eastAsia"/>
          <w:sz w:val="24"/>
        </w:rPr>
        <w:t>A.有积极影响       B.影响一般         C.没有影响</w:t>
      </w:r>
    </w:p>
    <w:p>
      <w:pPr>
        <w:numPr>
          <w:ilvl w:val="0"/>
          <w:numId w:val="2"/>
        </w:numPr>
        <w:spacing w:line="480" w:lineRule="exact"/>
        <w:ind w:left="0" w:firstLine="0"/>
        <w:jc w:val="left"/>
        <w:rPr>
          <w:b/>
          <w:bCs/>
          <w:sz w:val="24"/>
        </w:rPr>
      </w:pPr>
      <w:r>
        <w:rPr>
          <w:rFonts w:hint="eastAsia"/>
          <w:b/>
          <w:bCs/>
          <w:sz w:val="24"/>
        </w:rPr>
        <w:t>您认为该项目的实施是否改善了人居环境、提升辖区居民生活满意度？</w:t>
      </w:r>
    </w:p>
    <w:p>
      <w:pPr>
        <w:spacing w:line="480" w:lineRule="exact"/>
        <w:jc w:val="left"/>
        <w:rPr>
          <w:sz w:val="24"/>
        </w:rPr>
      </w:pPr>
      <w:r>
        <w:rPr>
          <w:rFonts w:hint="eastAsia"/>
          <w:sz w:val="24"/>
        </w:rPr>
        <w:t>A.有较大改善和提升            B.影响一般            C.没有改善和提升</w:t>
      </w:r>
    </w:p>
    <w:p>
      <w:pPr>
        <w:numPr>
          <w:ilvl w:val="0"/>
          <w:numId w:val="2"/>
        </w:numPr>
        <w:spacing w:line="480" w:lineRule="exact"/>
        <w:ind w:left="0" w:firstLine="0"/>
        <w:jc w:val="left"/>
        <w:rPr>
          <w:b/>
          <w:bCs/>
          <w:sz w:val="24"/>
        </w:rPr>
      </w:pPr>
      <w:r>
        <w:rPr>
          <w:rFonts w:hint="eastAsia"/>
          <w:b/>
          <w:bCs/>
          <w:sz w:val="24"/>
        </w:rPr>
        <w:t>您认为该项目的实施是否对提升辖区形象有积极影响？</w:t>
      </w:r>
    </w:p>
    <w:p>
      <w:pPr>
        <w:spacing w:line="480" w:lineRule="exact"/>
        <w:jc w:val="left"/>
        <w:rPr>
          <w:sz w:val="24"/>
        </w:rPr>
      </w:pPr>
      <w:r>
        <w:rPr>
          <w:rFonts w:hint="eastAsia"/>
          <w:sz w:val="24"/>
        </w:rPr>
        <w:t>A.有较大影响            B.影响一般              C.没有影响</w:t>
      </w:r>
    </w:p>
    <w:p>
      <w:pPr>
        <w:numPr>
          <w:ilvl w:val="0"/>
          <w:numId w:val="2"/>
        </w:numPr>
        <w:spacing w:line="480" w:lineRule="exact"/>
        <w:ind w:left="0" w:firstLine="0"/>
        <w:jc w:val="left"/>
        <w:rPr>
          <w:b/>
          <w:bCs/>
          <w:sz w:val="24"/>
        </w:rPr>
      </w:pPr>
      <w:r>
        <w:rPr>
          <w:rFonts w:hint="eastAsia"/>
          <w:b/>
          <w:bCs/>
          <w:sz w:val="24"/>
        </w:rPr>
        <w:t>您认为该项目实施后相关建设内容是否得到良好的养护，未出现破损、损坏等现象？</w:t>
      </w:r>
    </w:p>
    <w:p>
      <w:pPr>
        <w:spacing w:line="480" w:lineRule="exact"/>
        <w:jc w:val="left"/>
        <w:rPr>
          <w:sz w:val="24"/>
        </w:rPr>
      </w:pPr>
      <w:r>
        <w:rPr>
          <w:rFonts w:hint="eastAsia"/>
          <w:sz w:val="24"/>
        </w:rPr>
        <w:t>A.养护良好，未出现破损、损坏等现象     B.养护较差，出现破损、损坏等现象</w:t>
      </w:r>
    </w:p>
    <w:p>
      <w:pPr>
        <w:numPr>
          <w:ilvl w:val="0"/>
          <w:numId w:val="2"/>
        </w:numPr>
        <w:spacing w:line="480" w:lineRule="exact"/>
        <w:ind w:left="0" w:firstLine="0"/>
        <w:jc w:val="left"/>
        <w:rPr>
          <w:b/>
          <w:bCs/>
          <w:sz w:val="24"/>
        </w:rPr>
      </w:pPr>
      <w:r>
        <w:rPr>
          <w:rFonts w:hint="eastAsia"/>
          <w:b/>
          <w:bCs/>
          <w:sz w:val="24"/>
        </w:rPr>
        <w:t>您对该项目整体的满意度如何？</w:t>
      </w:r>
    </w:p>
    <w:p>
      <w:pPr>
        <w:spacing w:line="480" w:lineRule="exact"/>
        <w:jc w:val="left"/>
        <w:rPr>
          <w:sz w:val="24"/>
        </w:rPr>
      </w:pPr>
      <w:r>
        <w:rPr>
          <w:rFonts w:hint="eastAsia"/>
          <w:sz w:val="24"/>
        </w:rPr>
        <w:t>A.满意           B.一般          C.不满意</w:t>
      </w:r>
    </w:p>
    <w:p>
      <w:pPr>
        <w:numPr>
          <w:ilvl w:val="0"/>
          <w:numId w:val="2"/>
        </w:numPr>
        <w:spacing w:line="480" w:lineRule="exact"/>
        <w:ind w:left="0" w:firstLine="0"/>
        <w:jc w:val="left"/>
        <w:rPr>
          <w:b/>
          <w:bCs/>
          <w:sz w:val="24"/>
        </w:rPr>
      </w:pPr>
      <w:r>
        <w:rPr>
          <w:rFonts w:ascii="Times New Roman" w:hAnsi="Times New Roman" w:eastAsia="宋体" w:cs="Times New Roman"/>
          <w:b/>
          <w:bCs/>
          <w:kern w:val="2"/>
          <w:sz w:val="24"/>
          <w:szCs w:val="24"/>
          <w:lang w:val="en-US" w:eastAsia="zh-CN" w:bidi="ar-SA"/>
        </w:rPr>
        <w:pict>
          <v:rect id="矩形 9" o:spid="_x0000_s1034" style="position:absolute;left:0;margin-left:-5.5pt;margin-top:32.7pt;height:50.1pt;width:447.1pt;rotation:0f;z-index:251664384;" o:ole="f" fillcolor="#FFFFFF" filled="t" o:preferrelative="t" stroked="t" coordsize="21600,21600">
            <v:stroke weight="2pt" color="#000000" color2="#FFFFFF" miterlimit="2"/>
            <v:imagedata gain="65536f" blacklevel="0f" gamma="0"/>
            <o:lock v:ext="edit" position="f" selection="f" grouping="f" rotation="f" cropping="f" text="f" aspectratio="f"/>
          </v:rect>
        </w:pict>
      </w:r>
      <w:r>
        <w:rPr>
          <w:rFonts w:hint="eastAsia"/>
          <w:b/>
          <w:bCs/>
          <w:sz w:val="24"/>
        </w:rPr>
        <w:t>对项目实施的意见</w:t>
      </w:r>
    </w:p>
    <w:p>
      <w:pPr>
        <w:pStyle w:val="26"/>
        <w:ind w:left="0" w:leftChars="0" w:firstLine="0" w:firstLineChars="0"/>
        <w:rPr>
          <w:rFonts w:hint="eastAsia" w:ascii="方正小标宋简体" w:eastAsia="方正小标宋简体"/>
          <w:spacing w:val="60"/>
          <w:sz w:val="48"/>
          <w:lang w:val="zh-CN" w:eastAsia="zh-CN"/>
        </w:rPr>
      </w:pPr>
    </w:p>
    <w:sectPr>
      <w:pgSz w:w="11906" w:h="16838"/>
      <w:pgMar w:top="2098" w:right="1418" w:bottom="1871" w:left="1531"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auto"/>
    <w:pitch w:val="default"/>
    <w:sig w:usb0="0000028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文星简仿宋">
    <w:altName w:val="仿宋_GB2312"/>
    <w:panose1 w:val="00000000000000000000"/>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文星简黑体">
    <w:altName w:val="黑体"/>
    <w:panose1 w:val="00000000000000000000"/>
    <w:charset w:val="86"/>
    <w:family w:val="auto"/>
    <w:pitch w:val="default"/>
    <w:sig w:usb0="00000000" w:usb1="00000000" w:usb2="00000000" w:usb3="00000000" w:csb0="00040001"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r>
      <w:rPr>
        <w:rFonts w:ascii="Times New Roman" w:hAnsi="Times New Roman" w:eastAsia="宋体" w:cs="Times New Roman"/>
        <w:kern w:val="2"/>
        <w:sz w:val="18"/>
        <w:szCs w:val="18"/>
        <w:lang w:val="en-US" w:eastAsia="zh-CN" w:bidi="ar-SA"/>
      </w:rPr>
      <w:pict>
        <v:rect id="文本框 4" o:spid="_x0000_s1025"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8"/>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43378390">
    <w:nsid w:val="C747E7D6"/>
    <w:multiLevelType w:val="singleLevel"/>
    <w:tmpl w:val="C747E7D6"/>
    <w:lvl w:ilvl="0" w:tentative="1">
      <w:start w:val="1"/>
      <w:numFmt w:val="decimal"/>
      <w:lvlText w:val="%1."/>
      <w:lvlJc w:val="left"/>
      <w:pPr>
        <w:ind w:left="425" w:hanging="425"/>
      </w:pPr>
      <w:rPr>
        <w:rFonts w:hint="default"/>
      </w:rPr>
    </w:lvl>
  </w:abstractNum>
  <w:abstractNum w:abstractNumId="2502376005">
    <w:nsid w:val="95273A45"/>
    <w:multiLevelType w:val="singleLevel"/>
    <w:tmpl w:val="95273A45"/>
    <w:lvl w:ilvl="0" w:tentative="1">
      <w:start w:val="2"/>
      <w:numFmt w:val="decimal"/>
      <w:suff w:val="nothing"/>
      <w:lvlText w:val="（%1）"/>
      <w:lvlJc w:val="left"/>
    </w:lvl>
  </w:abstractNum>
  <w:abstractNum w:abstractNumId="1782574292">
    <w:nsid w:val="6A3FECD4"/>
    <w:multiLevelType w:val="singleLevel"/>
    <w:tmpl w:val="6A3FECD4"/>
    <w:lvl w:ilvl="0" w:tentative="1">
      <w:start w:val="1"/>
      <w:numFmt w:val="upperLetter"/>
      <w:lvlText w:val="%1."/>
      <w:lvlJc w:val="left"/>
      <w:pPr>
        <w:tabs>
          <w:tab w:val="left" w:pos="312"/>
        </w:tabs>
      </w:pPr>
    </w:lvl>
  </w:abstractNum>
  <w:num w:numId="1">
    <w:abstractNumId w:val="2502376005"/>
  </w:num>
  <w:num w:numId="2">
    <w:abstractNumId w:val="3343378390"/>
  </w:num>
  <w:num w:numId="3">
    <w:abstractNumId w:val="17825742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ZmZiZjc1YTA4NGZhZWE0NDVjOTJiMzkwZmI3ZjMwM2YifQ=="/>
  </w:docVar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annotation subject"/>
    <w:lsdException w:qFormat="1" w:unhideWhenUsed="0" w:uiPriority="0" w:name="Balloon Text"/>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5">
    <w:name w:val="Default Paragraph Font"/>
    <w:uiPriority w:val="0"/>
  </w:style>
  <w:style w:type="paragraph" w:styleId="2">
    <w:name w:val="annotation subject"/>
    <w:basedOn w:val="3"/>
    <w:next w:val="3"/>
    <w:link w:val="32"/>
    <w:unhideWhenUsed/>
    <w:qFormat/>
    <w:uiPriority w:val="99"/>
    <w:rPr>
      <w:b/>
      <w:bCs/>
    </w:rPr>
  </w:style>
  <w:style w:type="paragraph" w:styleId="3">
    <w:name w:val="annotation text"/>
    <w:basedOn w:val="1"/>
    <w:link w:val="28"/>
    <w:unhideWhenUsed/>
    <w:qFormat/>
    <w:uiPriority w:val="99"/>
    <w:pPr>
      <w:jc w:val="left"/>
    </w:pPr>
  </w:style>
  <w:style w:type="paragraph" w:styleId="4">
    <w:name w:val="Document Map"/>
    <w:basedOn w:val="1"/>
    <w:link w:val="27"/>
    <w:qFormat/>
    <w:uiPriority w:val="0"/>
    <w:rPr>
      <w:rFonts w:ascii="宋体"/>
      <w:sz w:val="18"/>
      <w:szCs w:val="18"/>
    </w:rPr>
  </w:style>
  <w:style w:type="paragraph" w:styleId="5">
    <w:name w:val="Body Text Indent"/>
    <w:basedOn w:val="1"/>
    <w:qFormat/>
    <w:uiPriority w:val="0"/>
    <w:pPr>
      <w:widowControl w:val="0"/>
      <w:spacing w:after="120" w:line="240" w:lineRule="auto"/>
      <w:ind w:left="420" w:leftChars="200" w:firstLine="0" w:firstLineChars="0"/>
      <w:jc w:val="both"/>
    </w:pPr>
    <w:rPr>
      <w:rFonts w:ascii="Times New Roman" w:hAnsi="Times New Roman" w:eastAsia="Times New Roman" w:cs="Times New Roman"/>
      <w:kern w:val="0"/>
      <w:sz w:val="20"/>
      <w:szCs w:val="21"/>
      <w:lang w:val="en-US" w:eastAsia="zh-CN" w:bidi="ar-SA"/>
    </w:rPr>
  </w:style>
  <w:style w:type="paragraph" w:styleId="6">
    <w:name w:val="Body Text Indent 2"/>
    <w:basedOn w:val="1"/>
    <w:link w:val="29"/>
    <w:qFormat/>
    <w:uiPriority w:val="0"/>
    <w:pPr>
      <w:ind w:firstLine="640" w:firstLineChars="200"/>
    </w:pPr>
    <w:rPr>
      <w:rFonts w:ascii="楷体_GB2312" w:hAnsi="Courier New" w:eastAsia="楷体_GB2312"/>
      <w:szCs w:val="20"/>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Body Text First Indent 2"/>
    <w:basedOn w:val="5"/>
    <w:qFormat/>
    <w:uiPriority w:val="0"/>
    <w:pPr>
      <w:widowControl w:val="0"/>
      <w:spacing w:after="120" w:line="240" w:lineRule="auto"/>
      <w:ind w:left="420" w:leftChars="200" w:firstLine="200" w:firstLineChars="200"/>
      <w:jc w:val="both"/>
    </w:pPr>
    <w:rPr>
      <w:rFonts w:ascii="新宋体" w:hAnsi="新宋体" w:eastAsia="仿宋_GB2312" w:cs="新宋体"/>
      <w:kern w:val="0"/>
      <w:sz w:val="36"/>
      <w:szCs w:val="36"/>
      <w:lang w:val="en-US" w:eastAsia="zh-CN" w:bidi="ar-SA"/>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iPriority w:val="39"/>
  </w:style>
  <w:style w:type="paragraph" w:styleId="12">
    <w:name w:val="Subtitle"/>
    <w:basedOn w:val="1"/>
    <w:next w:val="1"/>
    <w:link w:val="30"/>
    <w:qFormat/>
    <w:uiPriority w:val="11"/>
    <w:pPr>
      <w:spacing w:before="240" w:after="60" w:line="312" w:lineRule="auto"/>
      <w:jc w:val="center"/>
      <w:outlineLvl w:val="1"/>
    </w:pPr>
    <w:rPr>
      <w:rFonts w:ascii="Cambria" w:hAnsi="Cambria"/>
      <w:b/>
      <w:bCs/>
      <w:kern w:val="28"/>
      <w:szCs w:val="32"/>
    </w:rPr>
  </w:style>
  <w:style w:type="paragraph" w:styleId="13">
    <w:name w:val="toc 2"/>
    <w:basedOn w:val="1"/>
    <w:next w:val="1"/>
    <w:uiPriority w:val="39"/>
    <w:pPr>
      <w:ind w:left="420" w:leftChars="200"/>
    </w:pPr>
  </w:style>
  <w:style w:type="paragraph" w:styleId="14">
    <w:name w:val="Title"/>
    <w:basedOn w:val="1"/>
    <w:next w:val="1"/>
    <w:link w:val="31"/>
    <w:qFormat/>
    <w:uiPriority w:val="0"/>
    <w:pPr>
      <w:spacing w:before="240" w:after="60"/>
      <w:jc w:val="center"/>
      <w:outlineLvl w:val="0"/>
    </w:pPr>
    <w:rPr>
      <w:rFonts w:ascii="Cambria" w:hAnsi="Cambria"/>
      <w:b/>
      <w:bCs/>
      <w:szCs w:val="32"/>
    </w:rPr>
  </w:style>
  <w:style w:type="character" w:styleId="16">
    <w:name w:val="Strong"/>
    <w:basedOn w:val="15"/>
    <w:qFormat/>
    <w:uiPriority w:val="22"/>
    <w:rPr>
      <w:b/>
      <w:bCs/>
    </w:rPr>
  </w:style>
  <w:style w:type="character" w:styleId="17">
    <w:name w:val="page number"/>
    <w:qFormat/>
    <w:uiPriority w:val="0"/>
  </w:style>
  <w:style w:type="character" w:styleId="18">
    <w:name w:val="annotation reference"/>
    <w:unhideWhenUsed/>
    <w:qFormat/>
    <w:uiPriority w:val="99"/>
    <w:rPr>
      <w:sz w:val="21"/>
      <w:szCs w:val="21"/>
    </w:rPr>
  </w:style>
  <w:style w:type="paragraph" w:customStyle="1" w:styleId="19">
    <w:name w:val="p0"/>
    <w:basedOn w:val="1"/>
    <w:link w:val="33"/>
    <w:qFormat/>
    <w:uiPriority w:val="0"/>
    <w:pPr>
      <w:widowControl/>
    </w:pPr>
    <w:rPr>
      <w:kern w:val="0"/>
      <w:sz w:val="20"/>
      <w:szCs w:val="21"/>
    </w:rPr>
  </w:style>
  <w:style w:type="paragraph" w:customStyle="1" w:styleId="20">
    <w:name w:val="p17"/>
    <w:basedOn w:val="1"/>
    <w:qFormat/>
    <w:uiPriority w:val="0"/>
    <w:pPr>
      <w:widowControl/>
    </w:pPr>
    <w:rPr>
      <w:rFonts w:ascii="宋体" w:hAnsi="宋体" w:cs="宋体"/>
      <w:kern w:val="0"/>
      <w:szCs w:val="21"/>
    </w:rPr>
  </w:style>
  <w:style w:type="paragraph" w:customStyle="1" w:styleId="21">
    <w:name w:val=" Char Char Char Char"/>
    <w:basedOn w:val="1"/>
    <w:qFormat/>
    <w:uiPriority w:val="0"/>
  </w:style>
  <w:style w:type="paragraph" w:customStyle="1" w:styleId="22">
    <w:name w:val=" Char"/>
    <w:basedOn w:val="1"/>
    <w:qFormat/>
    <w:uiPriority w:val="0"/>
    <w:pPr>
      <w:widowControl/>
      <w:jc w:val="left"/>
    </w:pPr>
  </w:style>
  <w:style w:type="paragraph" w:customStyle="1" w:styleId="23">
    <w:name w:val="Char"/>
    <w:basedOn w:val="1"/>
    <w:qFormat/>
    <w:uiPriority w:val="0"/>
    <w:pPr>
      <w:widowControl/>
      <w:jc w:val="left"/>
    </w:pPr>
  </w:style>
  <w:style w:type="paragraph" w:customStyle="1" w:styleId="24">
    <w:name w:val="Char1"/>
    <w:basedOn w:val="1"/>
    <w:qFormat/>
    <w:uiPriority w:val="0"/>
    <w:pPr>
      <w:widowControl/>
      <w:jc w:val="left"/>
    </w:pPr>
  </w:style>
  <w:style w:type="paragraph" w:customStyle="1" w:styleId="25">
    <w:name w:val="闻政页码"/>
    <w:qFormat/>
    <w:uiPriority w:val="6"/>
    <w:pPr>
      <w:jc w:val="center"/>
    </w:pPr>
    <w:rPr>
      <w:rFonts w:ascii="Times New Roman" w:hAnsi="Times New Roman" w:eastAsia="Times New Roman" w:cs="Times New Roman"/>
      <w:sz w:val="21"/>
      <w:szCs w:val="28"/>
      <w:lang w:val="en-US" w:eastAsia="zh-CN" w:bidi="ar-SA"/>
    </w:rPr>
  </w:style>
  <w:style w:type="paragraph" w:customStyle="1" w:styleId="26">
    <w:name w:val="列出段落1"/>
    <w:basedOn w:val="1"/>
    <w:qFormat/>
    <w:uiPriority w:val="0"/>
    <w:pPr>
      <w:ind w:firstLine="420" w:firstLineChars="200"/>
    </w:pPr>
    <w:rPr>
      <w:rFonts w:ascii="Times New Roman" w:hAnsi="Times New Roman"/>
    </w:rPr>
  </w:style>
  <w:style w:type="character" w:customStyle="1" w:styleId="27">
    <w:name w:val="文档结构图 字符"/>
    <w:link w:val="4"/>
    <w:qFormat/>
    <w:uiPriority w:val="0"/>
    <w:rPr>
      <w:rFonts w:ascii="宋体"/>
      <w:kern w:val="2"/>
      <w:sz w:val="18"/>
      <w:szCs w:val="18"/>
    </w:rPr>
  </w:style>
  <w:style w:type="character" w:customStyle="1" w:styleId="28">
    <w:name w:val="批注文字 字符"/>
    <w:link w:val="3"/>
    <w:semiHidden/>
    <w:qFormat/>
    <w:uiPriority w:val="99"/>
    <w:rPr>
      <w:kern w:val="2"/>
      <w:sz w:val="32"/>
      <w:szCs w:val="24"/>
    </w:rPr>
  </w:style>
  <w:style w:type="character" w:customStyle="1" w:styleId="29">
    <w:name w:val="正文文本缩进 2 字符"/>
    <w:link w:val="6"/>
    <w:qFormat/>
    <w:uiPriority w:val="0"/>
    <w:rPr>
      <w:rFonts w:ascii="楷体_GB2312" w:hAnsi="Courier New" w:eastAsia="楷体_GB2312"/>
      <w:kern w:val="2"/>
      <w:sz w:val="32"/>
    </w:rPr>
  </w:style>
  <w:style w:type="character" w:customStyle="1" w:styleId="30">
    <w:name w:val="副标题 字符"/>
    <w:link w:val="12"/>
    <w:qFormat/>
    <w:uiPriority w:val="11"/>
    <w:rPr>
      <w:rFonts w:ascii="Cambria" w:hAnsi="Cambria" w:cs="Times New Roman"/>
      <w:b/>
      <w:bCs/>
      <w:kern w:val="28"/>
      <w:sz w:val="32"/>
      <w:szCs w:val="32"/>
    </w:rPr>
  </w:style>
  <w:style w:type="character" w:customStyle="1" w:styleId="31">
    <w:name w:val="标题 字符"/>
    <w:link w:val="14"/>
    <w:qFormat/>
    <w:uiPriority w:val="0"/>
    <w:rPr>
      <w:rFonts w:ascii="Cambria" w:hAnsi="Cambria" w:cs="Times New Roman"/>
      <w:b/>
      <w:bCs/>
      <w:kern w:val="2"/>
      <w:sz w:val="32"/>
      <w:szCs w:val="32"/>
    </w:rPr>
  </w:style>
  <w:style w:type="character" w:customStyle="1" w:styleId="32">
    <w:name w:val="批注主题 字符"/>
    <w:link w:val="2"/>
    <w:semiHidden/>
    <w:qFormat/>
    <w:uiPriority w:val="99"/>
    <w:rPr>
      <w:b/>
      <w:bCs/>
      <w:kern w:val="2"/>
      <w:sz w:val="32"/>
      <w:szCs w:val="24"/>
    </w:rPr>
  </w:style>
  <w:style w:type="character" w:customStyle="1" w:styleId="33">
    <w:name w:val="p0{858D7CFB-ED40-4347-BF05-701D383B685F}"/>
    <w:link w:val="19"/>
    <w:qFormat/>
    <w:uiPriority w:val="0"/>
    <w:rPr>
      <w:kern w:val="0"/>
      <w:szCs w:val="21"/>
    </w:rPr>
  </w:style>
  <w:style w:type="character" w:customStyle="1" w:styleId="34">
    <w:name w:val="样式 仿宋 三号 Char"/>
    <w:qFormat/>
    <w:uiPriority w:val="0"/>
    <w:rPr>
      <w:rFonts w:ascii="仿宋" w:hAnsi="仿宋" w:eastAsia="仿宋" w:cs="宋体"/>
      <w:kern w:val="2"/>
      <w:sz w:val="32"/>
      <w:lang w:val="en-US" w:eastAsia="zh-CN" w:bidi="ar-SA"/>
    </w:rPr>
  </w:style>
  <w:style w:type="character" w:customStyle="1" w:styleId="35">
    <w:name w:val="page number"/>
    <w:qFormat/>
    <w:uiPriority w:val="0"/>
  </w:style>
  <w:style w:type="character" w:customStyle="1" w:styleId="36">
    <w:name w:val="font11"/>
    <w:qFormat/>
    <w:uiPriority w:val="0"/>
    <w:rPr>
      <w:rFonts w:ascii="Arial" w:hAnsi="Arial" w:cs="Arial"/>
      <w:color w:val="000000"/>
      <w:sz w:val="36"/>
      <w:szCs w:val="36"/>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customXml" Target="../customXml/item1.xml"/><Relationship Id="rId17"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3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2077</Words>
  <Characters>11844</Characters>
  <Lines>98</Lines>
  <Paragraphs>27</Paragraphs>
  <ScaleCrop>false</ScaleCrop>
  <LinksUpToDate>false</LinksUpToDate>
  <CharactersWithSpaces>0</CharactersWithSpaces>
  <Application>WPS Office 个人版_9.1.0.4855_{F1E327BC-269C-435d-A152-05C5408002CA}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2022-11-01T09:28:00Z</dcterms:created>
  <cp:lastModifiedBy>Administrator</cp:lastModifiedBy>
  <dcterms:modified xsi:type="dcterms:W3CDTF">2023-11-03T08:21:14Z</dcterms:modified>
  <dc:title>2022年度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2052-9.1.0.4855</vt:lpwstr>
  </property>
  <property fmtid="{D5CDD505-2E9C-101B-9397-08002B2CF9AE}" pid="3" name="ICV">
    <vt:lpwstr>4864C1DD45D64F49B40594DBC0584ACC_13</vt:lpwstr>
  </property>
</Properties>
</file>