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rPr>
      </w:pPr>
    </w:p>
    <w:p>
      <w:pPr>
        <w:jc w:val="center"/>
        <w:rPr>
          <w:rFonts w:eastAsia="方正小标宋简体" w:asciiTheme="minorHAnsi" w:hAnsiTheme="minorHAnsi"/>
          <w:spacing w:val="60"/>
          <w:sz w:val="74"/>
        </w:rPr>
      </w:pPr>
      <w:r>
        <w:rPr>
          <w:rFonts w:hint="eastAsia" w:ascii="方正小标宋简体" w:eastAsia="方正小标宋简体"/>
          <w:spacing w:val="60"/>
          <w:sz w:val="74"/>
        </w:rPr>
        <w:t>202</w:t>
      </w:r>
      <w:r>
        <w:rPr>
          <w:rFonts w:hint="default" w:ascii="方正小标宋简体" w:eastAsia="方正小标宋简体"/>
          <w:spacing w:val="60"/>
          <w:sz w:val="74"/>
          <w:lang w:val="en-US"/>
        </w:rPr>
        <w:t>2</w:t>
      </w:r>
      <w:r>
        <w:rPr>
          <w:rFonts w:hint="eastAsia" w:ascii="方正小标宋简体" w:eastAsia="方正小标宋简体"/>
          <w:spacing w:val="60"/>
          <w:sz w:val="74"/>
        </w:rPr>
        <w:t>年度</w:t>
      </w:r>
    </w:p>
    <w:p>
      <w:pPr>
        <w:jc w:val="center"/>
        <w:rPr>
          <w:rFonts w:ascii="方正小标宋简体" w:eastAsia="方正小标宋简体"/>
          <w:spacing w:val="60"/>
          <w:sz w:val="74"/>
        </w:rPr>
      </w:pPr>
      <w:r>
        <w:rPr>
          <w:rFonts w:hint="eastAsia" w:ascii="方正小标宋简体" w:eastAsia="方正小标宋简体"/>
          <w:spacing w:val="60"/>
          <w:sz w:val="74"/>
        </w:rPr>
        <w:t>山东省即墨经济开发区管理委员会</w:t>
      </w:r>
      <w:r>
        <w:rPr>
          <w:rFonts w:hint="eastAsia" w:ascii="方正小标宋简体" w:eastAsia="方正小标宋简体"/>
          <w:spacing w:val="60"/>
          <w:sz w:val="74"/>
          <w:lang w:eastAsia="zh-CN"/>
        </w:rPr>
        <w:t>单位</w:t>
      </w:r>
      <w:r>
        <w:rPr>
          <w:rFonts w:hint="eastAsia" w:ascii="方正小标宋简体" w:eastAsia="方正小标宋简体"/>
          <w:spacing w:val="60"/>
          <w:sz w:val="74"/>
        </w:rPr>
        <w:t>决算</w:t>
      </w:r>
    </w:p>
    <w:p>
      <w:pPr>
        <w:jc w:val="center"/>
        <w:rPr>
          <w:rFonts w:ascii="楷体_GB2312" w:eastAsia="楷体_GB2312"/>
          <w:b/>
          <w:sz w:val="42"/>
        </w:rPr>
      </w:pPr>
    </w:p>
    <w:p>
      <w:pPr>
        <w:jc w:val="center"/>
        <w:rPr>
          <w:rFonts w:ascii="楷体_GB2312" w:eastAsia="楷体_GB2312"/>
          <w:b/>
          <w:sz w:val="42"/>
        </w:rPr>
      </w:pPr>
    </w:p>
    <w:p>
      <w:pPr>
        <w:rPr>
          <w:rFonts w:ascii="仿宋_GB2312" w:eastAsia="仿宋_GB2312"/>
        </w:rPr>
      </w:pPr>
    </w:p>
    <w:p>
      <w:pPr>
        <w:spacing w:afterLines="50" w:line="580" w:lineRule="exact"/>
        <w:jc w:val="center"/>
        <w:rPr>
          <w:rFonts w:ascii="方正小标宋简体" w:eastAsia="方正小标宋简体"/>
          <w:sz w:val="44"/>
          <w:szCs w:val="44"/>
        </w:rPr>
      </w:pPr>
    </w:p>
    <w:p>
      <w:pPr>
        <w:spacing w:afterLines="50" w:line="580" w:lineRule="exact"/>
        <w:jc w:val="center"/>
        <w:rPr>
          <w:rFonts w:ascii="方正小标宋简体" w:eastAsia="方正小标宋简体"/>
          <w:sz w:val="44"/>
          <w:szCs w:val="44"/>
        </w:rPr>
      </w:pPr>
    </w:p>
    <w:p>
      <w:pPr>
        <w:spacing w:afterLines="50" w:line="580" w:lineRule="exact"/>
        <w:jc w:val="center"/>
        <w:rPr>
          <w:rFonts w:ascii="方正小标宋简体" w:eastAsia="方正小标宋简体"/>
          <w:sz w:val="44"/>
          <w:szCs w:val="44"/>
        </w:rPr>
      </w:pPr>
    </w:p>
    <w:p>
      <w:pPr>
        <w:spacing w:afterLines="50" w:line="580" w:lineRule="exact"/>
        <w:jc w:val="center"/>
        <w:rPr>
          <w:rFonts w:ascii="方正小标宋简体" w:eastAsia="方正小标宋简体"/>
          <w:sz w:val="44"/>
          <w:szCs w:val="44"/>
        </w:rPr>
      </w:pPr>
    </w:p>
    <w:p>
      <w:pPr>
        <w:spacing w:afterLines="50" w:line="580" w:lineRule="exact"/>
        <w:jc w:val="center"/>
        <w:rPr>
          <w:rFonts w:ascii="方正小标宋简体" w:eastAsia="方正小标宋简体"/>
          <w:sz w:val="44"/>
          <w:szCs w:val="44"/>
        </w:rPr>
      </w:pPr>
    </w:p>
    <w:p>
      <w:pPr>
        <w:spacing w:afterLines="50" w:line="580" w:lineRule="exact"/>
        <w:jc w:val="center"/>
        <w:rPr>
          <w:rFonts w:ascii="方正小标宋简体" w:eastAsia="方正小标宋简体"/>
          <w:sz w:val="44"/>
          <w:szCs w:val="44"/>
        </w:rPr>
      </w:pPr>
    </w:p>
    <w:p>
      <w:pPr>
        <w:spacing w:afterLines="50" w:line="580" w:lineRule="exact"/>
        <w:jc w:val="center"/>
        <w:rPr>
          <w:rFonts w:ascii="方正小标宋简体" w:eastAsia="方正小标宋简体"/>
          <w:sz w:val="44"/>
          <w:szCs w:val="44"/>
        </w:rPr>
      </w:pPr>
    </w:p>
    <w:p>
      <w:pPr>
        <w:spacing w:afterLines="50" w:line="580" w:lineRule="exact"/>
        <w:jc w:val="center"/>
        <w:rPr>
          <w:rFonts w:ascii="方正小标宋简体" w:eastAsia="方正小标宋简体"/>
          <w:sz w:val="44"/>
          <w:szCs w:val="44"/>
        </w:rPr>
      </w:pPr>
    </w:p>
    <w:p>
      <w:pPr>
        <w:spacing w:afterLines="50" w:line="580" w:lineRule="exact"/>
        <w:jc w:val="center"/>
        <w:rPr>
          <w:rFonts w:ascii="方正小标宋简体" w:eastAsia="方正小标宋简体"/>
          <w:sz w:val="44"/>
          <w:szCs w:val="44"/>
        </w:rPr>
      </w:pPr>
      <w:r>
        <w:rPr>
          <w:rFonts w:hint="eastAsia" w:ascii="方正小标宋简体" w:eastAsia="方正小标宋简体"/>
          <w:sz w:val="44"/>
          <w:szCs w:val="44"/>
        </w:rPr>
        <w:t>目  录</w:t>
      </w:r>
    </w:p>
    <w:p>
      <w:pPr>
        <w:spacing w:line="580" w:lineRule="exact"/>
        <w:ind w:firstLine="316" w:firstLineChars="100"/>
        <w:rPr>
          <w:rFonts w:ascii="黑体" w:hAnsi="黑体" w:eastAsia="黑体"/>
        </w:rPr>
      </w:pPr>
      <w:r>
        <w:rPr>
          <w:rFonts w:hint="eastAsia" w:ascii="黑体" w:hAnsi="黑体" w:eastAsia="黑体"/>
        </w:rPr>
        <w:t xml:space="preserve">第一部分  </w:t>
      </w:r>
      <w:r>
        <w:rPr>
          <w:rFonts w:hint="eastAsia" w:ascii="黑体" w:hAnsi="黑体" w:eastAsia="黑体"/>
          <w:lang w:eastAsia="zh-CN"/>
        </w:rPr>
        <w:t>单位</w:t>
      </w:r>
      <w:r>
        <w:rPr>
          <w:rFonts w:hint="eastAsia" w:ascii="黑体" w:hAnsi="黑体" w:eastAsia="黑体"/>
        </w:rPr>
        <w:t>概况</w:t>
      </w:r>
    </w:p>
    <w:p>
      <w:pPr>
        <w:spacing w:line="580" w:lineRule="exact"/>
        <w:ind w:firstLine="632" w:firstLineChars="200"/>
        <w:rPr>
          <w:rFonts w:ascii="仿宋_GB2312" w:eastAsia="仿宋_GB2312"/>
        </w:rPr>
      </w:pPr>
      <w:r>
        <w:rPr>
          <w:rFonts w:hint="eastAsia" w:ascii="仿宋_GB2312" w:eastAsia="仿宋_GB2312"/>
        </w:rPr>
        <w:t>一、</w:t>
      </w:r>
      <w:r>
        <w:rPr>
          <w:rFonts w:hint="eastAsia" w:ascii="仿宋_GB2312" w:eastAsia="仿宋_GB2312"/>
          <w:lang w:eastAsia="zh-CN"/>
        </w:rPr>
        <w:t>单位</w:t>
      </w:r>
      <w:r>
        <w:rPr>
          <w:rFonts w:hint="eastAsia" w:ascii="仿宋_GB2312" w:eastAsia="仿宋_GB2312"/>
        </w:rPr>
        <w:t>职责</w:t>
      </w:r>
    </w:p>
    <w:p>
      <w:pPr>
        <w:spacing w:line="580" w:lineRule="exact"/>
        <w:ind w:firstLine="632" w:firstLineChars="200"/>
        <w:rPr>
          <w:rFonts w:ascii="仿宋_GB2312" w:eastAsia="仿宋_GB2312"/>
        </w:rPr>
      </w:pPr>
      <w:r>
        <w:rPr>
          <w:rFonts w:hint="eastAsia" w:ascii="仿宋_GB2312" w:eastAsia="仿宋_GB2312"/>
        </w:rPr>
        <w:t>二、机构设置</w:t>
      </w:r>
    </w:p>
    <w:p>
      <w:pPr>
        <w:spacing w:line="580" w:lineRule="exact"/>
        <w:ind w:firstLine="316" w:firstLineChars="100"/>
        <w:rPr>
          <w:rFonts w:ascii="黑体" w:hAnsi="黑体" w:eastAsia="黑体"/>
        </w:rPr>
      </w:pPr>
      <w:r>
        <w:rPr>
          <w:rFonts w:hint="eastAsia" w:ascii="黑体" w:hAnsi="黑体" w:eastAsia="黑体"/>
        </w:rPr>
        <w:t>第二部分  202</w:t>
      </w:r>
      <w:r>
        <w:rPr>
          <w:rFonts w:hint="default" w:ascii="黑体" w:hAnsi="黑体" w:eastAsia="黑体"/>
          <w:lang w:val="en-US"/>
        </w:rPr>
        <w:t>2</w:t>
      </w:r>
      <w:r>
        <w:rPr>
          <w:rFonts w:hint="eastAsia" w:ascii="黑体" w:hAnsi="黑体" w:eastAsia="黑体"/>
        </w:rPr>
        <w:t>年度</w:t>
      </w:r>
      <w:r>
        <w:rPr>
          <w:rFonts w:hint="eastAsia" w:ascii="黑体" w:hAnsi="黑体" w:eastAsia="黑体"/>
          <w:lang w:eastAsia="zh-CN"/>
        </w:rPr>
        <w:t>单位</w:t>
      </w:r>
      <w:r>
        <w:rPr>
          <w:rFonts w:hint="eastAsia" w:ascii="黑体" w:hAnsi="黑体" w:eastAsia="黑体"/>
        </w:rPr>
        <w:t>决算表</w:t>
      </w:r>
    </w:p>
    <w:p>
      <w:pPr>
        <w:spacing w:line="580" w:lineRule="exact"/>
        <w:ind w:firstLine="632" w:firstLineChars="200"/>
        <w:rPr>
          <w:rFonts w:ascii="仿宋_GB2312" w:eastAsia="仿宋_GB2312"/>
        </w:rPr>
      </w:pPr>
      <w:r>
        <w:rPr>
          <w:rFonts w:hint="eastAsia" w:ascii="仿宋_GB2312" w:eastAsia="仿宋_GB2312"/>
        </w:rPr>
        <w:t>一、收入支出决算总表</w:t>
      </w:r>
    </w:p>
    <w:p>
      <w:pPr>
        <w:spacing w:line="580" w:lineRule="exact"/>
        <w:ind w:firstLine="632" w:firstLineChars="200"/>
        <w:rPr>
          <w:rFonts w:ascii="仿宋_GB2312" w:eastAsia="仿宋_GB2312"/>
        </w:rPr>
      </w:pPr>
      <w:r>
        <w:rPr>
          <w:rFonts w:hint="eastAsia" w:ascii="仿宋_GB2312" w:eastAsia="仿宋_GB2312"/>
        </w:rPr>
        <w:t>二、收入决算表</w:t>
      </w:r>
    </w:p>
    <w:p>
      <w:pPr>
        <w:spacing w:line="580" w:lineRule="exact"/>
        <w:ind w:firstLine="632" w:firstLineChars="200"/>
        <w:rPr>
          <w:rFonts w:ascii="仿宋_GB2312" w:eastAsia="仿宋_GB2312"/>
        </w:rPr>
      </w:pPr>
      <w:r>
        <w:rPr>
          <w:rFonts w:hint="eastAsia" w:ascii="仿宋_GB2312" w:eastAsia="仿宋_GB2312"/>
        </w:rPr>
        <w:t>三、支出决算表</w:t>
      </w:r>
    </w:p>
    <w:p>
      <w:pPr>
        <w:spacing w:line="580" w:lineRule="exact"/>
        <w:ind w:firstLine="632" w:firstLineChars="200"/>
        <w:rPr>
          <w:rFonts w:ascii="仿宋_GB2312" w:eastAsia="仿宋_GB2312"/>
        </w:rPr>
      </w:pPr>
      <w:r>
        <w:rPr>
          <w:rFonts w:hint="eastAsia" w:ascii="仿宋_GB2312" w:eastAsia="仿宋_GB2312"/>
        </w:rPr>
        <w:t>四、财政拨款收入支出决算总表</w:t>
      </w:r>
    </w:p>
    <w:p>
      <w:pPr>
        <w:spacing w:line="580" w:lineRule="exact"/>
        <w:ind w:firstLine="632" w:firstLineChars="200"/>
        <w:rPr>
          <w:rFonts w:ascii="仿宋_GB2312" w:eastAsia="仿宋_GB2312"/>
        </w:rPr>
      </w:pPr>
      <w:r>
        <w:rPr>
          <w:rFonts w:hint="eastAsia" w:ascii="仿宋_GB2312" w:eastAsia="仿宋_GB2312"/>
        </w:rPr>
        <w:t>五、一般公共预算财政拨款支出决算表</w:t>
      </w:r>
    </w:p>
    <w:p>
      <w:pPr>
        <w:spacing w:line="580" w:lineRule="exact"/>
        <w:ind w:firstLine="632" w:firstLineChars="200"/>
        <w:rPr>
          <w:rFonts w:ascii="仿宋_GB2312" w:eastAsia="仿宋_GB2312"/>
        </w:rPr>
      </w:pPr>
      <w:r>
        <w:rPr>
          <w:rFonts w:hint="eastAsia" w:ascii="仿宋_GB2312" w:eastAsia="仿宋_GB2312"/>
        </w:rPr>
        <w:t>六、一般公共预算财政拨款基本支出决算表</w:t>
      </w:r>
    </w:p>
    <w:p>
      <w:pPr>
        <w:spacing w:line="580" w:lineRule="exact"/>
        <w:ind w:firstLine="632" w:firstLineChars="200"/>
        <w:rPr>
          <w:rFonts w:ascii="仿宋_GB2312" w:eastAsia="仿宋_GB2312"/>
        </w:rPr>
      </w:pPr>
      <w:r>
        <w:rPr>
          <w:rFonts w:hint="eastAsia" w:ascii="仿宋_GB2312" w:eastAsia="仿宋_GB2312"/>
        </w:rPr>
        <w:t>七、政府性基金预算财政拨款收入支出决算表</w:t>
      </w:r>
    </w:p>
    <w:p>
      <w:pPr>
        <w:spacing w:line="580" w:lineRule="exact"/>
        <w:ind w:firstLine="632" w:firstLineChars="200"/>
        <w:rPr>
          <w:rFonts w:ascii="仿宋_GB2312" w:eastAsia="仿宋_GB2312"/>
        </w:rPr>
      </w:pPr>
      <w:r>
        <w:rPr>
          <w:rFonts w:hint="eastAsia" w:ascii="仿宋_GB2312" w:eastAsia="仿宋_GB2312"/>
        </w:rPr>
        <w:t>八、国有资本经营预算财政拨款支出决算表</w:t>
      </w:r>
    </w:p>
    <w:p>
      <w:pPr>
        <w:spacing w:line="580" w:lineRule="exact"/>
        <w:ind w:firstLine="632" w:firstLineChars="200"/>
        <w:rPr>
          <w:rFonts w:hint="eastAsia" w:ascii="仿宋_GB2312" w:eastAsia="仿宋_GB2312"/>
        </w:rPr>
      </w:pPr>
      <w:r>
        <w:rPr>
          <w:rFonts w:hint="eastAsia" w:ascii="仿宋_GB2312" w:eastAsia="仿宋_GB2312"/>
        </w:rPr>
        <w:t>九、财政拨款“三公”经费支出决算表</w:t>
      </w:r>
    </w:p>
    <w:p>
      <w:pPr>
        <w:spacing w:line="580" w:lineRule="exact"/>
        <w:ind w:firstLine="316" w:firstLineChars="100"/>
        <w:rPr>
          <w:rFonts w:ascii="黑体" w:hAnsi="黑体" w:eastAsia="黑体"/>
        </w:rPr>
      </w:pPr>
      <w:r>
        <w:rPr>
          <w:rFonts w:hint="eastAsia" w:ascii="黑体" w:hAnsi="黑体" w:eastAsia="黑体"/>
        </w:rPr>
        <w:t>第三部分  202</w:t>
      </w:r>
      <w:r>
        <w:rPr>
          <w:rFonts w:hint="default" w:ascii="黑体" w:hAnsi="黑体" w:eastAsia="黑体"/>
          <w:lang w:val="en-US"/>
        </w:rPr>
        <w:t>2</w:t>
      </w:r>
      <w:r>
        <w:rPr>
          <w:rFonts w:hint="eastAsia" w:ascii="黑体" w:hAnsi="黑体" w:eastAsia="黑体"/>
        </w:rPr>
        <w:t>年度</w:t>
      </w:r>
      <w:r>
        <w:rPr>
          <w:rFonts w:hint="eastAsia" w:ascii="黑体" w:hAnsi="黑体" w:eastAsia="黑体"/>
          <w:lang w:eastAsia="zh-CN"/>
        </w:rPr>
        <w:t>单位</w:t>
      </w:r>
      <w:r>
        <w:rPr>
          <w:rFonts w:hint="eastAsia" w:ascii="黑体" w:hAnsi="黑体" w:eastAsia="黑体"/>
        </w:rPr>
        <w:t>决算情况说明</w:t>
      </w:r>
    </w:p>
    <w:p>
      <w:pPr>
        <w:spacing w:line="580" w:lineRule="exact"/>
        <w:ind w:firstLine="316" w:firstLineChars="100"/>
        <w:rPr>
          <w:rFonts w:ascii="黑体" w:hAnsi="黑体" w:eastAsia="黑体"/>
        </w:rPr>
      </w:pPr>
      <w:r>
        <w:rPr>
          <w:rFonts w:hint="eastAsia" w:ascii="黑体" w:hAnsi="黑体" w:eastAsia="黑体"/>
        </w:rPr>
        <w:t>第四部分  名词解释</w:t>
      </w:r>
    </w:p>
    <w:p>
      <w:pPr>
        <w:spacing w:line="580" w:lineRule="exact"/>
        <w:ind w:firstLine="316" w:firstLineChars="100"/>
        <w:rPr>
          <w:rFonts w:ascii="黑体" w:hAnsi="黑体" w:eastAsia="黑体"/>
        </w:rPr>
      </w:pPr>
      <w:r>
        <w:rPr>
          <w:rFonts w:hint="eastAsia" w:ascii="黑体" w:hAnsi="黑体" w:eastAsia="黑体"/>
        </w:rPr>
        <w:t>第五部分  附件</w:t>
      </w:r>
    </w:p>
    <w:p>
      <w:pPr>
        <w:spacing w:line="580" w:lineRule="exact"/>
        <w:ind w:firstLine="316" w:firstLineChars="100"/>
        <w:rPr>
          <w:rFonts w:ascii="黑体" w:hAnsi="黑体" w:eastAsia="黑体"/>
        </w:rPr>
      </w:pPr>
    </w:p>
    <w:p>
      <w:pPr>
        <w:spacing w:line="580" w:lineRule="exact"/>
        <w:ind w:firstLine="316" w:firstLineChars="100"/>
        <w:rPr>
          <w:rFonts w:ascii="黑体" w:hAnsi="黑体" w:eastAsia="黑体"/>
        </w:rPr>
      </w:pPr>
    </w:p>
    <w:p>
      <w:pPr>
        <w:rPr>
          <w:rFonts w:ascii="方正小标宋简体" w:eastAsia="方正小标宋简体"/>
          <w:sz w:val="42"/>
        </w:rPr>
      </w:pPr>
    </w:p>
    <w:p>
      <w:pPr>
        <w:ind w:firstLine="536" w:firstLineChars="100"/>
        <w:rPr>
          <w:rFonts w:ascii="方正小标宋简体" w:eastAsia="方正小标宋简体"/>
          <w:spacing w:val="60"/>
          <w:sz w:val="42"/>
        </w:rPr>
      </w:pPr>
    </w:p>
    <w:p>
      <w:pPr>
        <w:ind w:firstLine="536" w:firstLineChars="100"/>
        <w:rPr>
          <w:rFonts w:ascii="方正小标宋简体" w:eastAsia="方正小标宋简体"/>
          <w:spacing w:val="60"/>
          <w:sz w:val="42"/>
        </w:rPr>
      </w:pPr>
    </w:p>
    <w:p>
      <w:pPr>
        <w:ind w:firstLine="536" w:firstLineChars="100"/>
        <w:rPr>
          <w:rFonts w:ascii="方正小标宋简体" w:eastAsia="方正小标宋简体"/>
          <w:spacing w:val="60"/>
          <w:sz w:val="42"/>
        </w:rPr>
      </w:pPr>
    </w:p>
    <w:p>
      <w:pPr>
        <w:ind w:firstLine="536" w:firstLineChars="100"/>
        <w:rPr>
          <w:rFonts w:ascii="方正小标宋简体" w:eastAsia="方正小标宋简体"/>
          <w:spacing w:val="60"/>
          <w:sz w:val="42"/>
        </w:rPr>
      </w:pPr>
      <w:r>
        <w:rPr>
          <w:rFonts w:hint="eastAsia" w:ascii="方正小标宋简体" w:eastAsia="方正小标宋简体"/>
          <w:spacing w:val="60"/>
          <w:sz w:val="42"/>
        </w:rPr>
        <w:t>第一部分</w:t>
      </w:r>
    </w:p>
    <w:p>
      <w:pPr>
        <w:jc w:val="center"/>
        <w:rPr>
          <w:rFonts w:ascii="方正小标宋简体" w:eastAsia="方正小标宋简体"/>
          <w:spacing w:val="60"/>
          <w:sz w:val="48"/>
        </w:rPr>
      </w:pPr>
    </w:p>
    <w:p>
      <w:pPr>
        <w:jc w:val="center"/>
        <w:rPr>
          <w:rFonts w:ascii="方正小标宋简体" w:eastAsia="方正小标宋简体"/>
          <w:spacing w:val="60"/>
          <w:sz w:val="48"/>
        </w:rPr>
      </w:pPr>
    </w:p>
    <w:p>
      <w:pPr>
        <w:jc w:val="center"/>
        <w:rPr>
          <w:rFonts w:ascii="方正小标宋简体" w:eastAsia="方正小标宋简体"/>
          <w:spacing w:val="60"/>
          <w:sz w:val="48"/>
        </w:rPr>
      </w:pPr>
      <w:r>
        <w:rPr>
          <w:rFonts w:hint="eastAsia" w:ascii="方正小标宋简体" w:eastAsia="方正小标宋简体"/>
          <w:spacing w:val="60"/>
          <w:sz w:val="48"/>
          <w:lang w:eastAsia="zh-CN"/>
        </w:rPr>
        <w:t>单位</w:t>
      </w:r>
      <w:r>
        <w:rPr>
          <w:rFonts w:hint="eastAsia" w:ascii="方正小标宋简体" w:eastAsia="方正小标宋简体"/>
          <w:spacing w:val="60"/>
          <w:sz w:val="48"/>
        </w:rPr>
        <w:t>概况</w:t>
      </w:r>
    </w:p>
    <w:p>
      <w:pPr>
        <w:jc w:val="center"/>
        <w:rPr>
          <w:rFonts w:ascii="仿宋_GB2312" w:eastAsia="仿宋_GB2312"/>
        </w:rPr>
        <w:sectPr>
          <w:headerReference r:id="rId3" w:type="default"/>
          <w:footerReference r:id="rId4" w:type="default"/>
          <w:footerReference r:id="rId5" w:type="even"/>
          <w:pgSz w:w="11906" w:h="16838"/>
          <w:pgMar w:top="1701" w:right="1531" w:bottom="1701" w:left="1531" w:header="0" w:footer="1418" w:gutter="0"/>
          <w:cols w:space="720" w:num="1"/>
          <w:docGrid w:type="linesAndChars" w:linePitch="610" w:charSpace="-849"/>
        </w:sectPr>
      </w:pPr>
    </w:p>
    <w:p>
      <w:pPr>
        <w:spacing w:line="580" w:lineRule="exact"/>
        <w:ind w:firstLine="632" w:firstLineChars="200"/>
        <w:rPr>
          <w:rFonts w:ascii="黑体" w:hAnsi="黑体" w:eastAsia="黑体"/>
        </w:rPr>
      </w:pPr>
      <w:r>
        <w:rPr>
          <w:rFonts w:hint="eastAsia" w:ascii="黑体" w:hAnsi="黑体" w:eastAsia="黑体"/>
        </w:rPr>
        <w:t>一、</w:t>
      </w:r>
      <w:r>
        <w:rPr>
          <w:rFonts w:hint="eastAsia" w:ascii="黑体" w:hAnsi="黑体" w:eastAsia="黑体"/>
          <w:lang w:eastAsia="zh-CN"/>
        </w:rPr>
        <w:t>单位</w:t>
      </w:r>
      <w:r>
        <w:rPr>
          <w:rFonts w:hint="eastAsia" w:ascii="黑体" w:hAnsi="黑体" w:eastAsia="黑体"/>
        </w:rPr>
        <w:t>职责</w:t>
      </w:r>
    </w:p>
    <w:p>
      <w:pPr>
        <w:pStyle w:val="9"/>
        <w:widowControl/>
        <w:spacing w:line="570" w:lineRule="exact"/>
        <w:ind w:left="0" w:firstLine="632" w:firstLineChars="200"/>
        <w:rPr>
          <w:rFonts w:hint="default" w:ascii="仿宋_GB2312" w:hAnsi="仿宋_GB2312" w:eastAsia="仿宋_GB2312" w:cs="仿宋_GB2312"/>
          <w:sz w:val="32"/>
          <w:szCs w:val="32"/>
        </w:rPr>
      </w:pPr>
      <w:r>
        <w:rPr>
          <w:rFonts w:ascii="仿宋_GB2312" w:hAnsi="仿宋_GB2312" w:eastAsia="仿宋_GB2312" w:cs="仿宋_GB2312"/>
          <w:sz w:val="32"/>
          <w:szCs w:val="32"/>
        </w:rPr>
        <w:t>1.制订开发区发展战略、规划、产业布局并组织实施,编制产业发展目录、准入条件、政策指引等并组织实施。</w:t>
      </w:r>
    </w:p>
    <w:p>
      <w:pPr>
        <w:pStyle w:val="9"/>
        <w:widowControl/>
        <w:spacing w:line="570" w:lineRule="exact"/>
        <w:ind w:left="0" w:firstLine="632" w:firstLineChars="200"/>
        <w:rPr>
          <w:rFonts w:hint="default" w:ascii="仿宋_GB2312" w:hAnsi="仿宋_GB2312" w:eastAsia="仿宋_GB2312" w:cs="仿宋_GB2312"/>
          <w:sz w:val="32"/>
          <w:szCs w:val="32"/>
        </w:rPr>
      </w:pPr>
      <w:r>
        <w:rPr>
          <w:rFonts w:ascii="仿宋_GB2312" w:hAnsi="仿宋_GB2312" w:eastAsia="仿宋_GB2312" w:cs="仿宋_GB2312"/>
          <w:sz w:val="32"/>
          <w:szCs w:val="32"/>
        </w:rPr>
        <w:t>2.负责财政收支管理和内部审计监督工作。</w:t>
      </w:r>
    </w:p>
    <w:p>
      <w:pPr>
        <w:pStyle w:val="9"/>
        <w:widowControl/>
        <w:spacing w:line="570" w:lineRule="exact"/>
        <w:ind w:left="0" w:firstLine="632" w:firstLineChars="200"/>
        <w:rPr>
          <w:rFonts w:hint="default" w:ascii="仿宋_GB2312" w:hAnsi="仿宋_GB2312" w:eastAsia="仿宋_GB2312" w:cs="仿宋_GB2312"/>
          <w:sz w:val="32"/>
          <w:szCs w:val="32"/>
        </w:rPr>
      </w:pPr>
      <w:r>
        <w:rPr>
          <w:rFonts w:ascii="仿宋_GB2312" w:hAnsi="仿宋_GB2312" w:eastAsia="仿宋_GB2312" w:cs="仿宋_GB2312"/>
          <w:sz w:val="32"/>
          <w:szCs w:val="32"/>
        </w:rPr>
        <w:t>3.负责规划建设管理和土地开发利用等工作。</w:t>
      </w:r>
    </w:p>
    <w:p>
      <w:pPr>
        <w:pStyle w:val="9"/>
        <w:widowControl/>
        <w:spacing w:line="570" w:lineRule="exact"/>
        <w:ind w:left="0" w:firstLine="632" w:firstLineChars="200"/>
        <w:rPr>
          <w:rFonts w:hint="default" w:ascii="仿宋_GB2312" w:hAnsi="仿宋_GB2312" w:eastAsia="仿宋_GB2312" w:cs="仿宋_GB2312"/>
          <w:sz w:val="32"/>
          <w:szCs w:val="32"/>
        </w:rPr>
      </w:pPr>
      <w:r>
        <w:rPr>
          <w:rFonts w:ascii="仿宋_GB2312" w:hAnsi="仿宋_GB2312" w:eastAsia="仿宋_GB2312" w:cs="仿宋_GB2312"/>
          <w:sz w:val="32"/>
          <w:szCs w:val="32"/>
        </w:rPr>
        <w:t>4.实施上级政府及职能部门赋予的管理权限和事项，负责投资项目 (含固定资产投资项目)的审批、核准、备案等工作。</w:t>
      </w:r>
    </w:p>
    <w:p>
      <w:pPr>
        <w:pStyle w:val="9"/>
        <w:widowControl/>
        <w:spacing w:line="570" w:lineRule="exact"/>
        <w:ind w:left="0" w:firstLine="632" w:firstLineChars="200"/>
        <w:rPr>
          <w:rFonts w:hint="default" w:ascii="仿宋_GB2312" w:hAnsi="仿宋_GB2312" w:eastAsia="仿宋_GB2312" w:cs="仿宋_GB2312"/>
          <w:sz w:val="32"/>
          <w:szCs w:val="32"/>
        </w:rPr>
      </w:pPr>
      <w:r>
        <w:rPr>
          <w:rFonts w:ascii="仿宋_GB2312" w:hAnsi="仿宋_GB2312" w:eastAsia="仿宋_GB2312" w:cs="仿宋_GB2312"/>
          <w:sz w:val="32"/>
          <w:szCs w:val="32"/>
        </w:rPr>
        <w:t>5.负责招商引资、招才引智,宣传推介和对外合作与交流工作。</w:t>
      </w:r>
    </w:p>
    <w:p>
      <w:pPr>
        <w:pStyle w:val="9"/>
        <w:widowControl/>
        <w:spacing w:line="570" w:lineRule="exact"/>
        <w:ind w:left="0" w:firstLine="632" w:firstLineChars="200"/>
        <w:rPr>
          <w:rFonts w:hint="default" w:ascii="仿宋_GB2312" w:hAnsi="仿宋_GB2312" w:eastAsia="仿宋_GB2312" w:cs="仿宋_GB2312"/>
          <w:sz w:val="32"/>
          <w:szCs w:val="32"/>
        </w:rPr>
      </w:pPr>
      <w:r>
        <w:rPr>
          <w:rFonts w:ascii="仿宋_GB2312" w:hAnsi="仿宋_GB2312" w:eastAsia="仿宋_GB2312" w:cs="仿宋_GB2312"/>
          <w:sz w:val="32"/>
          <w:szCs w:val="32"/>
        </w:rPr>
        <w:t>6.负责干部管理、党建、宣传和群团等工作,指导区内企业基层党建。</w:t>
      </w:r>
    </w:p>
    <w:p>
      <w:pPr>
        <w:pStyle w:val="9"/>
        <w:widowControl/>
        <w:spacing w:line="570" w:lineRule="exact"/>
        <w:ind w:left="0" w:firstLine="632" w:firstLineChars="200"/>
        <w:rPr>
          <w:rFonts w:hint="default" w:ascii="仿宋_GB2312" w:hAnsi="仿宋_GB2312" w:eastAsia="仿宋_GB2312" w:cs="仿宋_GB2312"/>
          <w:sz w:val="32"/>
          <w:szCs w:val="32"/>
        </w:rPr>
      </w:pPr>
      <w:r>
        <w:rPr>
          <w:rFonts w:ascii="仿宋_GB2312" w:hAnsi="仿宋_GB2312" w:eastAsia="仿宋_GB2312" w:cs="仿宋_GB2312"/>
          <w:sz w:val="32"/>
          <w:szCs w:val="32"/>
        </w:rPr>
        <w:t>7.负责权限内安全生产和应急管理等工作。</w:t>
      </w:r>
    </w:p>
    <w:p>
      <w:pPr>
        <w:spacing w:line="580" w:lineRule="exact"/>
        <w:ind w:firstLine="632" w:firstLineChars="200"/>
        <w:rPr>
          <w:rFonts w:ascii="仿宋_GB2312" w:hAnsi="仿宋_GB2312" w:eastAsia="仿宋_GB2312" w:cs="仿宋_GB2312"/>
          <w:szCs w:val="32"/>
        </w:rPr>
      </w:pPr>
      <w:r>
        <w:rPr>
          <w:rFonts w:hint="eastAsia" w:ascii="仿宋_GB2312" w:hAnsi="仿宋_GB2312" w:eastAsia="仿宋_GB2312" w:cs="仿宋_GB2312"/>
          <w:szCs w:val="32"/>
        </w:rPr>
        <w:t>8.完成区委、区政府交办的其他事项。</w:t>
      </w:r>
    </w:p>
    <w:p>
      <w:pPr>
        <w:spacing w:line="580" w:lineRule="exact"/>
        <w:ind w:firstLine="632" w:firstLineChars="200"/>
        <w:rPr>
          <w:rFonts w:ascii="黑体" w:hAnsi="黑体" w:eastAsia="黑体"/>
        </w:rPr>
      </w:pPr>
      <w:r>
        <w:rPr>
          <w:rFonts w:hint="eastAsia" w:ascii="黑体" w:hAnsi="黑体" w:eastAsia="黑体"/>
        </w:rPr>
        <w:t>二、机构设置</w:t>
      </w:r>
    </w:p>
    <w:p>
      <w:pPr>
        <w:spacing w:line="560" w:lineRule="exact"/>
        <w:ind w:firstLine="632" w:firstLineChars="200"/>
        <w:rPr>
          <w:rFonts w:ascii="仿宋_GB2312" w:eastAsia="仿宋_GB2312"/>
          <w:szCs w:val="32"/>
        </w:rPr>
      </w:pPr>
      <w:r>
        <w:rPr>
          <w:rFonts w:hint="eastAsia" w:ascii="仿宋_GB2312" w:eastAsia="仿宋_GB2312"/>
          <w:szCs w:val="32"/>
        </w:rPr>
        <w:t>本</w:t>
      </w:r>
      <w:r>
        <w:rPr>
          <w:rFonts w:hint="eastAsia" w:ascii="仿宋_GB2312" w:eastAsia="仿宋_GB2312"/>
          <w:szCs w:val="32"/>
          <w:lang w:eastAsia="zh-CN"/>
        </w:rPr>
        <w:t>单位</w:t>
      </w:r>
      <w:r>
        <w:rPr>
          <w:rFonts w:hint="eastAsia" w:ascii="仿宋_GB2312" w:eastAsia="仿宋_GB2312"/>
          <w:szCs w:val="32"/>
        </w:rPr>
        <w:t>内设</w:t>
      </w:r>
      <w:r>
        <w:rPr>
          <w:rFonts w:hint="eastAsia" w:ascii="仿宋_GB2312" w:hAnsi="宋体" w:eastAsia="仿宋_GB2312" w:cs="Courier New"/>
          <w:szCs w:val="32"/>
        </w:rPr>
        <w:t>5</w:t>
      </w:r>
      <w:r>
        <w:rPr>
          <w:rFonts w:hint="eastAsia" w:ascii="仿宋_GB2312" w:eastAsia="仿宋_GB2312"/>
          <w:szCs w:val="32"/>
        </w:rPr>
        <w:t>个职能科室，分别是：综合部、规划建设部、招商促进部、产业服务部、财政审计部。</w:t>
      </w:r>
    </w:p>
    <w:p>
      <w:pPr>
        <w:spacing w:line="580" w:lineRule="exact"/>
        <w:ind w:firstLine="632" w:firstLineChars="200"/>
        <w:rPr>
          <w:rFonts w:ascii="黑体" w:hAnsi="黑体" w:eastAsia="黑体"/>
        </w:rPr>
      </w:pPr>
    </w:p>
    <w:p>
      <w:pPr>
        <w:adjustRightInd w:val="0"/>
        <w:snapToGrid w:val="0"/>
        <w:spacing w:line="580" w:lineRule="exact"/>
        <w:ind w:firstLine="592" w:firstLineChars="200"/>
        <w:jc w:val="left"/>
        <w:rPr>
          <w:rFonts w:ascii="文星简仿宋" w:eastAsia="文星简仿宋"/>
          <w:b/>
          <w:sz w:val="30"/>
          <w:szCs w:val="30"/>
          <w:highlight w:val="yellow"/>
        </w:rPr>
      </w:pPr>
    </w:p>
    <w:p>
      <w:pPr>
        <w:jc w:val="center"/>
        <w:rPr>
          <w:rFonts w:ascii="方正小标宋简体" w:eastAsia="方正小标宋简体"/>
          <w:sz w:val="42"/>
        </w:rPr>
      </w:pPr>
    </w:p>
    <w:p>
      <w:pPr>
        <w:jc w:val="center"/>
        <w:rPr>
          <w:rFonts w:ascii="方正小标宋简体" w:eastAsia="方正小标宋简体"/>
          <w:sz w:val="42"/>
        </w:rPr>
      </w:pPr>
    </w:p>
    <w:p>
      <w:pPr>
        <w:ind w:firstLine="536" w:firstLineChars="100"/>
        <w:rPr>
          <w:rFonts w:ascii="方正小标宋简体" w:eastAsia="方正小标宋简体"/>
          <w:spacing w:val="60"/>
          <w:sz w:val="42"/>
        </w:rPr>
      </w:pPr>
    </w:p>
    <w:p>
      <w:pPr>
        <w:ind w:firstLine="536" w:firstLineChars="100"/>
        <w:rPr>
          <w:rFonts w:ascii="方正小标宋简体" w:eastAsia="方正小标宋简体"/>
          <w:spacing w:val="60"/>
          <w:sz w:val="42"/>
        </w:rPr>
      </w:pPr>
    </w:p>
    <w:p>
      <w:pPr>
        <w:ind w:firstLine="536" w:firstLineChars="100"/>
        <w:rPr>
          <w:rFonts w:ascii="方正小标宋简体" w:eastAsia="方正小标宋简体"/>
          <w:spacing w:val="60"/>
          <w:sz w:val="42"/>
        </w:rPr>
      </w:pPr>
    </w:p>
    <w:p>
      <w:pPr>
        <w:ind w:firstLine="536" w:firstLineChars="100"/>
        <w:rPr>
          <w:rFonts w:ascii="方正小标宋简体" w:eastAsia="方正小标宋简体"/>
          <w:spacing w:val="60"/>
          <w:sz w:val="42"/>
        </w:rPr>
      </w:pPr>
      <w:r>
        <w:rPr>
          <w:rFonts w:hint="eastAsia" w:ascii="方正小标宋简体" w:eastAsia="方正小标宋简体"/>
          <w:spacing w:val="60"/>
          <w:sz w:val="42"/>
        </w:rPr>
        <w:t>第二部分</w:t>
      </w:r>
    </w:p>
    <w:p>
      <w:pPr>
        <w:jc w:val="center"/>
        <w:rPr>
          <w:rFonts w:ascii="方正小标宋简体" w:eastAsia="方正小标宋简体"/>
          <w:spacing w:val="60"/>
          <w:sz w:val="42"/>
        </w:rPr>
      </w:pPr>
    </w:p>
    <w:p>
      <w:pPr>
        <w:jc w:val="center"/>
        <w:rPr>
          <w:rFonts w:ascii="方正小标宋简体" w:eastAsia="方正小标宋简体"/>
          <w:spacing w:val="60"/>
          <w:sz w:val="42"/>
        </w:rPr>
      </w:pPr>
    </w:p>
    <w:p>
      <w:pPr>
        <w:jc w:val="center"/>
        <w:rPr>
          <w:rFonts w:ascii="方正小标宋简体" w:eastAsia="方正小标宋简体"/>
          <w:spacing w:val="60"/>
          <w:sz w:val="42"/>
        </w:rPr>
      </w:pPr>
      <w:r>
        <w:rPr>
          <w:rFonts w:hint="eastAsia" w:ascii="方正小标宋简体" w:eastAsia="方正小标宋简体"/>
          <w:spacing w:val="60"/>
          <w:sz w:val="48"/>
        </w:rPr>
        <w:t>202</w:t>
      </w:r>
      <w:r>
        <w:rPr>
          <w:rFonts w:hint="default" w:ascii="方正小标宋简体" w:eastAsia="方正小标宋简体"/>
          <w:spacing w:val="60"/>
          <w:sz w:val="48"/>
          <w:lang w:val="en-US"/>
        </w:rPr>
        <w:t>2</w:t>
      </w:r>
      <w:r>
        <w:rPr>
          <w:rFonts w:hint="eastAsia" w:ascii="方正小标宋简体" w:eastAsia="方正小标宋简体"/>
          <w:spacing w:val="60"/>
          <w:sz w:val="48"/>
        </w:rPr>
        <w:t>年度</w:t>
      </w:r>
      <w:r>
        <w:rPr>
          <w:rFonts w:hint="eastAsia" w:ascii="方正小标宋简体" w:eastAsia="方正小标宋简体"/>
          <w:spacing w:val="60"/>
          <w:sz w:val="48"/>
          <w:lang w:eastAsia="zh-CN"/>
        </w:rPr>
        <w:t>单位</w:t>
      </w:r>
      <w:r>
        <w:rPr>
          <w:rFonts w:hint="eastAsia" w:ascii="方正小标宋简体" w:eastAsia="方正小标宋简体"/>
          <w:spacing w:val="60"/>
          <w:sz w:val="48"/>
        </w:rPr>
        <w:t>决算表</w:t>
      </w:r>
    </w:p>
    <w:p>
      <w:pPr>
        <w:spacing w:line="520" w:lineRule="exact"/>
        <w:rPr>
          <w:rFonts w:ascii="仿宋_GB2312" w:eastAsia="仿宋_GB2312"/>
          <w:b/>
          <w:sz w:val="28"/>
          <w:szCs w:val="28"/>
          <w:highlight w:val="yellow"/>
        </w:rPr>
      </w:pPr>
    </w:p>
    <w:p>
      <w:pPr>
        <w:jc w:val="center"/>
        <w:rPr>
          <w:rFonts w:ascii="方正小标宋简体" w:eastAsia="方正小标宋简体"/>
          <w:spacing w:val="60"/>
          <w:sz w:val="42"/>
        </w:rPr>
        <w:sectPr>
          <w:pgSz w:w="11906" w:h="16838"/>
          <w:pgMar w:top="1701" w:right="1531" w:bottom="1701" w:left="1531" w:header="0" w:footer="1418" w:gutter="0"/>
          <w:cols w:space="720" w:num="1"/>
          <w:docGrid w:type="linesAndChars" w:linePitch="610" w:charSpace="-849"/>
        </w:sectPr>
      </w:pPr>
    </w:p>
    <w:p>
      <w:pPr>
        <w:jc w:val="center"/>
        <w:rPr>
          <w:rFonts w:ascii="方正小标宋简体" w:eastAsia="方正小标宋简体"/>
          <w:sz w:val="44"/>
          <w:szCs w:val="44"/>
        </w:rPr>
      </w:pPr>
      <w:r>
        <w:rPr>
          <w:rFonts w:hint="eastAsia" w:ascii="方正小标宋简体" w:eastAsia="方正小标宋简体"/>
          <w:sz w:val="44"/>
          <w:szCs w:val="44"/>
        </w:rPr>
        <w:t>收入支出决算总表</w:t>
      </w:r>
    </w:p>
    <w:p>
      <w:pPr>
        <w:wordWrap w:val="0"/>
        <w:spacing w:line="400" w:lineRule="exact"/>
        <w:jc w:val="right"/>
        <w:rPr>
          <w:rFonts w:ascii="楷体_GB2312" w:eastAsia="楷体_GB2312"/>
          <w:sz w:val="28"/>
          <w:szCs w:val="28"/>
        </w:rPr>
      </w:pPr>
      <w:r>
        <w:rPr>
          <w:rFonts w:hint="eastAsia" w:ascii="楷体_GB2312" w:eastAsia="楷体_GB2312"/>
          <w:sz w:val="28"/>
          <w:szCs w:val="28"/>
        </w:rPr>
        <w:t xml:space="preserve"> 公开01表</w:t>
      </w:r>
    </w:p>
    <w:p>
      <w:pPr>
        <w:spacing w:line="400" w:lineRule="exact"/>
        <w:ind w:firstLine="138" w:firstLineChars="50"/>
        <w:jc w:val="left"/>
        <w:rPr>
          <w:rFonts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：山东省即墨经济开发区管理委员会             金额单位：万元</w:t>
      </w:r>
    </w:p>
    <w:tbl>
      <w:tblPr>
        <w:tblStyle w:val="7"/>
        <w:tblW w:w="0" w:type="auto"/>
        <w:tblInd w:w="0" w:type="dxa"/>
        <w:tblLayout w:type="fixed"/>
        <w:tblCellMar>
          <w:top w:w="0" w:type="dxa"/>
          <w:left w:w="108" w:type="dxa"/>
          <w:bottom w:w="0" w:type="dxa"/>
          <w:right w:w="108" w:type="dxa"/>
        </w:tblCellMar>
      </w:tblPr>
      <w:tblGrid>
        <w:gridCol w:w="3045"/>
        <w:gridCol w:w="667"/>
        <w:gridCol w:w="1022"/>
        <w:gridCol w:w="2287"/>
        <w:gridCol w:w="732"/>
        <w:gridCol w:w="1302"/>
      </w:tblGrid>
      <w:tr>
        <w:tblPrEx>
          <w:tblCellMar>
            <w:top w:w="0" w:type="dxa"/>
            <w:left w:w="108" w:type="dxa"/>
            <w:bottom w:w="0" w:type="dxa"/>
            <w:right w:w="108" w:type="dxa"/>
          </w:tblCellMar>
        </w:tblPrEx>
        <w:trPr>
          <w:trHeight w:val="329" w:hRule="exact"/>
        </w:trPr>
        <w:tc>
          <w:tcPr>
            <w:tcW w:w="4734"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收 入</w:t>
            </w:r>
          </w:p>
        </w:tc>
        <w:tc>
          <w:tcPr>
            <w:tcW w:w="4321" w:type="dxa"/>
            <w:gridSpan w:val="3"/>
            <w:tcBorders>
              <w:top w:val="single" w:color="auto" w:sz="4" w:space="0"/>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支 出</w:t>
            </w:r>
          </w:p>
        </w:tc>
      </w:tr>
      <w:tr>
        <w:tblPrEx>
          <w:tblCellMar>
            <w:top w:w="0" w:type="dxa"/>
            <w:left w:w="108" w:type="dxa"/>
            <w:bottom w:w="0" w:type="dxa"/>
            <w:right w:w="108" w:type="dxa"/>
          </w:tblCellMar>
        </w:tblPrEx>
        <w:trPr>
          <w:trHeight w:val="37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项  目</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行次</w:t>
            </w:r>
          </w:p>
        </w:tc>
        <w:tc>
          <w:tcPr>
            <w:tcW w:w="102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金额</w:t>
            </w:r>
          </w:p>
        </w:tc>
        <w:tc>
          <w:tcPr>
            <w:tcW w:w="2287"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项  目</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行次</w:t>
            </w:r>
          </w:p>
        </w:tc>
        <w:tc>
          <w:tcPr>
            <w:tcW w:w="1302"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金额</w:t>
            </w:r>
          </w:p>
        </w:tc>
      </w:tr>
      <w:tr>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栏  次</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p>
        </w:tc>
        <w:tc>
          <w:tcPr>
            <w:tcW w:w="102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1</w:t>
            </w:r>
          </w:p>
        </w:tc>
        <w:tc>
          <w:tcPr>
            <w:tcW w:w="2287"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栏  次</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p>
        </w:tc>
        <w:tc>
          <w:tcPr>
            <w:tcW w:w="130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一、一般公共预算财政拨款收入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7368.55</w:t>
            </w:r>
          </w:p>
        </w:tc>
        <w:tc>
          <w:tcPr>
            <w:tcW w:w="2287" w:type="dxa"/>
            <w:tcBorders>
              <w:top w:val="nil"/>
              <w:left w:val="nil"/>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一、一般公共服务支出</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31</w:t>
            </w:r>
          </w:p>
        </w:tc>
        <w:tc>
          <w:tcPr>
            <w:tcW w:w="1302" w:type="dxa"/>
            <w:tcBorders>
              <w:top w:val="nil"/>
              <w:left w:val="nil"/>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2138.36</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二、政府性基金预算财政拨款收入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10089.58</w:t>
            </w:r>
          </w:p>
        </w:tc>
        <w:tc>
          <w:tcPr>
            <w:tcW w:w="2287" w:type="dxa"/>
            <w:tcBorders>
              <w:top w:val="nil"/>
              <w:left w:val="nil"/>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二、公共安全支出</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32</w:t>
            </w:r>
          </w:p>
        </w:tc>
        <w:tc>
          <w:tcPr>
            <w:tcW w:w="1302" w:type="dxa"/>
            <w:tcBorders>
              <w:top w:val="nil"/>
              <w:left w:val="nil"/>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123.34</w:t>
            </w:r>
          </w:p>
        </w:tc>
      </w:tr>
      <w:tr>
        <w:tblPrEx>
          <w:tblCellMar>
            <w:top w:w="0" w:type="dxa"/>
            <w:left w:w="108" w:type="dxa"/>
            <w:bottom w:w="0" w:type="dxa"/>
            <w:right w:w="108" w:type="dxa"/>
          </w:tblCellMar>
        </w:tblPrEx>
        <w:trPr>
          <w:trHeight w:val="334"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三、国有资本经营预算财政拨款收入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三、教育支出</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33</w:t>
            </w:r>
          </w:p>
        </w:tc>
        <w:tc>
          <w:tcPr>
            <w:tcW w:w="1302" w:type="dxa"/>
            <w:tcBorders>
              <w:top w:val="nil"/>
              <w:left w:val="nil"/>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688.48</w:t>
            </w:r>
          </w:p>
        </w:tc>
      </w:tr>
      <w:tr>
        <w:tblPrEx>
          <w:tblCellMar>
            <w:top w:w="0" w:type="dxa"/>
            <w:left w:w="108" w:type="dxa"/>
            <w:bottom w:w="0" w:type="dxa"/>
            <w:right w:w="108" w:type="dxa"/>
          </w:tblCellMar>
        </w:tblPrEx>
        <w:trPr>
          <w:trHeight w:val="302"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四、上级补助收入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四、科学技术支出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34</w:t>
            </w:r>
          </w:p>
        </w:tc>
        <w:tc>
          <w:tcPr>
            <w:tcW w:w="1302" w:type="dxa"/>
            <w:tcBorders>
              <w:top w:val="nil"/>
              <w:left w:val="single" w:color="auto" w:sz="4" w:space="0"/>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2796.60</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五、事业收入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五、</w:t>
            </w:r>
            <w:r>
              <w:rPr>
                <w:rFonts w:hint="eastAsia" w:ascii="仿宋_GB2312" w:eastAsia="仿宋_GB2312"/>
                <w:w w:val="90"/>
                <w:sz w:val="18"/>
                <w:szCs w:val="18"/>
              </w:rPr>
              <w:t>文化旅游体育与传媒支出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35</w:t>
            </w:r>
          </w:p>
        </w:tc>
        <w:tc>
          <w:tcPr>
            <w:tcW w:w="1302" w:type="dxa"/>
            <w:tcBorders>
              <w:top w:val="nil"/>
              <w:left w:val="single" w:color="auto" w:sz="4" w:space="0"/>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49.87</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六、经营收入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六、城乡社区支出</w:t>
            </w: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36</w:t>
            </w:r>
          </w:p>
        </w:tc>
        <w:tc>
          <w:tcPr>
            <w:tcW w:w="1302" w:type="dxa"/>
            <w:tcBorders>
              <w:top w:val="nil"/>
              <w:left w:val="single" w:color="auto" w:sz="4" w:space="0"/>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11661.48</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七、附属单位上缴收入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37</w:t>
            </w:r>
          </w:p>
        </w:tc>
        <w:tc>
          <w:tcPr>
            <w:tcW w:w="1302" w:type="dxa"/>
            <w:tcBorders>
              <w:top w:val="nil"/>
              <w:left w:val="single" w:color="auto" w:sz="4" w:space="0"/>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八、其他收入</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38</w:t>
            </w:r>
          </w:p>
        </w:tc>
        <w:tc>
          <w:tcPr>
            <w:tcW w:w="1302" w:type="dxa"/>
            <w:tcBorders>
              <w:top w:val="nil"/>
              <w:left w:val="single" w:color="auto" w:sz="4" w:space="0"/>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39</w:t>
            </w:r>
          </w:p>
        </w:tc>
        <w:tc>
          <w:tcPr>
            <w:tcW w:w="1302" w:type="dxa"/>
            <w:tcBorders>
              <w:top w:val="nil"/>
              <w:left w:val="single" w:color="auto" w:sz="4" w:space="0"/>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40</w:t>
            </w:r>
          </w:p>
        </w:tc>
        <w:tc>
          <w:tcPr>
            <w:tcW w:w="1302" w:type="dxa"/>
            <w:tcBorders>
              <w:top w:val="nil"/>
              <w:left w:val="single" w:color="auto" w:sz="4" w:space="0"/>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41</w:t>
            </w:r>
          </w:p>
        </w:tc>
        <w:tc>
          <w:tcPr>
            <w:tcW w:w="1302" w:type="dxa"/>
            <w:tcBorders>
              <w:top w:val="nil"/>
              <w:left w:val="single" w:color="auto" w:sz="4" w:space="0"/>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42</w:t>
            </w:r>
          </w:p>
        </w:tc>
        <w:tc>
          <w:tcPr>
            <w:tcW w:w="1302" w:type="dxa"/>
            <w:tcBorders>
              <w:top w:val="nil"/>
              <w:left w:val="single" w:color="auto" w:sz="4" w:space="0"/>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single" w:color="auto" w:sz="4" w:space="0"/>
              <w:bottom w:val="single" w:color="auto" w:sz="4" w:space="0"/>
              <w:right w:val="nil"/>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43</w:t>
            </w:r>
          </w:p>
        </w:tc>
        <w:tc>
          <w:tcPr>
            <w:tcW w:w="1302" w:type="dxa"/>
            <w:tcBorders>
              <w:top w:val="nil"/>
              <w:left w:val="single" w:color="auto" w:sz="4" w:space="0"/>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44</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45</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46</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47</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48</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49</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50</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51</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52</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53</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54</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25</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55</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26</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ascii="仿宋_GB2312" w:eastAsia="仿宋_GB2312"/>
                <w:sz w:val="18"/>
                <w:szCs w:val="18"/>
              </w:rPr>
              <w:t>56</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b/>
                <w:bCs/>
                <w:sz w:val="18"/>
                <w:szCs w:val="18"/>
              </w:rPr>
            </w:pPr>
            <w:r>
              <w:rPr>
                <w:rFonts w:hint="eastAsia" w:ascii="仿宋_GB2312" w:eastAsia="仿宋_GB2312"/>
                <w:b/>
                <w:bCs/>
                <w:sz w:val="18"/>
                <w:szCs w:val="18"/>
              </w:rPr>
              <w:t>本年收入合计</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b/>
                <w:bCs/>
                <w:sz w:val="18"/>
                <w:szCs w:val="18"/>
              </w:rPr>
            </w:pPr>
            <w:r>
              <w:rPr>
                <w:rFonts w:hint="eastAsia" w:ascii="仿宋_GB2312" w:eastAsia="仿宋_GB2312"/>
                <w:sz w:val="18"/>
                <w:szCs w:val="18"/>
              </w:rPr>
              <w:t>27</w:t>
            </w:r>
          </w:p>
        </w:tc>
        <w:tc>
          <w:tcPr>
            <w:tcW w:w="1022" w:type="dxa"/>
            <w:tcBorders>
              <w:top w:val="nil"/>
              <w:left w:val="nil"/>
              <w:bottom w:val="single" w:color="auto" w:sz="4" w:space="0"/>
              <w:right w:val="single" w:color="auto" w:sz="4" w:space="0"/>
            </w:tcBorders>
            <w:vAlign w:val="center"/>
          </w:tcPr>
          <w:p>
            <w:pPr>
              <w:spacing w:line="240" w:lineRule="exact"/>
              <w:jc w:val="right"/>
              <w:rPr>
                <w:rFonts w:hint="default" w:ascii="仿宋_GB2312" w:eastAsia="仿宋_GB2312"/>
                <w:b/>
                <w:bCs/>
                <w:sz w:val="18"/>
                <w:szCs w:val="18"/>
                <w:lang w:val="en-US"/>
              </w:rPr>
            </w:pPr>
            <w:r>
              <w:rPr>
                <w:rFonts w:hint="default" w:ascii="仿宋_GB2312" w:eastAsia="仿宋_GB2312"/>
                <w:sz w:val="18"/>
                <w:szCs w:val="18"/>
                <w:lang w:val="en-US"/>
              </w:rPr>
              <w:t>17458.13</w:t>
            </w:r>
          </w:p>
        </w:tc>
        <w:tc>
          <w:tcPr>
            <w:tcW w:w="2287"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b/>
                <w:bCs/>
                <w:sz w:val="18"/>
                <w:szCs w:val="18"/>
              </w:rPr>
            </w:pPr>
            <w:r>
              <w:rPr>
                <w:rFonts w:hint="eastAsia" w:ascii="仿宋_GB2312" w:eastAsia="仿宋_GB2312"/>
                <w:b/>
                <w:bCs/>
                <w:sz w:val="18"/>
                <w:szCs w:val="18"/>
              </w:rPr>
              <w:t>本年支出合计</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57</w:t>
            </w:r>
          </w:p>
        </w:tc>
        <w:tc>
          <w:tcPr>
            <w:tcW w:w="1302" w:type="dxa"/>
            <w:tcBorders>
              <w:top w:val="nil"/>
              <w:left w:val="nil"/>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17458.13</w:t>
            </w: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使用非财政拨款结余</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28</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结余分配</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58</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年初结转和结余</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29</w:t>
            </w:r>
          </w:p>
        </w:tc>
        <w:tc>
          <w:tcPr>
            <w:tcW w:w="102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c>
          <w:tcPr>
            <w:tcW w:w="2287" w:type="dxa"/>
            <w:tcBorders>
              <w:top w:val="nil"/>
              <w:left w:val="nil"/>
              <w:bottom w:val="single" w:color="auto" w:sz="4" w:space="0"/>
              <w:right w:val="single" w:color="auto" w:sz="4" w:space="0"/>
            </w:tcBorders>
            <w:vAlign w:val="center"/>
          </w:tcPr>
          <w:p>
            <w:pPr>
              <w:spacing w:line="240" w:lineRule="exact"/>
              <w:rPr>
                <w:rFonts w:ascii="仿宋_GB2312" w:eastAsia="仿宋_GB2312"/>
                <w:sz w:val="18"/>
                <w:szCs w:val="18"/>
              </w:rPr>
            </w:pPr>
            <w:r>
              <w:rPr>
                <w:rFonts w:hint="eastAsia" w:ascii="仿宋_GB2312" w:eastAsia="仿宋_GB2312"/>
                <w:sz w:val="18"/>
                <w:szCs w:val="18"/>
              </w:rPr>
              <w:t>年末结转和结余</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59</w:t>
            </w:r>
          </w:p>
        </w:tc>
        <w:tc>
          <w:tcPr>
            <w:tcW w:w="1302" w:type="dxa"/>
            <w:tcBorders>
              <w:top w:val="nil"/>
              <w:left w:val="nil"/>
              <w:bottom w:val="single" w:color="auto" w:sz="4" w:space="0"/>
              <w:right w:val="single" w:color="auto" w:sz="4" w:space="0"/>
            </w:tcBorders>
            <w:vAlign w:val="center"/>
          </w:tcPr>
          <w:p>
            <w:pPr>
              <w:spacing w:line="240" w:lineRule="exact"/>
              <w:jc w:val="right"/>
              <w:rPr>
                <w:rFonts w:ascii="仿宋_GB2312" w:eastAsia="仿宋_GB2312"/>
                <w:sz w:val="18"/>
                <w:szCs w:val="18"/>
              </w:rPr>
            </w:pPr>
          </w:p>
        </w:tc>
      </w:tr>
      <w:tr>
        <w:tblPrEx>
          <w:tblCellMar>
            <w:top w:w="0" w:type="dxa"/>
            <w:left w:w="108" w:type="dxa"/>
            <w:bottom w:w="0" w:type="dxa"/>
            <w:right w:w="108" w:type="dxa"/>
          </w:tblCellMar>
        </w:tblPrEx>
        <w:trPr>
          <w:trHeight w:val="329" w:hRule="exact"/>
        </w:trPr>
        <w:tc>
          <w:tcPr>
            <w:tcW w:w="3045"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b/>
                <w:bCs/>
                <w:sz w:val="18"/>
                <w:szCs w:val="18"/>
              </w:rPr>
              <w:t>总计</w:t>
            </w:r>
          </w:p>
        </w:tc>
        <w:tc>
          <w:tcPr>
            <w:tcW w:w="667"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30</w:t>
            </w:r>
          </w:p>
        </w:tc>
        <w:tc>
          <w:tcPr>
            <w:tcW w:w="1022" w:type="dxa"/>
            <w:tcBorders>
              <w:top w:val="nil"/>
              <w:left w:val="nil"/>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17458.13</w:t>
            </w:r>
          </w:p>
        </w:tc>
        <w:tc>
          <w:tcPr>
            <w:tcW w:w="2287"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b/>
                <w:bCs/>
                <w:sz w:val="18"/>
                <w:szCs w:val="18"/>
              </w:rPr>
              <w:t>总计</w:t>
            </w:r>
          </w:p>
        </w:tc>
        <w:tc>
          <w:tcPr>
            <w:tcW w:w="732" w:type="dxa"/>
            <w:tcBorders>
              <w:top w:val="nil"/>
              <w:left w:val="nil"/>
              <w:bottom w:val="single" w:color="auto" w:sz="4" w:space="0"/>
              <w:right w:val="single" w:color="auto" w:sz="4" w:space="0"/>
            </w:tcBorders>
            <w:vAlign w:val="center"/>
          </w:tcPr>
          <w:p>
            <w:pPr>
              <w:spacing w:line="240" w:lineRule="exact"/>
              <w:jc w:val="center"/>
              <w:rPr>
                <w:rFonts w:ascii="仿宋_GB2312" w:eastAsia="仿宋_GB2312"/>
                <w:sz w:val="18"/>
                <w:szCs w:val="18"/>
              </w:rPr>
            </w:pPr>
            <w:r>
              <w:rPr>
                <w:rFonts w:hint="eastAsia" w:ascii="仿宋_GB2312" w:eastAsia="仿宋_GB2312"/>
                <w:sz w:val="18"/>
                <w:szCs w:val="18"/>
              </w:rPr>
              <w:t>60</w:t>
            </w:r>
          </w:p>
        </w:tc>
        <w:tc>
          <w:tcPr>
            <w:tcW w:w="1302" w:type="dxa"/>
            <w:tcBorders>
              <w:top w:val="nil"/>
              <w:left w:val="nil"/>
              <w:bottom w:val="single" w:color="auto" w:sz="4" w:space="0"/>
              <w:right w:val="single" w:color="auto" w:sz="4" w:space="0"/>
            </w:tcBorders>
            <w:vAlign w:val="center"/>
          </w:tcPr>
          <w:p>
            <w:pPr>
              <w:spacing w:line="240" w:lineRule="exact"/>
              <w:jc w:val="right"/>
              <w:rPr>
                <w:rFonts w:hint="default" w:ascii="仿宋_GB2312" w:eastAsia="仿宋_GB2312"/>
                <w:sz w:val="18"/>
                <w:szCs w:val="18"/>
                <w:lang w:val="en-US"/>
              </w:rPr>
            </w:pPr>
            <w:r>
              <w:rPr>
                <w:rFonts w:hint="default" w:ascii="仿宋_GB2312" w:eastAsia="仿宋_GB2312"/>
                <w:sz w:val="18"/>
                <w:szCs w:val="18"/>
                <w:lang w:val="en-US"/>
              </w:rPr>
              <w:t>17458.13</w:t>
            </w:r>
          </w:p>
        </w:tc>
      </w:tr>
    </w:tbl>
    <w:p>
      <w:pPr>
        <w:ind w:firstLine="88" w:firstLineChars="50"/>
        <w:rPr>
          <w:rFonts w:ascii="楷体_GB2312" w:eastAsia="楷体_GB2312"/>
          <w:sz w:val="28"/>
          <w:szCs w:val="28"/>
        </w:rPr>
        <w:sectPr>
          <w:pgSz w:w="11906" w:h="16838"/>
          <w:pgMar w:top="1701" w:right="1531" w:bottom="1701" w:left="1531" w:header="0" w:footer="1418" w:gutter="0"/>
          <w:cols w:space="720" w:num="1"/>
          <w:docGrid w:type="linesAndChars" w:linePitch="610" w:charSpace="-849"/>
        </w:sectPr>
      </w:pPr>
      <w:r>
        <w:rPr>
          <w:rFonts w:hint="eastAsia" w:ascii="仿宋_GB2312" w:hAnsi="宋体" w:eastAsia="仿宋_GB2312"/>
          <w:sz w:val="18"/>
          <w:szCs w:val="18"/>
        </w:rPr>
        <w:t>注：1.本表反映</w:t>
      </w:r>
      <w:r>
        <w:rPr>
          <w:rFonts w:hint="eastAsia" w:ascii="仿宋_GB2312" w:hAnsi="宋体" w:eastAsia="仿宋_GB2312"/>
          <w:sz w:val="18"/>
          <w:szCs w:val="18"/>
          <w:lang w:eastAsia="zh-CN"/>
        </w:rPr>
        <w:t>单位</w:t>
      </w:r>
      <w:r>
        <w:rPr>
          <w:rFonts w:hint="eastAsia" w:ascii="仿宋_GB2312" w:hAnsi="宋体" w:eastAsia="仿宋_GB2312"/>
          <w:sz w:val="18"/>
          <w:szCs w:val="18"/>
        </w:rPr>
        <w:t>本年度的总收支和年末结转结余情况。2.本套报表金额单位转换时可能存在尾数误差。</w:t>
      </w:r>
    </w:p>
    <w:p>
      <w:pPr>
        <w:jc w:val="center"/>
        <w:rPr>
          <w:rFonts w:ascii="方正小标宋简体" w:eastAsia="方正小标宋简体"/>
          <w:sz w:val="44"/>
          <w:szCs w:val="44"/>
        </w:rPr>
      </w:pPr>
      <w:r>
        <w:rPr>
          <w:rFonts w:hint="eastAsia" w:ascii="方正小标宋简体" w:eastAsia="方正小标宋简体"/>
          <w:sz w:val="44"/>
          <w:szCs w:val="44"/>
        </w:rPr>
        <w:t>收入决算表</w:t>
      </w:r>
    </w:p>
    <w:p>
      <w:pPr>
        <w:wordWrap w:val="0"/>
        <w:spacing w:line="400" w:lineRule="exact"/>
        <w:jc w:val="right"/>
        <w:rPr>
          <w:rFonts w:ascii="楷体_GB2312" w:eastAsia="楷体_GB2312"/>
          <w:sz w:val="28"/>
          <w:szCs w:val="28"/>
        </w:rPr>
      </w:pPr>
      <w:r>
        <w:rPr>
          <w:rFonts w:hint="eastAsia" w:ascii="楷体_GB2312" w:eastAsia="楷体_GB2312"/>
          <w:sz w:val="28"/>
          <w:szCs w:val="28"/>
        </w:rPr>
        <w:t xml:space="preserve"> 公开02表 </w:t>
      </w:r>
    </w:p>
    <w:p>
      <w:pPr>
        <w:tabs>
          <w:tab w:val="left" w:pos="13467"/>
        </w:tabs>
        <w:wordWrap w:val="0"/>
        <w:spacing w:line="400" w:lineRule="exact"/>
        <w:ind w:right="107"/>
        <w:jc w:val="right"/>
        <w:rPr>
          <w:rFonts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 xml:space="preserve">：山东省即墨经济开发区管理委员会                                          </w:t>
      </w:r>
      <w:r>
        <w:rPr>
          <w:rFonts w:ascii="楷体_GB2312" w:eastAsia="楷体_GB2312"/>
          <w:sz w:val="28"/>
          <w:szCs w:val="28"/>
        </w:rPr>
        <w:t xml:space="preserve"> </w:t>
      </w:r>
      <w:r>
        <w:rPr>
          <w:rFonts w:hint="eastAsia" w:ascii="楷体_GB2312" w:eastAsia="楷体_GB2312"/>
          <w:sz w:val="28"/>
          <w:szCs w:val="28"/>
        </w:rPr>
        <w:t>金额单位：万元</w:t>
      </w:r>
    </w:p>
    <w:tbl>
      <w:tblPr>
        <w:tblStyle w:val="7"/>
        <w:tblW w:w="13956" w:type="dxa"/>
        <w:jc w:val="center"/>
        <w:tblLayout w:type="fixed"/>
        <w:tblCellMar>
          <w:top w:w="0" w:type="dxa"/>
          <w:left w:w="108" w:type="dxa"/>
          <w:bottom w:w="0" w:type="dxa"/>
          <w:right w:w="108" w:type="dxa"/>
        </w:tblCellMar>
      </w:tblPr>
      <w:tblGrid>
        <w:gridCol w:w="1306"/>
        <w:gridCol w:w="111"/>
        <w:gridCol w:w="1885"/>
        <w:gridCol w:w="1475"/>
        <w:gridCol w:w="1529"/>
        <w:gridCol w:w="1529"/>
        <w:gridCol w:w="1530"/>
        <w:gridCol w:w="1530"/>
        <w:gridCol w:w="1530"/>
        <w:gridCol w:w="1531"/>
      </w:tblGrid>
      <w:tr>
        <w:tblPrEx>
          <w:tblCellMar>
            <w:top w:w="0" w:type="dxa"/>
            <w:left w:w="108" w:type="dxa"/>
            <w:bottom w:w="0" w:type="dxa"/>
            <w:right w:w="108" w:type="dxa"/>
          </w:tblCellMar>
        </w:tblPrEx>
        <w:trPr>
          <w:trHeight w:val="416" w:hRule="atLeast"/>
          <w:tblHeader/>
          <w:jc w:val="center"/>
        </w:trPr>
        <w:tc>
          <w:tcPr>
            <w:tcW w:w="330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475"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本年收入合计</w:t>
            </w:r>
          </w:p>
        </w:tc>
        <w:tc>
          <w:tcPr>
            <w:tcW w:w="1529"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财政拨款收入</w:t>
            </w:r>
          </w:p>
        </w:tc>
        <w:tc>
          <w:tcPr>
            <w:tcW w:w="1529"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上级补助收入</w:t>
            </w:r>
          </w:p>
        </w:tc>
        <w:tc>
          <w:tcPr>
            <w:tcW w:w="1530" w:type="dxa"/>
            <w:vMerge w:val="restart"/>
            <w:tcBorders>
              <w:top w:val="single" w:color="auto" w:sz="4" w:space="0"/>
              <w:left w:val="single" w:color="auto" w:sz="4" w:space="0"/>
              <w:right w:val="single" w:color="auto" w:sz="4" w:space="0"/>
            </w:tcBorders>
            <w:vAlign w:val="center"/>
          </w:tcPr>
          <w:p>
            <w:pPr>
              <w:widowControl/>
              <w:spacing w:line="300" w:lineRule="exact"/>
              <w:ind w:firstLine="216" w:firstLineChars="100"/>
              <w:rPr>
                <w:rFonts w:ascii="仿宋_GB2312" w:hAnsi="宋体" w:eastAsia="仿宋_GB2312" w:cs="宋体"/>
                <w:kern w:val="0"/>
                <w:sz w:val="22"/>
                <w:szCs w:val="22"/>
              </w:rPr>
            </w:pPr>
            <w:r>
              <w:rPr>
                <w:rFonts w:hint="eastAsia" w:ascii="仿宋_GB2312" w:hAnsi="宋体" w:eastAsia="仿宋_GB2312" w:cs="宋体"/>
                <w:kern w:val="0"/>
                <w:sz w:val="22"/>
                <w:szCs w:val="22"/>
              </w:rPr>
              <w:t>事业收入</w:t>
            </w:r>
          </w:p>
        </w:tc>
        <w:tc>
          <w:tcPr>
            <w:tcW w:w="1530"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经营收入</w:t>
            </w:r>
          </w:p>
        </w:tc>
        <w:tc>
          <w:tcPr>
            <w:tcW w:w="1530" w:type="dxa"/>
            <w:vMerge w:val="restart"/>
            <w:tcBorders>
              <w:top w:val="single" w:color="auto" w:sz="4" w:space="0"/>
              <w:left w:val="single" w:color="auto" w:sz="4" w:space="0"/>
              <w:right w:val="single" w:color="auto" w:sz="4" w:space="0"/>
            </w:tcBorders>
            <w:vAlign w:val="center"/>
          </w:tcPr>
          <w:p>
            <w:pPr>
              <w:widowControl/>
              <w:spacing w:line="300" w:lineRule="exact"/>
              <w:ind w:left="648" w:hanging="648" w:hangingChars="300"/>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xml:space="preserve">附属单位    </w:t>
            </w:r>
          </w:p>
          <w:p>
            <w:pPr>
              <w:widowControl/>
              <w:spacing w:line="300" w:lineRule="exact"/>
              <w:ind w:left="648" w:hanging="648" w:hangingChars="300"/>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上缴收入</w:t>
            </w:r>
          </w:p>
        </w:tc>
        <w:tc>
          <w:tcPr>
            <w:tcW w:w="1531"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其他收入</w:t>
            </w:r>
          </w:p>
        </w:tc>
      </w:tr>
      <w:tr>
        <w:tblPrEx>
          <w:tblCellMar>
            <w:top w:w="0" w:type="dxa"/>
            <w:left w:w="108" w:type="dxa"/>
            <w:bottom w:w="0" w:type="dxa"/>
            <w:right w:w="108" w:type="dxa"/>
          </w:tblCellMar>
        </w:tblPrEx>
        <w:trPr>
          <w:trHeight w:val="540"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功能分类  科目编码</w:t>
            </w:r>
          </w:p>
        </w:tc>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475" w:type="dxa"/>
            <w:vMerge w:val="continue"/>
            <w:tcBorders>
              <w:left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p>
        </w:tc>
        <w:tc>
          <w:tcPr>
            <w:tcW w:w="1529" w:type="dxa"/>
            <w:vMerge w:val="continue"/>
            <w:tcBorders>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529" w:type="dxa"/>
            <w:vMerge w:val="continue"/>
            <w:tcBorders>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530" w:type="dxa"/>
            <w:vMerge w:val="continue"/>
            <w:tcBorders>
              <w:left w:val="single" w:color="auto" w:sz="4" w:space="0"/>
              <w:right w:val="single" w:color="auto" w:sz="4" w:space="0"/>
            </w:tcBorders>
            <w:vAlign w:val="center"/>
          </w:tcPr>
          <w:p>
            <w:pPr>
              <w:widowControl/>
              <w:spacing w:line="300" w:lineRule="exact"/>
              <w:ind w:firstLine="216" w:firstLineChars="100"/>
              <w:rPr>
                <w:rFonts w:ascii="仿宋_GB2312" w:hAnsi="宋体" w:eastAsia="仿宋_GB2312" w:cs="宋体"/>
                <w:kern w:val="0"/>
                <w:sz w:val="22"/>
                <w:szCs w:val="22"/>
              </w:rPr>
            </w:pPr>
          </w:p>
        </w:tc>
        <w:tc>
          <w:tcPr>
            <w:tcW w:w="1530" w:type="dxa"/>
            <w:vMerge w:val="continue"/>
            <w:tcBorders>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530" w:type="dxa"/>
            <w:vMerge w:val="continue"/>
            <w:tcBorders>
              <w:left w:val="single" w:color="auto" w:sz="4" w:space="0"/>
              <w:right w:val="single" w:color="auto" w:sz="4" w:space="0"/>
            </w:tcBorders>
            <w:vAlign w:val="center"/>
          </w:tcPr>
          <w:p>
            <w:pPr>
              <w:widowControl/>
              <w:spacing w:line="300" w:lineRule="exact"/>
              <w:ind w:left="648" w:hanging="648" w:hangingChars="300"/>
              <w:jc w:val="center"/>
              <w:rPr>
                <w:rFonts w:ascii="仿宋_GB2312" w:hAnsi="宋体" w:eastAsia="仿宋_GB2312" w:cs="宋体"/>
                <w:kern w:val="0"/>
                <w:sz w:val="22"/>
                <w:szCs w:val="22"/>
              </w:rPr>
            </w:pPr>
          </w:p>
        </w:tc>
        <w:tc>
          <w:tcPr>
            <w:tcW w:w="1531" w:type="dxa"/>
            <w:vMerge w:val="continue"/>
            <w:tcBorders>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61" w:hRule="atLeast"/>
          <w:tblHeader/>
          <w:jc w:val="center"/>
        </w:trPr>
        <w:tc>
          <w:tcPr>
            <w:tcW w:w="330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5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5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53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53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7</w:t>
            </w:r>
          </w:p>
        </w:tc>
      </w:tr>
      <w:tr>
        <w:tblPrEx>
          <w:tblCellMar>
            <w:top w:w="0" w:type="dxa"/>
            <w:left w:w="108" w:type="dxa"/>
            <w:bottom w:w="0" w:type="dxa"/>
            <w:right w:w="108" w:type="dxa"/>
          </w:tblCellMar>
        </w:tblPrEx>
        <w:trPr>
          <w:trHeight w:val="361" w:hRule="atLeast"/>
          <w:jc w:val="center"/>
        </w:trPr>
        <w:tc>
          <w:tcPr>
            <w:tcW w:w="330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17458.13</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17458.13</w:t>
            </w:r>
          </w:p>
        </w:tc>
        <w:tc>
          <w:tcPr>
            <w:tcW w:w="1529"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201</w:t>
            </w:r>
          </w:p>
        </w:tc>
        <w:tc>
          <w:tcPr>
            <w:tcW w:w="199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一般公共服务支出</w:t>
            </w:r>
          </w:p>
        </w:tc>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2138.36</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40" w:hRule="atLeast"/>
          <w:jc w:val="center"/>
        </w:trPr>
        <w:tc>
          <w:tcPr>
            <w:tcW w:w="13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20103</w:t>
            </w:r>
          </w:p>
        </w:tc>
        <w:tc>
          <w:tcPr>
            <w:tcW w:w="199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政府办公厅（室）及相关机构事务</w:t>
            </w:r>
          </w:p>
        </w:tc>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2138.36</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2010301</w:t>
            </w:r>
          </w:p>
        </w:tc>
        <w:tc>
          <w:tcPr>
            <w:tcW w:w="199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行政运行</w:t>
            </w:r>
          </w:p>
        </w:tc>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2138.36</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204</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公共安全支出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123.34</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20402</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公安</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123.34</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2040299</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其他公安支出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123.34</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教育支出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688.48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688.48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20502</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普通教育</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688.48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688.48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2050201</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学前教育</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178.48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178.48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2050202</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小学教育</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510.00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510.00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206</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科学技术支出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2796.60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20699</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其他科学技术支出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2796.60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2069999</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其他科学技术支出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2796.60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40"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207</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文化旅游体育与传媒支出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49.87</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40"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20799</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其他文化旅游体育与传媒支出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49.87</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40"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2079999</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其他文化旅游体育与传媒支出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49.87</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城乡社区支出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11661.48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11661.48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40"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21208</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国有土地使用权出让收入安排的支出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6599.68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2120803</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城市建设支出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6599.68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40"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21213</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城市基础设施配套费安排的支出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3489.90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40"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2121399</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其他城市基础设施配套费安排的支出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3489.90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61"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21299</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其他城乡社区支出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1571.89</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130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2129999</w:t>
            </w:r>
          </w:p>
        </w:tc>
        <w:tc>
          <w:tcPr>
            <w:tcW w:w="199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其他城乡社区支出</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eastAsia="zh-CN" w:bidi="ar-SA"/>
              </w:rPr>
            </w:pPr>
            <w:r>
              <w:rPr>
                <w:rFonts w:hint="default" w:ascii="仿宋_GB2312" w:hAnsi="宋体" w:eastAsia="仿宋_GB2312" w:cs="宋体"/>
                <w:kern w:val="0"/>
                <w:sz w:val="22"/>
                <w:szCs w:val="22"/>
                <w:lang w:val="en-US"/>
              </w:rPr>
              <w:t>1571.89</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p>
        </w:tc>
      </w:tr>
    </w:tbl>
    <w:p>
      <w:pPr>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本年度取得的各项收入情况。</w:t>
      </w:r>
    </w:p>
    <w:p>
      <w:pPr>
        <w:ind w:firstLine="108" w:firstLineChars="50"/>
        <w:rPr>
          <w:rFonts w:hint="eastAsia" w:ascii="仿宋_GB2312" w:hAnsi="宋体" w:eastAsia="仿宋_GB2312"/>
          <w:sz w:val="22"/>
          <w:szCs w:val="22"/>
        </w:rPr>
      </w:pPr>
    </w:p>
    <w:p>
      <w:pPr>
        <w:jc w:val="center"/>
        <w:rPr>
          <w:rFonts w:ascii="方正小标宋简体" w:eastAsia="方正小标宋简体"/>
          <w:sz w:val="44"/>
          <w:szCs w:val="44"/>
        </w:rPr>
      </w:pPr>
      <w:r>
        <w:rPr>
          <w:rFonts w:hint="eastAsia" w:ascii="方正小标宋简体" w:eastAsia="方正小标宋简体"/>
          <w:sz w:val="44"/>
          <w:szCs w:val="44"/>
        </w:rPr>
        <w:t>支出决算表</w:t>
      </w:r>
    </w:p>
    <w:p>
      <w:pPr>
        <w:spacing w:line="400" w:lineRule="exact"/>
        <w:jc w:val="right"/>
        <w:rPr>
          <w:rFonts w:ascii="楷体_GB2312" w:eastAsia="楷体_GB2312"/>
          <w:sz w:val="28"/>
          <w:szCs w:val="28"/>
        </w:rPr>
      </w:pPr>
      <w:r>
        <w:rPr>
          <w:rFonts w:hint="eastAsia" w:ascii="楷体_GB2312" w:eastAsia="楷体_GB2312"/>
          <w:sz w:val="28"/>
          <w:szCs w:val="28"/>
        </w:rPr>
        <w:t xml:space="preserve">                                                                                   公开03表</w:t>
      </w:r>
    </w:p>
    <w:p>
      <w:pPr>
        <w:wordWrap w:val="0"/>
        <w:spacing w:line="400" w:lineRule="exact"/>
        <w:ind w:firstLine="138" w:firstLineChars="50"/>
        <w:jc w:val="right"/>
        <w:rPr>
          <w:rFonts w:ascii="楷体_GB2312" w:eastAsia="楷体_GB2312"/>
          <w:sz w:val="28"/>
          <w:szCs w:val="28"/>
        </w:rPr>
      </w:pPr>
      <w:r>
        <w:rPr>
          <w:rFonts w:hint="eastAsia" w:ascii="楷体_GB2312" w:eastAsia="楷体_GB2312"/>
          <w:sz w:val="28"/>
          <w:szCs w:val="28"/>
        </w:rPr>
        <w:t xml:space="preserve"> </w:t>
      </w:r>
      <w:r>
        <w:rPr>
          <w:rFonts w:hint="eastAsia" w:ascii="楷体_GB2312" w:eastAsia="楷体_GB2312"/>
          <w:sz w:val="28"/>
          <w:szCs w:val="28"/>
          <w:lang w:eastAsia="zh-CN"/>
        </w:rPr>
        <w:t>单位</w:t>
      </w:r>
      <w:r>
        <w:rPr>
          <w:rFonts w:hint="eastAsia" w:ascii="楷体_GB2312" w:eastAsia="楷体_GB2312"/>
          <w:sz w:val="28"/>
          <w:szCs w:val="28"/>
        </w:rPr>
        <w:t xml:space="preserve">：山东省即墨经济开发区管理委员会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7"/>
        <w:tblW w:w="13799" w:type="dxa"/>
        <w:jc w:val="center"/>
        <w:tblLayout w:type="fixed"/>
        <w:tblCellMar>
          <w:top w:w="0" w:type="dxa"/>
          <w:left w:w="108" w:type="dxa"/>
          <w:bottom w:w="0" w:type="dxa"/>
          <w:right w:w="108" w:type="dxa"/>
        </w:tblCellMar>
      </w:tblPr>
      <w:tblGrid>
        <w:gridCol w:w="1388"/>
        <w:gridCol w:w="2033"/>
        <w:gridCol w:w="1634"/>
        <w:gridCol w:w="1749"/>
        <w:gridCol w:w="1749"/>
        <w:gridCol w:w="1748"/>
        <w:gridCol w:w="1749"/>
        <w:gridCol w:w="1749"/>
      </w:tblGrid>
      <w:tr>
        <w:tblPrEx>
          <w:tblCellMar>
            <w:top w:w="0" w:type="dxa"/>
            <w:left w:w="108" w:type="dxa"/>
            <w:bottom w:w="0" w:type="dxa"/>
            <w:right w:w="108" w:type="dxa"/>
          </w:tblCellMar>
        </w:tblPrEx>
        <w:trPr>
          <w:trHeight w:val="412" w:hRule="atLeast"/>
          <w:tblHeader/>
          <w:jc w:val="center"/>
        </w:trPr>
        <w:tc>
          <w:tcPr>
            <w:tcW w:w="342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634"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本年支出合计</w:t>
            </w:r>
          </w:p>
        </w:tc>
        <w:tc>
          <w:tcPr>
            <w:tcW w:w="1749"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749"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748"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上缴上级支出</w:t>
            </w:r>
          </w:p>
        </w:tc>
        <w:tc>
          <w:tcPr>
            <w:tcW w:w="1749"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 xml:space="preserve">经营支出    </w:t>
            </w:r>
          </w:p>
        </w:tc>
        <w:tc>
          <w:tcPr>
            <w:tcW w:w="1749"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对附属单位</w:t>
            </w:r>
          </w:p>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补助支出</w:t>
            </w:r>
          </w:p>
        </w:tc>
      </w:tr>
      <w:tr>
        <w:tblPrEx>
          <w:tblCellMar>
            <w:top w:w="0" w:type="dxa"/>
            <w:left w:w="108" w:type="dxa"/>
            <w:bottom w:w="0" w:type="dxa"/>
            <w:right w:w="108" w:type="dxa"/>
          </w:tblCellMar>
        </w:tblPrEx>
        <w:trPr>
          <w:trHeight w:val="565" w:hRule="atLeast"/>
          <w:tblHeader/>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功能分类 科目编码</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634" w:type="dxa"/>
            <w:vMerge w:val="continue"/>
            <w:tcBorders>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749" w:type="dxa"/>
            <w:vMerge w:val="continue"/>
            <w:tcBorders>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749" w:type="dxa"/>
            <w:vMerge w:val="continue"/>
            <w:tcBorders>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748" w:type="dxa"/>
            <w:vMerge w:val="continue"/>
            <w:tcBorders>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749" w:type="dxa"/>
            <w:vMerge w:val="continue"/>
            <w:tcBorders>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749" w:type="dxa"/>
            <w:vMerge w:val="continue"/>
            <w:tcBorders>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342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CellMar>
            <w:top w:w="0" w:type="dxa"/>
            <w:left w:w="108" w:type="dxa"/>
            <w:bottom w:w="0" w:type="dxa"/>
            <w:right w:w="108" w:type="dxa"/>
          </w:tblCellMar>
        </w:tblPrEx>
        <w:trPr>
          <w:trHeight w:val="370" w:hRule="atLeast"/>
          <w:jc w:val="center"/>
        </w:trPr>
        <w:tc>
          <w:tcPr>
            <w:tcW w:w="342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17458.13</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r>
              <w:rPr>
                <w:rFonts w:hint="eastAsia" w:ascii="仿宋_GB2312" w:hAnsi="宋体" w:eastAsia="仿宋_GB2312" w:cs="宋体"/>
                <w:kern w:val="0"/>
                <w:sz w:val="22"/>
                <w:szCs w:val="22"/>
              </w:rPr>
              <w:t xml:space="preserve">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15319.77</w:t>
            </w:r>
          </w:p>
        </w:tc>
        <w:tc>
          <w:tcPr>
            <w:tcW w:w="1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201</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一般公共服务支出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565"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20103</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政府办公厅（室）及相关机构事务</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2010301</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行政运行</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204</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公共安全支出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1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20402</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公安</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1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2040299</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其他公安支出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1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教育支出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688.48</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688.48</w:t>
            </w:r>
          </w:p>
        </w:tc>
        <w:tc>
          <w:tcPr>
            <w:tcW w:w="1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20502</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普通教育</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688.48</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688.48</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2050201</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学前教育</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178.48</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178.48</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2050202</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小学教育</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510.00</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510.00</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206</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科学技术支出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20699</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其他科学技术支出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2069999</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其他科学技术支出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65"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207</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文化旅游体育与传媒支出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65"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20799</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其他文化旅游体育与传媒支出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675"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2079999</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其他文化旅游体育与传媒支出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城乡社区支出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11661.48</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11661.48</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65"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21208</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国有土地使用权出让收入安排的支出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2120803</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城市建设支出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65"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21213</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城市基础设施配套费安排的支出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565"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2121399</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其他城市基础设施配套费安排的支出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370"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21299</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其他城乡社区支出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412" w:hRule="atLeast"/>
          <w:jc w:val="center"/>
        </w:trPr>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2129999</w:t>
            </w:r>
          </w:p>
        </w:tc>
        <w:tc>
          <w:tcPr>
            <w:tcW w:w="20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其他城乡社区支出</w:t>
            </w:r>
          </w:p>
        </w:tc>
        <w:tc>
          <w:tcPr>
            <w:tcW w:w="16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c>
          <w:tcPr>
            <w:tcW w:w="1748"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c>
          <w:tcPr>
            <w:tcW w:w="1749" w:type="dxa"/>
            <w:tcBorders>
              <w:top w:val="single" w:color="auto" w:sz="4" w:space="0"/>
              <w:left w:val="single" w:color="auto" w:sz="4" w:space="0"/>
              <w:bottom w:val="single" w:color="auto" w:sz="4" w:space="0"/>
              <w:right w:val="single" w:color="auto" w:sz="4" w:space="0"/>
            </w:tcBorders>
          </w:tcPr>
          <w:p>
            <w:pPr>
              <w:widowControl/>
              <w:spacing w:line="300" w:lineRule="exact"/>
              <w:jc w:val="right"/>
              <w:rPr>
                <w:rFonts w:ascii="仿宋_GB2312" w:hAnsi="宋体" w:eastAsia="仿宋_GB2312" w:cs="宋体"/>
                <w:kern w:val="0"/>
                <w:sz w:val="22"/>
                <w:szCs w:val="22"/>
              </w:rPr>
            </w:pPr>
          </w:p>
        </w:tc>
      </w:tr>
    </w:tbl>
    <w:p>
      <w:pPr>
        <w:ind w:firstLine="108" w:firstLineChars="50"/>
        <w:rPr>
          <w:rFonts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本年度各项支出情况。</w:t>
      </w:r>
    </w:p>
    <w:p>
      <w:pPr>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ascii="方正小标宋简体" w:eastAsia="方正小标宋简体"/>
          <w:sz w:val="44"/>
          <w:szCs w:val="44"/>
        </w:rPr>
      </w:pPr>
      <w:r>
        <w:rPr>
          <w:rFonts w:hint="eastAsia" w:ascii="方正小标宋简体" w:eastAsia="方正小标宋简体"/>
          <w:sz w:val="44"/>
          <w:szCs w:val="44"/>
        </w:rPr>
        <w:t>财政拨款收入支出决算总表</w:t>
      </w:r>
    </w:p>
    <w:p>
      <w:pPr>
        <w:spacing w:line="400" w:lineRule="exact"/>
        <w:jc w:val="right"/>
        <w:rPr>
          <w:rFonts w:ascii="楷体_GB2312" w:eastAsia="楷体_GB2312"/>
          <w:sz w:val="28"/>
          <w:szCs w:val="28"/>
        </w:rPr>
      </w:pPr>
      <w:r>
        <w:rPr>
          <w:rFonts w:hint="eastAsia" w:ascii="楷体_GB2312" w:eastAsia="楷体_GB2312"/>
          <w:sz w:val="28"/>
          <w:szCs w:val="28"/>
        </w:rPr>
        <w:t xml:space="preserve">     公开04表</w:t>
      </w:r>
    </w:p>
    <w:p>
      <w:pPr>
        <w:spacing w:line="400" w:lineRule="exact"/>
        <w:jc w:val="right"/>
        <w:rPr>
          <w:rFonts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：山东省即墨经济开发区管理委员会                                               金额单位：万元</w:t>
      </w:r>
    </w:p>
    <w:tbl>
      <w:tblPr>
        <w:tblStyle w:val="7"/>
        <w:tblW w:w="1372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022"/>
        <w:gridCol w:w="540"/>
        <w:gridCol w:w="1512"/>
        <w:gridCol w:w="2628"/>
        <w:gridCol w:w="540"/>
        <w:gridCol w:w="1090"/>
        <w:gridCol w:w="1417"/>
        <w:gridCol w:w="1418"/>
        <w:gridCol w:w="15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074" w:type="dxa"/>
            <w:gridSpan w:val="3"/>
            <w:tcBorders>
              <w:top w:val="single" w:color="auto" w:sz="4" w:space="0"/>
              <w:bottom w:val="single" w:color="auto" w:sz="4" w:space="0"/>
              <w:right w:val="nil"/>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收 入</w:t>
            </w:r>
          </w:p>
        </w:tc>
        <w:tc>
          <w:tcPr>
            <w:tcW w:w="8652" w:type="dxa"/>
            <w:gridSpan w:val="6"/>
            <w:tcBorders>
              <w:top w:val="single" w:color="auto" w:sz="4" w:space="0"/>
              <w:left w:val="nil"/>
              <w:bottom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支 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项   目</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行次</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金额</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项    目</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行次</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合计</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一般公共预算</w:t>
            </w:r>
          </w:p>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财政拨款</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政府性基金</w:t>
            </w:r>
          </w:p>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预算财政拨款</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国有资本经营预算财政拨款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ind w:firstLine="1176" w:firstLineChars="600"/>
              <w:rPr>
                <w:rFonts w:ascii="仿宋_GB2312" w:hAnsi="宋体" w:eastAsia="仿宋_GB2312" w:cs="宋体"/>
                <w:kern w:val="0"/>
                <w:sz w:val="20"/>
                <w:szCs w:val="20"/>
              </w:rPr>
            </w:pPr>
            <w:r>
              <w:rPr>
                <w:rFonts w:hint="eastAsia" w:ascii="仿宋_GB2312" w:hAnsi="宋体" w:eastAsia="仿宋_GB2312" w:cs="宋体"/>
                <w:kern w:val="0"/>
                <w:sz w:val="20"/>
                <w:szCs w:val="20"/>
              </w:rPr>
              <w:t>栏  次</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栏  次</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一、一般公共预算财政拨款</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hint="eastAsia" w:ascii="仿宋_GB2312" w:hAnsi="宋体" w:eastAsia="仿宋_GB2312" w:cs="宋体"/>
                <w:kern w:val="0"/>
                <w:sz w:val="20"/>
                <w:szCs w:val="20"/>
              </w:rPr>
            </w:pPr>
            <w:r>
              <w:rPr>
                <w:rFonts w:hint="default" w:ascii="仿宋_GB2312" w:hAnsi="宋体" w:eastAsia="仿宋_GB2312" w:cs="宋体"/>
                <w:kern w:val="0"/>
                <w:sz w:val="20"/>
                <w:szCs w:val="20"/>
                <w:lang w:val="en-US"/>
              </w:rPr>
              <w:t>7368.55</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kern w:val="0"/>
                <w:sz w:val="20"/>
                <w:szCs w:val="20"/>
              </w:rPr>
            </w:pPr>
            <w:r>
              <w:rPr>
                <w:rFonts w:hint="eastAsia" w:ascii="仿宋_GB2312" w:hAnsi="宋体" w:eastAsia="仿宋_GB2312" w:cs="宋体"/>
                <w:kern w:val="0"/>
                <w:sz w:val="20"/>
                <w:szCs w:val="20"/>
              </w:rPr>
              <w:t>一、一般公共服务支出</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15</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2138.36</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2138.36</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righ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二、政府性基金预算财政拨款</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hint="eastAsia" w:ascii="仿宋_GB2312" w:hAnsi="宋体" w:eastAsia="仿宋_GB2312" w:cs="宋体"/>
                <w:kern w:val="0"/>
                <w:sz w:val="20"/>
                <w:szCs w:val="20"/>
              </w:rPr>
            </w:pPr>
            <w:r>
              <w:rPr>
                <w:rFonts w:hint="default" w:ascii="仿宋_GB2312" w:hAnsi="宋体" w:eastAsia="仿宋_GB2312" w:cs="宋体"/>
                <w:kern w:val="0"/>
                <w:sz w:val="20"/>
                <w:szCs w:val="20"/>
                <w:lang w:val="en-US"/>
              </w:rPr>
              <w:t>10089.58</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kern w:val="0"/>
                <w:sz w:val="20"/>
                <w:szCs w:val="20"/>
              </w:rPr>
            </w:pPr>
            <w:r>
              <w:rPr>
                <w:rFonts w:hint="eastAsia" w:ascii="仿宋_GB2312" w:hAnsi="宋体" w:eastAsia="仿宋_GB2312" w:cs="宋体"/>
                <w:kern w:val="0"/>
                <w:sz w:val="20"/>
                <w:szCs w:val="20"/>
              </w:rPr>
              <w:t>二、公共安全支出</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16</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123.34</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123.34</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righ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三、国有资本经营预算财政拨款</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kern w:val="0"/>
                <w:sz w:val="20"/>
                <w:szCs w:val="20"/>
              </w:rPr>
            </w:pPr>
            <w:r>
              <w:rPr>
                <w:rFonts w:hint="eastAsia" w:ascii="仿宋_GB2312" w:hAnsi="宋体" w:eastAsia="仿宋_GB2312" w:cs="宋体"/>
                <w:kern w:val="0"/>
                <w:sz w:val="20"/>
                <w:szCs w:val="20"/>
              </w:rPr>
              <w:t>三、教育支出</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17</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688.48</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688.48</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righ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kern w:val="0"/>
                <w:sz w:val="20"/>
                <w:szCs w:val="20"/>
              </w:rPr>
            </w:pPr>
            <w:r>
              <w:rPr>
                <w:rFonts w:hint="eastAsia" w:ascii="仿宋_GB2312" w:hAnsi="宋体" w:eastAsia="仿宋_GB2312" w:cs="宋体"/>
                <w:kern w:val="0"/>
                <w:sz w:val="20"/>
                <w:szCs w:val="20"/>
              </w:rPr>
              <w:t>四、科学技术支出</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18</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2796.60</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2796.60</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righ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kern w:val="0"/>
                <w:sz w:val="20"/>
                <w:szCs w:val="20"/>
              </w:rPr>
            </w:pPr>
            <w:r>
              <w:rPr>
                <w:rFonts w:hint="eastAsia" w:ascii="仿宋_GB2312" w:hAnsi="宋体" w:eastAsia="仿宋_GB2312" w:cs="宋体"/>
                <w:kern w:val="0"/>
                <w:sz w:val="20"/>
                <w:szCs w:val="20"/>
              </w:rPr>
              <w:t>五、</w:t>
            </w:r>
            <w:r>
              <w:rPr>
                <w:rFonts w:hint="eastAsia" w:ascii="仿宋_GB2312" w:hAnsi="宋体" w:eastAsia="仿宋_GB2312" w:cs="宋体"/>
                <w:w w:val="90"/>
                <w:kern w:val="0"/>
                <w:sz w:val="20"/>
                <w:szCs w:val="20"/>
              </w:rPr>
              <w:t>文化旅游体育与传媒支出</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19</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49.87</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49.87</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righ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kern w:val="0"/>
                <w:sz w:val="20"/>
                <w:szCs w:val="20"/>
              </w:rPr>
            </w:pPr>
            <w:r>
              <w:rPr>
                <w:rFonts w:hint="eastAsia" w:ascii="仿宋_GB2312" w:hAnsi="宋体" w:eastAsia="仿宋_GB2312" w:cs="宋体"/>
                <w:kern w:val="0"/>
                <w:sz w:val="20"/>
                <w:szCs w:val="20"/>
              </w:rPr>
              <w:t>六、城乡社区支出</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ascii="仿宋_GB2312" w:hAnsi="宋体" w:eastAsia="仿宋_GB2312" w:cs="宋体"/>
                <w:kern w:val="0"/>
                <w:sz w:val="20"/>
                <w:szCs w:val="20"/>
              </w:rPr>
            </w:pPr>
            <w:r>
              <w:rPr>
                <w:rFonts w:hint="default" w:ascii="仿宋_GB2312" w:eastAsia="仿宋_GB2312"/>
                <w:sz w:val="20"/>
                <w:szCs w:val="20"/>
                <w:lang w:val="en-US"/>
              </w:rPr>
              <w:t>11661.48</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right"/>
              <w:rPr>
                <w:rFonts w:hint="default" w:ascii="仿宋_GB2312" w:hAnsi="宋体" w:eastAsia="仿宋_GB2312" w:cs="宋体"/>
                <w:kern w:val="0"/>
                <w:sz w:val="20"/>
                <w:szCs w:val="20"/>
                <w:lang w:val="en-US"/>
              </w:rPr>
            </w:pPr>
            <w:r>
              <w:rPr>
                <w:rFonts w:hint="default" w:ascii="仿宋_GB2312" w:eastAsia="仿宋_GB2312"/>
                <w:sz w:val="20"/>
                <w:szCs w:val="20"/>
                <w:lang w:val="en-US"/>
              </w:rPr>
              <w:t>1571.89</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hint="default" w:ascii="仿宋_GB2312" w:hAnsi="宋体" w:eastAsia="仿宋_GB2312" w:cs="宋体"/>
                <w:kern w:val="0"/>
                <w:sz w:val="20"/>
                <w:szCs w:val="20"/>
                <w:lang w:val="en-US"/>
              </w:rPr>
            </w:pPr>
            <w:r>
              <w:rPr>
                <w:rFonts w:hint="default" w:ascii="仿宋_GB2312" w:hAnsi="宋体" w:eastAsia="仿宋_GB2312" w:cs="宋体"/>
                <w:kern w:val="0"/>
                <w:sz w:val="20"/>
                <w:szCs w:val="20"/>
                <w:lang w:val="en-US"/>
              </w:rPr>
              <w:t>10089.58</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righ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7</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21</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righ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22</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center"/>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bCs/>
                <w:kern w:val="0"/>
                <w:sz w:val="20"/>
                <w:szCs w:val="20"/>
              </w:rPr>
            </w:pPr>
            <w:r>
              <w:rPr>
                <w:rFonts w:hint="eastAsia" w:ascii="仿宋_GB2312" w:hAnsi="宋体" w:eastAsia="仿宋_GB2312" w:cs="宋体"/>
                <w:b/>
                <w:kern w:val="0"/>
                <w:sz w:val="20"/>
                <w:szCs w:val="20"/>
              </w:rPr>
              <w:t>本年收入合计</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9</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default" w:ascii="仿宋_GB2312" w:hAnsi="宋体" w:eastAsia="仿宋_GB2312" w:cs="宋体"/>
                <w:kern w:val="0"/>
                <w:sz w:val="20"/>
                <w:szCs w:val="20"/>
                <w:lang w:val="en-US"/>
              </w:rPr>
              <w:t>17458.13</w:t>
            </w: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bCs/>
                <w:kern w:val="0"/>
                <w:sz w:val="20"/>
                <w:szCs w:val="20"/>
              </w:rPr>
            </w:pPr>
            <w:r>
              <w:rPr>
                <w:rFonts w:hint="eastAsia" w:ascii="仿宋_GB2312" w:hAnsi="宋体" w:eastAsia="仿宋_GB2312" w:cs="宋体"/>
                <w:b/>
                <w:kern w:val="0"/>
                <w:sz w:val="20"/>
                <w:szCs w:val="20"/>
              </w:rPr>
              <w:t>本年支出合计</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23</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default" w:ascii="仿宋_GB2312" w:hAnsi="宋体" w:eastAsia="仿宋_GB2312" w:cs="宋体"/>
                <w:kern w:val="0"/>
                <w:sz w:val="20"/>
                <w:szCs w:val="20"/>
                <w:lang w:val="en-US"/>
              </w:rPr>
              <w:t>17458.13</w:t>
            </w: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default" w:ascii="仿宋_GB2312" w:hAnsi="宋体" w:eastAsia="仿宋_GB2312" w:cs="宋体"/>
                <w:kern w:val="0"/>
                <w:sz w:val="20"/>
                <w:szCs w:val="20"/>
                <w:lang w:val="en-US"/>
              </w:rPr>
              <w:t>7368.55</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r>
              <w:rPr>
                <w:rFonts w:hint="default" w:ascii="仿宋_GB2312" w:hAnsi="宋体" w:eastAsia="仿宋_GB2312" w:cs="宋体"/>
                <w:kern w:val="0"/>
                <w:sz w:val="20"/>
                <w:szCs w:val="20"/>
                <w:lang w:val="en-US"/>
              </w:rPr>
              <w:t>10089.58</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left"/>
              <w:rPr>
                <w:rFonts w:ascii="仿宋_GB2312" w:hAnsi="宋体" w:eastAsia="仿宋_GB2312" w:cs="宋体"/>
                <w:b/>
                <w:bCs/>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kern w:val="0"/>
                <w:sz w:val="20"/>
                <w:szCs w:val="20"/>
              </w:rPr>
            </w:pPr>
            <w:r>
              <w:rPr>
                <w:rFonts w:hint="eastAsia" w:ascii="仿宋_GB2312" w:hAnsi="宋体" w:eastAsia="仿宋_GB2312" w:cs="宋体"/>
                <w:kern w:val="0"/>
                <w:sz w:val="20"/>
                <w:szCs w:val="20"/>
              </w:rPr>
              <w:t>年初财政拨款结转和结余</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rPr>
                <w:rFonts w:ascii="仿宋_GB2312" w:hAnsi="宋体" w:eastAsia="仿宋_GB2312" w:cs="宋体"/>
                <w:kern w:val="0"/>
                <w:sz w:val="20"/>
                <w:szCs w:val="20"/>
              </w:rPr>
            </w:pPr>
            <w:r>
              <w:rPr>
                <w:rFonts w:hint="eastAsia" w:ascii="仿宋_GB2312" w:hAnsi="宋体" w:eastAsia="仿宋_GB2312" w:cs="宋体"/>
                <w:kern w:val="0"/>
                <w:sz w:val="20"/>
                <w:szCs w:val="20"/>
              </w:rPr>
              <w:t>年末财政拨款结转和结余</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24</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lef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ind w:firstLine="392" w:firstLineChars="200"/>
              <w:rPr>
                <w:rFonts w:ascii="仿宋_GB2312" w:hAnsi="宋体" w:eastAsia="仿宋_GB2312" w:cs="宋体"/>
                <w:kern w:val="0"/>
                <w:sz w:val="20"/>
                <w:szCs w:val="20"/>
              </w:rPr>
            </w:pPr>
            <w:r>
              <w:rPr>
                <w:rFonts w:hint="eastAsia" w:ascii="仿宋_GB2312" w:hAnsi="宋体" w:eastAsia="仿宋_GB2312" w:cs="宋体"/>
                <w:kern w:val="0"/>
                <w:sz w:val="20"/>
                <w:szCs w:val="20"/>
              </w:rPr>
              <w:t>一般公共预算财政拨款</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11</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25</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lef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政府性基金预算财政拨款</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12</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26</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lef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国有资本经营预算财政拨款</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13</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27</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left"/>
              <w:rPr>
                <w:rFonts w:ascii="仿宋_GB2312" w:hAnsi="宋体" w:eastAsia="仿宋_GB2312"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3022" w:type="dxa"/>
            <w:tcBorders>
              <w:top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bCs/>
                <w:kern w:val="0"/>
                <w:sz w:val="20"/>
                <w:szCs w:val="20"/>
              </w:rPr>
            </w:pPr>
            <w:r>
              <w:rPr>
                <w:rFonts w:hint="eastAsia" w:ascii="仿宋_GB2312" w:hAnsi="宋体" w:eastAsia="仿宋_GB2312" w:cs="宋体"/>
                <w:b/>
                <w:kern w:val="0"/>
                <w:sz w:val="20"/>
                <w:szCs w:val="20"/>
              </w:rPr>
              <w:t>总计</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14</w:t>
            </w:r>
          </w:p>
        </w:tc>
        <w:tc>
          <w:tcPr>
            <w:tcW w:w="1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default" w:ascii="仿宋_GB2312" w:hAnsi="宋体" w:eastAsia="仿宋_GB2312" w:cs="宋体"/>
                <w:kern w:val="0"/>
                <w:sz w:val="20"/>
                <w:szCs w:val="20"/>
                <w:lang w:val="en-US"/>
              </w:rPr>
              <w:t>17458.13</w:t>
            </w:r>
            <w:r>
              <w:rPr>
                <w:rFonts w:hint="eastAsia" w:ascii="仿宋_GB2312" w:hAnsi="宋体" w:eastAsia="仿宋_GB2312" w:cs="宋体"/>
                <w:kern w:val="0"/>
                <w:sz w:val="20"/>
                <w:szCs w:val="20"/>
              </w:rPr>
              <w:t>　</w:t>
            </w:r>
          </w:p>
        </w:tc>
        <w:tc>
          <w:tcPr>
            <w:tcW w:w="26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bCs/>
                <w:kern w:val="0"/>
                <w:sz w:val="20"/>
                <w:szCs w:val="20"/>
              </w:rPr>
            </w:pPr>
            <w:r>
              <w:rPr>
                <w:rFonts w:hint="eastAsia" w:ascii="仿宋_GB2312" w:hAnsi="宋体" w:eastAsia="仿宋_GB2312" w:cs="宋体"/>
                <w:b/>
                <w:kern w:val="0"/>
                <w:sz w:val="20"/>
                <w:szCs w:val="20"/>
              </w:rPr>
              <w:t>总计</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28</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default" w:ascii="仿宋_GB2312" w:hAnsi="宋体" w:eastAsia="仿宋_GB2312" w:cs="宋体"/>
                <w:kern w:val="0"/>
                <w:sz w:val="20"/>
                <w:szCs w:val="20"/>
                <w:lang w:val="en-US"/>
              </w:rPr>
              <w:t>17458.13</w:t>
            </w:r>
            <w:r>
              <w:rPr>
                <w:rFonts w:hint="eastAsia" w:ascii="仿宋_GB2312" w:hAnsi="宋体" w:eastAsia="仿宋_GB2312" w:cs="宋体"/>
                <w:kern w:val="0"/>
                <w:sz w:val="20"/>
                <w:szCs w:val="20"/>
              </w:rPr>
              <w:t>　</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default" w:ascii="仿宋_GB2312" w:hAnsi="宋体" w:eastAsia="仿宋_GB2312" w:cs="宋体"/>
                <w:kern w:val="0"/>
                <w:sz w:val="20"/>
                <w:szCs w:val="20"/>
                <w:lang w:val="en-US"/>
              </w:rPr>
              <w:t>7368.55</w:t>
            </w:r>
            <w:r>
              <w:rPr>
                <w:rFonts w:hint="eastAsia" w:ascii="仿宋_GB2312" w:hAnsi="宋体" w:eastAsia="仿宋_GB2312" w:cs="宋体"/>
                <w:kern w:val="0"/>
                <w:sz w:val="20"/>
                <w:szCs w:val="20"/>
              </w:rPr>
              <w:t>　</w:t>
            </w:r>
          </w:p>
        </w:tc>
        <w:tc>
          <w:tcPr>
            <w:tcW w:w="1418" w:type="dxa"/>
            <w:tcBorders>
              <w:top w:val="single" w:color="auto" w:sz="4" w:space="0"/>
              <w:left w:val="single" w:color="auto" w:sz="4" w:space="0"/>
              <w:bottom w:val="single" w:color="auto" w:sz="4" w:space="0"/>
            </w:tcBorders>
            <w:shd w:val="clear" w:color="auto" w:fill="auto"/>
            <w:vAlign w:val="center"/>
          </w:tcPr>
          <w:p>
            <w:pPr>
              <w:widowControl/>
              <w:spacing w:line="300" w:lineRule="exact"/>
              <w:jc w:val="right"/>
              <w:rPr>
                <w:rFonts w:ascii="仿宋_GB2312" w:hAnsi="宋体" w:eastAsia="仿宋_GB2312" w:cs="宋体"/>
                <w:kern w:val="0"/>
                <w:sz w:val="20"/>
                <w:szCs w:val="20"/>
              </w:rPr>
            </w:pPr>
            <w:r>
              <w:rPr>
                <w:rFonts w:hint="eastAsia" w:ascii="仿宋_GB2312" w:hAnsi="宋体" w:eastAsia="仿宋_GB2312" w:cs="宋体"/>
                <w:kern w:val="0"/>
                <w:sz w:val="20"/>
                <w:szCs w:val="20"/>
              </w:rPr>
              <w:t>　</w:t>
            </w:r>
            <w:r>
              <w:rPr>
                <w:rFonts w:hint="default" w:ascii="仿宋_GB2312" w:hAnsi="宋体" w:eastAsia="仿宋_GB2312" w:cs="宋体"/>
                <w:kern w:val="0"/>
                <w:sz w:val="20"/>
                <w:szCs w:val="20"/>
                <w:lang w:val="en-US"/>
              </w:rPr>
              <w:t>10089.58</w:t>
            </w:r>
          </w:p>
        </w:tc>
        <w:tc>
          <w:tcPr>
            <w:tcW w:w="1559" w:type="dxa"/>
            <w:tcBorders>
              <w:top w:val="single" w:color="auto" w:sz="4" w:space="0"/>
              <w:left w:val="single" w:color="auto" w:sz="4" w:space="0"/>
              <w:bottom w:val="single" w:color="auto" w:sz="4" w:space="0"/>
            </w:tcBorders>
            <w:shd w:val="clear" w:color="auto" w:fill="auto"/>
          </w:tcPr>
          <w:p>
            <w:pPr>
              <w:widowControl/>
              <w:spacing w:line="300" w:lineRule="exact"/>
              <w:jc w:val="left"/>
              <w:rPr>
                <w:rFonts w:ascii="仿宋_GB2312" w:hAnsi="宋体" w:eastAsia="仿宋_GB2312" w:cs="宋体"/>
                <w:b/>
                <w:bCs/>
                <w:kern w:val="0"/>
                <w:sz w:val="20"/>
                <w:szCs w:val="20"/>
              </w:rPr>
            </w:pPr>
          </w:p>
        </w:tc>
      </w:tr>
    </w:tbl>
    <w:p>
      <w:pPr>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本年度一般公共预算财政拨款、政府性基金预算财政拨款和国有资本经营预算财政拨款的总收支和年末结转结余情况。</w:t>
      </w:r>
    </w:p>
    <w:p>
      <w:pPr>
        <w:jc w:val="center"/>
        <w:rPr>
          <w:rFonts w:ascii="方正小标宋简体" w:eastAsia="方正小标宋简体"/>
          <w:sz w:val="44"/>
          <w:szCs w:val="44"/>
        </w:rPr>
      </w:pPr>
      <w:r>
        <w:rPr>
          <w:rFonts w:hint="eastAsia" w:ascii="方正小标宋简体" w:eastAsia="方正小标宋简体"/>
          <w:sz w:val="44"/>
          <w:szCs w:val="44"/>
        </w:rPr>
        <w:t>一般公共预算财政拨款支出决算表</w:t>
      </w:r>
    </w:p>
    <w:p>
      <w:pPr>
        <w:spacing w:line="400" w:lineRule="exact"/>
        <w:jc w:val="right"/>
        <w:rPr>
          <w:rFonts w:ascii="楷体_GB2312" w:eastAsia="楷体_GB2312"/>
          <w:sz w:val="28"/>
          <w:szCs w:val="28"/>
        </w:rPr>
      </w:pPr>
      <w:r>
        <w:rPr>
          <w:rFonts w:hint="eastAsia" w:ascii="楷体_GB2312" w:eastAsia="楷体_GB2312"/>
          <w:sz w:val="28"/>
          <w:szCs w:val="28"/>
        </w:rPr>
        <w:t>公开05表</w:t>
      </w:r>
    </w:p>
    <w:p>
      <w:pPr>
        <w:wordWrap w:val="0"/>
        <w:spacing w:line="400" w:lineRule="exact"/>
        <w:ind w:firstLine="138" w:firstLineChars="50"/>
        <w:jc w:val="right"/>
        <w:rPr>
          <w:rFonts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 xml:space="preserve">：山东省即墨经济开发区管理委员会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3170"/>
        <w:gridCol w:w="2783"/>
        <w:gridCol w:w="2978"/>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blHeader/>
          <w:jc w:val="center"/>
        </w:trPr>
        <w:tc>
          <w:tcPr>
            <w:tcW w:w="4871" w:type="dxa"/>
            <w:gridSpan w:val="2"/>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8281" w:type="dxa"/>
            <w:gridSpan w:val="3"/>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本年支出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blHeader/>
          <w:jc w:val="center"/>
        </w:trPr>
        <w:tc>
          <w:tcPr>
            <w:tcW w:w="1701" w:type="dxa"/>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功能分类</w:t>
            </w:r>
          </w:p>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3170" w:type="dxa"/>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783" w:type="dxa"/>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2978" w:type="dxa"/>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2520" w:type="dxa"/>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871" w:type="dxa"/>
            <w:gridSpan w:val="2"/>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783" w:type="dxa"/>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2978" w:type="dxa"/>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2520" w:type="dxa"/>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871" w:type="dxa"/>
            <w:gridSpan w:val="2"/>
            <w:tcBorders>
              <w:tl2br w:val="nil"/>
              <w:tr2bl w:val="nil"/>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2783" w:type="dxa"/>
            <w:tcBorders>
              <w:tl2br w:val="nil"/>
              <w:tr2bl w:val="nil"/>
            </w:tcBorders>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7368.55</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2520" w:type="dxa"/>
            <w:tcBorders>
              <w:tl2br w:val="nil"/>
              <w:tr2bl w:val="nil"/>
            </w:tcBorders>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5230.19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201</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一般公共服务支出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20103</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w w:val="90"/>
                <w:kern w:val="0"/>
                <w:sz w:val="22"/>
                <w:szCs w:val="22"/>
              </w:rPr>
              <w:t>政府办公厅（室）及相关机构事务</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2010301</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行政运行</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2138.36</w:t>
            </w: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204</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公共安全支出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20402</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公安</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2040299</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其他公安支出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123.34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教育支出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688.48</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688.48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20502</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普通教育</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688.48</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688.48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2050201</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学前教育</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178.48</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178.48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2050202</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小学教育</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510.00</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510.00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206</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科学技术支出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20699</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其他科学技术支出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2069999</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其他科学技术支出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2796.60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207</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文化旅游体育与传媒支出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20799</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其他文化旅游体育与传媒支出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2079999</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其他文化旅游体育与传媒支出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49.87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城乡社区支出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21299</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其他城乡社区支出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01"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2129999</w:t>
            </w:r>
          </w:p>
        </w:tc>
        <w:tc>
          <w:tcPr>
            <w:tcW w:w="3170" w:type="dxa"/>
            <w:tcBorders>
              <w:tl2br w:val="nil"/>
              <w:tr2bl w:val="nil"/>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其他城乡社区支出</w:t>
            </w:r>
          </w:p>
        </w:tc>
        <w:tc>
          <w:tcPr>
            <w:tcW w:w="2783"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c>
          <w:tcPr>
            <w:tcW w:w="2978"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p>
        </w:tc>
        <w:tc>
          <w:tcPr>
            <w:tcW w:w="2520" w:type="dxa"/>
            <w:tcBorders>
              <w:tl2br w:val="nil"/>
              <w:tr2bl w:val="nil"/>
            </w:tcBorders>
            <w:vAlign w:val="center"/>
          </w:tcPr>
          <w:p>
            <w:pPr>
              <w:widowControl/>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1571.89</w:t>
            </w:r>
          </w:p>
        </w:tc>
      </w:tr>
    </w:tbl>
    <w:p>
      <w:pPr>
        <w:spacing w:line="400" w:lineRule="exact"/>
        <w:ind w:firstLine="108" w:firstLineChars="50"/>
        <w:jc w:val="left"/>
        <w:rPr>
          <w:rFonts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本年度一般公共预算财政拨款支出情况。</w:t>
      </w:r>
    </w:p>
    <w:p>
      <w:pPr>
        <w:spacing w:line="400" w:lineRule="exact"/>
        <w:jc w:val="left"/>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ascii="方正小标宋简体" w:eastAsia="方正小标宋简体"/>
          <w:sz w:val="44"/>
          <w:szCs w:val="44"/>
        </w:rPr>
      </w:pPr>
      <w:r>
        <w:rPr>
          <w:rFonts w:hint="eastAsia" w:ascii="方正小标宋简体" w:eastAsia="方正小标宋简体"/>
          <w:sz w:val="44"/>
          <w:szCs w:val="44"/>
        </w:rPr>
        <w:t>一般公共预算财政拨款基本支出决算表</w:t>
      </w:r>
    </w:p>
    <w:p>
      <w:pPr>
        <w:spacing w:line="400" w:lineRule="exact"/>
        <w:jc w:val="right"/>
        <w:rPr>
          <w:rFonts w:ascii="楷体_GB2312" w:eastAsia="楷体_GB2312"/>
          <w:sz w:val="28"/>
          <w:szCs w:val="28"/>
        </w:rPr>
      </w:pPr>
      <w:r>
        <w:rPr>
          <w:rFonts w:hint="eastAsia" w:ascii="楷体_GB2312" w:eastAsia="楷体_GB2312"/>
          <w:sz w:val="28"/>
          <w:szCs w:val="28"/>
        </w:rPr>
        <w:t>公开06表</w:t>
      </w:r>
    </w:p>
    <w:p>
      <w:pPr>
        <w:spacing w:line="400" w:lineRule="exact"/>
        <w:ind w:firstLine="138" w:firstLineChars="50"/>
        <w:jc w:val="right"/>
        <w:rPr>
          <w:rFonts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 xml:space="preserve">：山东省即墨经济开发区管理委员会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7"/>
        <w:tblW w:w="0" w:type="auto"/>
        <w:jc w:val="center"/>
        <w:tblLayout w:type="fixed"/>
        <w:tblCellMar>
          <w:top w:w="0" w:type="dxa"/>
          <w:left w:w="108" w:type="dxa"/>
          <w:bottom w:w="0" w:type="dxa"/>
          <w:right w:w="108" w:type="dxa"/>
        </w:tblCellMar>
      </w:tblPr>
      <w:tblGrid>
        <w:gridCol w:w="1008"/>
        <w:gridCol w:w="3023"/>
        <w:gridCol w:w="911"/>
        <w:gridCol w:w="1074"/>
        <w:gridCol w:w="1984"/>
        <w:gridCol w:w="833"/>
        <w:gridCol w:w="1010"/>
        <w:gridCol w:w="2551"/>
        <w:gridCol w:w="881"/>
      </w:tblGrid>
      <w:tr>
        <w:tblPrEx>
          <w:tblCellMar>
            <w:top w:w="0" w:type="dxa"/>
            <w:left w:w="108" w:type="dxa"/>
            <w:bottom w:w="0" w:type="dxa"/>
            <w:right w:w="108" w:type="dxa"/>
          </w:tblCellMar>
        </w:tblPrEx>
        <w:trPr>
          <w:trHeight w:val="369" w:hRule="atLeast"/>
          <w:tblHeader/>
          <w:jc w:val="center"/>
        </w:trPr>
        <w:tc>
          <w:tcPr>
            <w:tcW w:w="4942" w:type="dxa"/>
            <w:gridSpan w:val="3"/>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人员经费</w:t>
            </w:r>
          </w:p>
        </w:tc>
        <w:tc>
          <w:tcPr>
            <w:tcW w:w="8333" w:type="dxa"/>
            <w:gridSpan w:val="6"/>
            <w:tcBorders>
              <w:top w:val="single" w:color="auto" w:sz="8" w:space="0"/>
              <w:left w:val="nil"/>
              <w:bottom w:val="single" w:color="auto" w:sz="4" w:space="0"/>
              <w:right w:val="single" w:color="000000" w:sz="8"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公用经费</w:t>
            </w:r>
          </w:p>
        </w:tc>
      </w:tr>
      <w:tr>
        <w:tblPrEx>
          <w:tblCellMar>
            <w:top w:w="0" w:type="dxa"/>
            <w:left w:w="108" w:type="dxa"/>
            <w:bottom w:w="0" w:type="dxa"/>
            <w:right w:w="108" w:type="dxa"/>
          </w:tblCellMar>
        </w:tblPrEx>
        <w:trPr>
          <w:trHeight w:val="300" w:hRule="atLeast"/>
          <w:tblHeader/>
          <w:jc w:val="center"/>
        </w:trPr>
        <w:tc>
          <w:tcPr>
            <w:tcW w:w="1008" w:type="dxa"/>
            <w:vMerge w:val="restart"/>
            <w:tcBorders>
              <w:top w:val="nil"/>
              <w:left w:val="single" w:color="auto" w:sz="8"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科目编码</w:t>
            </w:r>
          </w:p>
        </w:tc>
        <w:tc>
          <w:tcPr>
            <w:tcW w:w="3023"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911"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c>
          <w:tcPr>
            <w:tcW w:w="1074"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科目编码</w:t>
            </w:r>
          </w:p>
        </w:tc>
        <w:tc>
          <w:tcPr>
            <w:tcW w:w="1984"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33"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c>
          <w:tcPr>
            <w:tcW w:w="1010"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科目编码</w:t>
            </w:r>
          </w:p>
        </w:tc>
        <w:tc>
          <w:tcPr>
            <w:tcW w:w="2551" w:type="dxa"/>
            <w:vMerge w:val="restart"/>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科目名称</w:t>
            </w:r>
          </w:p>
        </w:tc>
        <w:tc>
          <w:tcPr>
            <w:tcW w:w="881" w:type="dxa"/>
            <w:vMerge w:val="restart"/>
            <w:tcBorders>
              <w:top w:val="nil"/>
              <w:left w:val="single" w:color="auto" w:sz="4" w:space="0"/>
              <w:bottom w:val="single" w:color="auto" w:sz="4" w:space="0"/>
              <w:right w:val="single" w:color="auto" w:sz="8" w:space="0"/>
            </w:tcBorders>
            <w:vAlign w:val="center"/>
          </w:tcPr>
          <w:p>
            <w:pPr>
              <w:widowControl/>
              <w:spacing w:line="300" w:lineRule="exact"/>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金额</w:t>
            </w:r>
          </w:p>
        </w:tc>
      </w:tr>
      <w:tr>
        <w:tblPrEx>
          <w:tblCellMar>
            <w:top w:w="0" w:type="dxa"/>
            <w:left w:w="108" w:type="dxa"/>
            <w:bottom w:w="0" w:type="dxa"/>
            <w:right w:w="108" w:type="dxa"/>
          </w:tblCellMar>
        </w:tblPrEx>
        <w:trPr>
          <w:trHeight w:val="300" w:hRule="atLeast"/>
          <w:tblHeader/>
          <w:jc w:val="center"/>
        </w:trPr>
        <w:tc>
          <w:tcPr>
            <w:tcW w:w="1008" w:type="dxa"/>
            <w:vMerge w:val="continue"/>
            <w:tcBorders>
              <w:top w:val="nil"/>
              <w:left w:val="single" w:color="auto" w:sz="8"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2"/>
                <w:szCs w:val="22"/>
              </w:rPr>
            </w:pPr>
          </w:p>
        </w:tc>
        <w:tc>
          <w:tcPr>
            <w:tcW w:w="302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2"/>
                <w:szCs w:val="22"/>
              </w:rPr>
            </w:pPr>
          </w:p>
        </w:tc>
        <w:tc>
          <w:tcPr>
            <w:tcW w:w="911"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2"/>
                <w:szCs w:val="22"/>
              </w:rPr>
            </w:pPr>
          </w:p>
        </w:tc>
        <w:tc>
          <w:tcPr>
            <w:tcW w:w="107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2"/>
                <w:szCs w:val="22"/>
              </w:rPr>
            </w:pPr>
          </w:p>
        </w:tc>
        <w:tc>
          <w:tcPr>
            <w:tcW w:w="1984"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2"/>
                <w:szCs w:val="22"/>
              </w:rPr>
            </w:pPr>
          </w:p>
        </w:tc>
        <w:tc>
          <w:tcPr>
            <w:tcW w:w="833"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2"/>
                <w:szCs w:val="22"/>
              </w:rPr>
            </w:pPr>
          </w:p>
        </w:tc>
        <w:tc>
          <w:tcPr>
            <w:tcW w:w="1010"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2"/>
                <w:szCs w:val="22"/>
              </w:rPr>
            </w:pPr>
          </w:p>
        </w:tc>
        <w:tc>
          <w:tcPr>
            <w:tcW w:w="2551"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color w:val="000000"/>
                <w:kern w:val="0"/>
                <w:sz w:val="22"/>
                <w:szCs w:val="22"/>
              </w:rPr>
            </w:pPr>
          </w:p>
        </w:tc>
        <w:tc>
          <w:tcPr>
            <w:tcW w:w="881" w:type="dxa"/>
            <w:vMerge w:val="continue"/>
            <w:tcBorders>
              <w:top w:val="nil"/>
              <w:left w:val="single" w:color="auto" w:sz="4" w:space="0"/>
              <w:bottom w:val="single" w:color="auto" w:sz="4" w:space="0"/>
              <w:right w:val="single" w:color="auto" w:sz="8" w:space="0"/>
            </w:tcBorders>
            <w:vAlign w:val="center"/>
          </w:tcPr>
          <w:p>
            <w:pPr>
              <w:widowControl/>
              <w:spacing w:line="300" w:lineRule="exact"/>
              <w:jc w:val="left"/>
              <w:rPr>
                <w:rFonts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工资福利支出</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1832.12</w:t>
            </w: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商品和服务支出</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305.11</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债务利息及费用支出</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30101</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基本工资</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1317.41</w:t>
            </w: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30201</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办公费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17.70</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30701</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国内债务付息</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30102</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津贴补贴</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10.67</w:t>
            </w: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30202</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印刷费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30702</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国外债务付息</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30103</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奖金</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0.80</w:t>
            </w: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30203</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咨询费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30703</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国内债务发行费用</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30106</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伙食补助费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30204</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手续费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30704</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国外债务发行费用</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30107</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绩效工资</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7.63</w:t>
            </w: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30205</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水费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资本性支出</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1.14</w:t>
            </w:r>
          </w:p>
        </w:tc>
      </w:tr>
      <w:tr>
        <w:tblPrEx>
          <w:tblCellMar>
            <w:top w:w="0" w:type="dxa"/>
            <w:left w:w="108" w:type="dxa"/>
            <w:bottom w:w="0" w:type="dxa"/>
            <w:right w:w="108" w:type="dxa"/>
          </w:tblCellMar>
        </w:tblPrEx>
        <w:trPr>
          <w:trHeight w:val="9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30108</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机关事业单位基本养老保险缴费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140.25</w:t>
            </w: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30206</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电费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4.2</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31001</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房屋建筑物购建</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30109</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职业年金缴费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100.77</w:t>
            </w: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30207</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邮电费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6.29</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31002</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办公设备购置</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1.14</w:t>
            </w: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30110</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职工基本医疗保险缴费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101.32</w:t>
            </w: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30208</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取暖费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15.24</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31003</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专用设备购置</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30111</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公务员医疗补助缴费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30209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物业管理费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31.09</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31005</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基础设施建设</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30112</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其他社会保障缴费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7.10</w:t>
            </w: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30211</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差旅费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0.47</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31006</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大型修缮</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30113</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住房公积金</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146.15</w:t>
            </w: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30212</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因公出国（境）费用</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31007</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信息网络及软件购置更新</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30114</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医疗费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30213</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维修(护)费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3.43</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31008</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物资储备</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9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30199</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其他工资福利支出</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30214</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租赁费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0.30</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31009</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土地补偿</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对个人和家庭的补助</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30215</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会议费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31010</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安置补助</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30301</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离休费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30216</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培训费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31011</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地上附着物和青苗补偿</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30302</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退休费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30217</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公务接待费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0.13</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31012</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拆迁补偿</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30303</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退职（役）费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30218</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专用材料费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31013</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公务用车购置</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30304</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抚恤金</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30224</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被装购置费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31019</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其他交通工具购置</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30305</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生活补助</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30225</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专用燃料费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31021</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文物和陈列品购置</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30306</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救济费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30226</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劳务费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31022</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无形资产购置</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30307</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医疗费补助</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30227</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委托业务费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96.29</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31099</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其他资本性支出</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30308</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助学金</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30228</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工会经费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16.30</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对企业补助</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30309</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奖励金</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30229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福利费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31201</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资本金注入</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30310</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个人农业生产补贴</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30231</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公务用车运行维护费</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0.39</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31203</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政府投资基金股权投资</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30311</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代缴社会保险费</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30239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其他交通费用</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1.54</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31204</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费用补贴</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30399</w:t>
            </w: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其他对个人和家庭的补助</w:t>
            </w: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30240</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税金及附加费用</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31205</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利息补贴</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30299</w:t>
            </w: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其他商品和服务支出</w:t>
            </w: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hint="default" w:ascii="仿宋_GB2312" w:hAnsi="宋体" w:eastAsia="仿宋_GB2312" w:cs="宋体"/>
                <w:color w:val="000000"/>
                <w:kern w:val="0"/>
                <w:sz w:val="20"/>
                <w:szCs w:val="20"/>
                <w:lang w:val="en-US"/>
              </w:rPr>
            </w:pPr>
            <w:r>
              <w:rPr>
                <w:rFonts w:hint="default" w:ascii="仿宋_GB2312" w:hAnsi="宋体" w:eastAsia="仿宋_GB2312" w:cs="宋体"/>
                <w:color w:val="000000"/>
                <w:kern w:val="0"/>
                <w:sz w:val="20"/>
                <w:szCs w:val="20"/>
                <w:lang w:val="en-US"/>
              </w:rPr>
              <w:t>111.76</w:t>
            </w: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31299</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其他对企业补助</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其他支出</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39906</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赠与</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39907</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国家赔偿费用支出</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39908</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对民间非营利组织和群众性自治组织补贴</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1008" w:type="dxa"/>
            <w:tcBorders>
              <w:top w:val="nil"/>
              <w:left w:val="single" w:color="auto" w:sz="8" w:space="0"/>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302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911"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7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1984"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p>
        </w:tc>
        <w:tc>
          <w:tcPr>
            <w:tcW w:w="833" w:type="dxa"/>
            <w:tcBorders>
              <w:top w:val="nil"/>
              <w:left w:val="nil"/>
              <w:bottom w:val="single" w:color="auto" w:sz="4" w:space="0"/>
              <w:right w:val="single" w:color="auto" w:sz="4" w:space="0"/>
            </w:tcBorders>
            <w:vAlign w:val="center"/>
          </w:tcPr>
          <w:p>
            <w:pPr>
              <w:widowControl/>
              <w:spacing w:line="300" w:lineRule="exact"/>
              <w:jc w:val="right"/>
              <w:rPr>
                <w:rFonts w:ascii="仿宋_GB2312" w:hAnsi="宋体" w:eastAsia="仿宋_GB2312" w:cs="宋体"/>
                <w:color w:val="000000"/>
                <w:kern w:val="0"/>
                <w:sz w:val="20"/>
                <w:szCs w:val="20"/>
              </w:rPr>
            </w:pPr>
          </w:p>
        </w:tc>
        <w:tc>
          <w:tcPr>
            <w:tcW w:w="1010"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39999</w:t>
            </w:r>
          </w:p>
        </w:tc>
        <w:tc>
          <w:tcPr>
            <w:tcW w:w="2551" w:type="dxa"/>
            <w:tcBorders>
              <w:top w:val="nil"/>
              <w:left w:val="nil"/>
              <w:bottom w:val="single" w:color="auto" w:sz="4" w:space="0"/>
              <w:right w:val="single" w:color="auto" w:sz="4" w:space="0"/>
            </w:tcBorders>
            <w:vAlign w:val="center"/>
          </w:tcPr>
          <w:p>
            <w:pPr>
              <w:widowControl/>
              <w:spacing w:line="300" w:lineRule="exac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其他支出</w:t>
            </w:r>
          </w:p>
        </w:tc>
        <w:tc>
          <w:tcPr>
            <w:tcW w:w="881" w:type="dxa"/>
            <w:tcBorders>
              <w:top w:val="nil"/>
              <w:left w:val="nil"/>
              <w:bottom w:val="single" w:color="auto" w:sz="4" w:space="0"/>
              <w:right w:val="single" w:color="auto" w:sz="8" w:space="0"/>
            </w:tcBorders>
            <w:vAlign w:val="center"/>
          </w:tcPr>
          <w:p>
            <w:pPr>
              <w:widowControl/>
              <w:spacing w:line="300" w:lineRule="exact"/>
              <w:jc w:val="right"/>
              <w:rPr>
                <w:rFonts w:ascii="仿宋_GB2312" w:hAnsi="宋体" w:eastAsia="仿宋_GB2312" w:cs="宋体"/>
                <w:color w:val="000000"/>
                <w:kern w:val="0"/>
                <w:sz w:val="20"/>
                <w:szCs w:val="20"/>
              </w:rPr>
            </w:pPr>
          </w:p>
        </w:tc>
      </w:tr>
      <w:tr>
        <w:tblPrEx>
          <w:tblCellMar>
            <w:top w:w="0" w:type="dxa"/>
            <w:left w:w="108" w:type="dxa"/>
            <w:bottom w:w="0" w:type="dxa"/>
            <w:right w:w="108" w:type="dxa"/>
          </w:tblCellMar>
        </w:tblPrEx>
        <w:trPr>
          <w:trHeight w:val="20" w:hRule="atLeast"/>
          <w:jc w:val="center"/>
        </w:trPr>
        <w:tc>
          <w:tcPr>
            <w:tcW w:w="4031" w:type="dxa"/>
            <w:gridSpan w:val="2"/>
            <w:tcBorders>
              <w:top w:val="single" w:color="auto" w:sz="4" w:space="0"/>
              <w:left w:val="single" w:color="auto" w:sz="8" w:space="0"/>
              <w:bottom w:val="single" w:color="auto" w:sz="8" w:space="0"/>
              <w:right w:val="single" w:color="auto" w:sz="4" w:space="0"/>
            </w:tcBorders>
            <w:vAlign w:val="center"/>
          </w:tcPr>
          <w:p>
            <w:pPr>
              <w:widowControl/>
              <w:spacing w:line="300" w:lineRule="exact"/>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人员经费合计</w:t>
            </w:r>
          </w:p>
        </w:tc>
        <w:tc>
          <w:tcPr>
            <w:tcW w:w="911" w:type="dxa"/>
            <w:tcBorders>
              <w:top w:val="nil"/>
              <w:left w:val="nil"/>
              <w:bottom w:val="single" w:color="auto" w:sz="8" w:space="0"/>
              <w:right w:val="single" w:color="auto" w:sz="4" w:space="0"/>
            </w:tcBorders>
            <w:vAlign w:val="center"/>
          </w:tcPr>
          <w:p>
            <w:pPr>
              <w:widowControl/>
              <w:spacing w:line="300" w:lineRule="exact"/>
              <w:jc w:val="right"/>
              <w:rPr>
                <w:rFonts w:hint="default" w:ascii="仿宋_GB2312" w:hAnsi="宋体" w:eastAsia="仿宋_GB2312" w:cs="宋体"/>
                <w:b/>
                <w:bCs/>
                <w:color w:val="000000"/>
                <w:kern w:val="0"/>
                <w:sz w:val="20"/>
                <w:szCs w:val="20"/>
                <w:lang w:val="en-US"/>
              </w:rPr>
            </w:pPr>
            <w:r>
              <w:rPr>
                <w:rFonts w:hint="default" w:ascii="仿宋_GB2312" w:hAnsi="宋体" w:eastAsia="仿宋_GB2312" w:cs="宋体"/>
                <w:b/>
                <w:bCs/>
                <w:color w:val="000000"/>
                <w:kern w:val="0"/>
                <w:sz w:val="20"/>
                <w:szCs w:val="20"/>
                <w:lang w:val="en-US"/>
              </w:rPr>
              <w:t>1832.12</w:t>
            </w:r>
          </w:p>
        </w:tc>
        <w:tc>
          <w:tcPr>
            <w:tcW w:w="7452" w:type="dxa"/>
            <w:gridSpan w:val="5"/>
            <w:tcBorders>
              <w:top w:val="single" w:color="auto" w:sz="4" w:space="0"/>
              <w:left w:val="nil"/>
              <w:bottom w:val="single" w:color="auto" w:sz="8" w:space="0"/>
              <w:right w:val="single" w:color="auto" w:sz="4" w:space="0"/>
            </w:tcBorders>
            <w:vAlign w:val="center"/>
          </w:tcPr>
          <w:p>
            <w:pPr>
              <w:widowControl/>
              <w:spacing w:line="300" w:lineRule="exact"/>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公用经费合计</w:t>
            </w:r>
          </w:p>
        </w:tc>
        <w:tc>
          <w:tcPr>
            <w:tcW w:w="881" w:type="dxa"/>
            <w:tcBorders>
              <w:top w:val="nil"/>
              <w:left w:val="nil"/>
              <w:bottom w:val="single" w:color="auto" w:sz="8" w:space="0"/>
              <w:right w:val="single" w:color="auto" w:sz="8" w:space="0"/>
            </w:tcBorders>
            <w:vAlign w:val="center"/>
          </w:tcPr>
          <w:p>
            <w:pPr>
              <w:widowControl/>
              <w:spacing w:line="300" w:lineRule="exact"/>
              <w:jc w:val="right"/>
              <w:rPr>
                <w:rFonts w:hint="default" w:ascii="仿宋_GB2312" w:hAnsi="宋体" w:eastAsia="仿宋_GB2312" w:cs="宋体"/>
                <w:b/>
                <w:bCs/>
                <w:color w:val="000000"/>
                <w:kern w:val="0"/>
                <w:sz w:val="20"/>
                <w:szCs w:val="20"/>
                <w:lang w:val="en-US"/>
              </w:rPr>
            </w:pPr>
            <w:r>
              <w:rPr>
                <w:rFonts w:hint="default" w:ascii="仿宋_GB2312" w:hAnsi="宋体" w:eastAsia="仿宋_GB2312" w:cs="宋体"/>
                <w:b/>
                <w:bCs/>
                <w:color w:val="000000"/>
                <w:kern w:val="0"/>
                <w:sz w:val="20"/>
                <w:szCs w:val="20"/>
                <w:lang w:val="en-US"/>
              </w:rPr>
              <w:t>306.24</w:t>
            </w:r>
          </w:p>
        </w:tc>
      </w:tr>
    </w:tbl>
    <w:p>
      <w:pPr>
        <w:spacing w:line="400" w:lineRule="exact"/>
        <w:ind w:firstLine="108" w:firstLineChars="50"/>
        <w:jc w:val="left"/>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本年度一般公共预算财政拨款基本支出明细情况。</w:t>
      </w:r>
    </w:p>
    <w:p>
      <w:pPr>
        <w:jc w:val="center"/>
        <w:rPr>
          <w:rFonts w:ascii="方正小标宋简体" w:eastAsia="方正小标宋简体"/>
          <w:sz w:val="44"/>
          <w:szCs w:val="44"/>
        </w:rPr>
      </w:pPr>
      <w:r>
        <w:rPr>
          <w:rFonts w:hint="eastAsia" w:ascii="方正小标宋简体" w:eastAsia="方正小标宋简体"/>
          <w:sz w:val="44"/>
          <w:szCs w:val="44"/>
        </w:rPr>
        <w:t>政府性基金预算财政拨款收入支出决算表</w:t>
      </w:r>
    </w:p>
    <w:p>
      <w:pPr>
        <w:spacing w:line="400" w:lineRule="exact"/>
        <w:jc w:val="right"/>
        <w:rPr>
          <w:rFonts w:ascii="楷体_GB2312" w:eastAsia="楷体_GB2312"/>
          <w:sz w:val="28"/>
          <w:szCs w:val="28"/>
        </w:rPr>
      </w:pPr>
      <w:r>
        <w:rPr>
          <w:rFonts w:hint="eastAsia" w:ascii="楷体_GB2312" w:eastAsia="楷体_GB2312"/>
          <w:sz w:val="28"/>
          <w:szCs w:val="28"/>
        </w:rPr>
        <w:t>公开08表</w:t>
      </w:r>
    </w:p>
    <w:p>
      <w:pPr>
        <w:spacing w:line="400" w:lineRule="exact"/>
        <w:ind w:firstLine="138" w:firstLineChars="50"/>
        <w:jc w:val="right"/>
        <w:rPr>
          <w:rFonts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：山东省即墨经济开发区管理委员会                                              金额单位：万元</w:t>
      </w:r>
    </w:p>
    <w:tbl>
      <w:tblPr>
        <w:tblStyle w:val="7"/>
        <w:tblpPr w:leftFromText="180" w:rightFromText="180" w:vertAnchor="text" w:tblpXSpec="center" w:tblpY="1"/>
        <w:tblOverlap w:val="never"/>
        <w:tblW w:w="0" w:type="auto"/>
        <w:tblInd w:w="0" w:type="dxa"/>
        <w:tblLayout w:type="fixed"/>
        <w:tblCellMar>
          <w:top w:w="0" w:type="dxa"/>
          <w:left w:w="108" w:type="dxa"/>
          <w:bottom w:w="0" w:type="dxa"/>
          <w:right w:w="108" w:type="dxa"/>
        </w:tblCellMar>
      </w:tblPr>
      <w:tblGrid>
        <w:gridCol w:w="1372"/>
        <w:gridCol w:w="56"/>
        <w:gridCol w:w="1901"/>
        <w:gridCol w:w="1259"/>
        <w:gridCol w:w="1707"/>
        <w:gridCol w:w="1708"/>
        <w:gridCol w:w="1708"/>
        <w:gridCol w:w="1708"/>
        <w:gridCol w:w="1791"/>
      </w:tblGrid>
      <w:tr>
        <w:tblPrEx>
          <w:tblCellMar>
            <w:top w:w="0" w:type="dxa"/>
            <w:left w:w="108" w:type="dxa"/>
            <w:bottom w:w="0" w:type="dxa"/>
            <w:right w:w="108" w:type="dxa"/>
          </w:tblCellMar>
        </w:tblPrEx>
        <w:trPr>
          <w:trHeight w:val="453" w:hRule="atLeast"/>
        </w:trPr>
        <w:tc>
          <w:tcPr>
            <w:tcW w:w="3329"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1259" w:type="dxa"/>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年初结转和结余</w:t>
            </w:r>
          </w:p>
        </w:tc>
        <w:tc>
          <w:tcPr>
            <w:tcW w:w="1707" w:type="dxa"/>
            <w:vMerge w:val="restart"/>
            <w:tcBorders>
              <w:top w:val="single" w:color="auto" w:sz="4" w:space="0"/>
              <w:left w:val="nil"/>
              <w:right w:val="single" w:color="auto" w:sz="4" w:space="0"/>
            </w:tcBorders>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本年收入</w:t>
            </w:r>
          </w:p>
        </w:tc>
        <w:tc>
          <w:tcPr>
            <w:tcW w:w="5124" w:type="dxa"/>
            <w:gridSpan w:val="3"/>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本年支出</w:t>
            </w:r>
          </w:p>
        </w:tc>
        <w:tc>
          <w:tcPr>
            <w:tcW w:w="1791" w:type="dxa"/>
            <w:vMerge w:val="restart"/>
            <w:tcBorders>
              <w:top w:val="single" w:color="auto" w:sz="4" w:space="0"/>
              <w:left w:val="nil"/>
              <w:right w:val="single" w:color="auto" w:sz="4" w:space="0"/>
            </w:tcBorders>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年末结转和结余</w:t>
            </w:r>
          </w:p>
        </w:tc>
      </w:tr>
      <w:tr>
        <w:tblPrEx>
          <w:tblCellMar>
            <w:top w:w="0" w:type="dxa"/>
            <w:left w:w="108" w:type="dxa"/>
            <w:bottom w:w="0" w:type="dxa"/>
            <w:right w:w="108" w:type="dxa"/>
          </w:tblCellMar>
        </w:tblPrEx>
        <w:trPr>
          <w:trHeight w:val="599" w:hRule="atLeast"/>
        </w:trPr>
        <w:tc>
          <w:tcPr>
            <w:tcW w:w="1428"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功能分类  科目编码</w:t>
            </w:r>
          </w:p>
        </w:tc>
        <w:tc>
          <w:tcPr>
            <w:tcW w:w="190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1259" w:type="dxa"/>
            <w:vMerge w:val="continue"/>
            <w:tcBorders>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707" w:type="dxa"/>
            <w:vMerge w:val="continue"/>
            <w:tcBorders>
              <w:left w:val="nil"/>
              <w:bottom w:val="single" w:color="auto" w:sz="4" w:space="0"/>
              <w:right w:val="single" w:color="auto" w:sz="4" w:space="0"/>
            </w:tcBorders>
            <w:vAlign w:val="center"/>
          </w:tcPr>
          <w:p>
            <w:pPr>
              <w:spacing w:line="300" w:lineRule="exact"/>
              <w:jc w:val="center"/>
              <w:rPr>
                <w:rFonts w:ascii="仿宋_GB2312" w:hAnsi="宋体" w:eastAsia="仿宋_GB2312" w:cs="宋体"/>
                <w:kern w:val="0"/>
                <w:sz w:val="22"/>
                <w:szCs w:val="22"/>
              </w:rPr>
            </w:pPr>
          </w:p>
        </w:tc>
        <w:tc>
          <w:tcPr>
            <w:tcW w:w="1708"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708"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1708" w:type="dxa"/>
            <w:tcBorders>
              <w:top w:val="single" w:color="auto" w:sz="4" w:space="0"/>
              <w:left w:val="nil"/>
              <w:bottom w:val="single" w:color="auto" w:sz="4" w:space="0"/>
              <w:right w:val="single" w:color="auto" w:sz="4" w:space="0"/>
            </w:tcBorders>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项目支出</w:t>
            </w:r>
          </w:p>
        </w:tc>
        <w:tc>
          <w:tcPr>
            <w:tcW w:w="1791" w:type="dxa"/>
            <w:vMerge w:val="continue"/>
            <w:tcBorders>
              <w:left w:val="nil"/>
              <w:bottom w:val="single" w:color="auto" w:sz="4" w:space="0"/>
              <w:right w:val="single" w:color="auto" w:sz="4" w:space="0"/>
            </w:tcBorders>
            <w:vAlign w:val="center"/>
          </w:tcPr>
          <w:p>
            <w:pPr>
              <w:spacing w:line="300" w:lineRule="exact"/>
              <w:jc w:val="center"/>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3329"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1259"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707"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708"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708"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708"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1791"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6</w:t>
            </w:r>
          </w:p>
        </w:tc>
      </w:tr>
      <w:tr>
        <w:tblPrEx>
          <w:tblCellMar>
            <w:top w:w="0" w:type="dxa"/>
            <w:left w:w="108" w:type="dxa"/>
            <w:bottom w:w="0" w:type="dxa"/>
            <w:right w:w="108" w:type="dxa"/>
          </w:tblCellMar>
        </w:tblPrEx>
        <w:trPr>
          <w:trHeight w:val="454" w:hRule="atLeast"/>
        </w:trPr>
        <w:tc>
          <w:tcPr>
            <w:tcW w:w="3329"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1259"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10089.58</w:t>
            </w:r>
            <w:r>
              <w:rPr>
                <w:rFonts w:hint="eastAsia" w:ascii="仿宋_GB2312" w:hAnsi="宋体" w:eastAsia="仿宋_GB2312" w:cs="宋体"/>
                <w:kern w:val="0"/>
                <w:sz w:val="22"/>
                <w:szCs w:val="22"/>
              </w:rPr>
              <w:t xml:space="preserve"> </w:t>
            </w: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10089.58</w:t>
            </w:r>
            <w:r>
              <w:rPr>
                <w:rFonts w:hint="eastAsia" w:ascii="仿宋_GB2312" w:hAnsi="宋体" w:eastAsia="仿宋_GB2312" w:cs="宋体"/>
                <w:kern w:val="0"/>
                <w:sz w:val="22"/>
                <w:szCs w:val="22"/>
              </w:rPr>
              <w:t xml:space="preserve"> </w:t>
            </w:r>
          </w:p>
        </w:tc>
        <w:tc>
          <w:tcPr>
            <w:tcW w:w="1708"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10089.58</w:t>
            </w:r>
            <w:r>
              <w:rPr>
                <w:rFonts w:hint="eastAsia" w:ascii="仿宋_GB2312" w:hAnsi="宋体" w:eastAsia="仿宋_GB2312" w:cs="宋体"/>
                <w:kern w:val="0"/>
                <w:sz w:val="22"/>
                <w:szCs w:val="22"/>
              </w:rPr>
              <w:t xml:space="preserve"> </w:t>
            </w:r>
          </w:p>
        </w:tc>
        <w:tc>
          <w:tcPr>
            <w:tcW w:w="1791"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w:t>
            </w:r>
          </w:p>
        </w:tc>
        <w:tc>
          <w:tcPr>
            <w:tcW w:w="1957" w:type="dxa"/>
            <w:gridSpan w:val="2"/>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城乡社区支出</w:t>
            </w:r>
          </w:p>
        </w:tc>
        <w:tc>
          <w:tcPr>
            <w:tcW w:w="1259" w:type="dxa"/>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10089.58</w:t>
            </w:r>
            <w:r>
              <w:rPr>
                <w:rFonts w:hint="eastAsia" w:ascii="仿宋_GB2312" w:hAnsi="宋体" w:eastAsia="仿宋_GB2312" w:cs="宋体"/>
                <w:kern w:val="0"/>
                <w:sz w:val="22"/>
                <w:szCs w:val="22"/>
              </w:rPr>
              <w:t xml:space="preserve"> </w:t>
            </w: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10089.58</w:t>
            </w:r>
            <w:r>
              <w:rPr>
                <w:rFonts w:hint="eastAsia" w:ascii="仿宋_GB2312" w:hAnsi="宋体" w:eastAsia="仿宋_GB2312" w:cs="宋体"/>
                <w:kern w:val="0"/>
                <w:sz w:val="22"/>
                <w:szCs w:val="22"/>
              </w:rPr>
              <w:t xml:space="preserve"> </w:t>
            </w: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10089.58</w:t>
            </w:r>
            <w:r>
              <w:rPr>
                <w:rFonts w:hint="eastAsia" w:ascii="仿宋_GB2312" w:hAnsi="宋体" w:eastAsia="仿宋_GB2312" w:cs="宋体"/>
                <w:kern w:val="0"/>
                <w:sz w:val="22"/>
                <w:szCs w:val="22"/>
              </w:rPr>
              <w:t xml:space="preserve"> </w:t>
            </w:r>
          </w:p>
        </w:tc>
        <w:tc>
          <w:tcPr>
            <w:tcW w:w="1791" w:type="dxa"/>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21208</w:t>
            </w:r>
          </w:p>
        </w:tc>
        <w:tc>
          <w:tcPr>
            <w:tcW w:w="1957" w:type="dxa"/>
            <w:gridSpan w:val="2"/>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国有土地使用权出让收入安排的支出</w:t>
            </w:r>
          </w:p>
        </w:tc>
        <w:tc>
          <w:tcPr>
            <w:tcW w:w="1259" w:type="dxa"/>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r>
              <w:rPr>
                <w:rFonts w:hint="eastAsia" w:ascii="仿宋_GB2312" w:hAnsi="宋体" w:eastAsia="仿宋_GB2312" w:cs="宋体"/>
                <w:kern w:val="0"/>
                <w:sz w:val="22"/>
                <w:szCs w:val="22"/>
              </w:rPr>
              <w:t xml:space="preserve"> </w:t>
            </w: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r>
              <w:rPr>
                <w:rFonts w:hint="eastAsia" w:ascii="仿宋_GB2312" w:hAnsi="宋体" w:eastAsia="仿宋_GB2312" w:cs="宋体"/>
                <w:kern w:val="0"/>
                <w:sz w:val="22"/>
                <w:szCs w:val="22"/>
              </w:rPr>
              <w:t xml:space="preserve"> </w:t>
            </w: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r>
              <w:rPr>
                <w:rFonts w:hint="eastAsia" w:ascii="仿宋_GB2312" w:hAnsi="宋体" w:eastAsia="仿宋_GB2312" w:cs="宋体"/>
                <w:kern w:val="0"/>
                <w:sz w:val="22"/>
                <w:szCs w:val="22"/>
              </w:rPr>
              <w:t xml:space="preserve"> </w:t>
            </w:r>
          </w:p>
        </w:tc>
        <w:tc>
          <w:tcPr>
            <w:tcW w:w="1791" w:type="dxa"/>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2120803</w:t>
            </w:r>
          </w:p>
        </w:tc>
        <w:tc>
          <w:tcPr>
            <w:tcW w:w="1957" w:type="dxa"/>
            <w:gridSpan w:val="2"/>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城市建设支出</w:t>
            </w:r>
          </w:p>
        </w:tc>
        <w:tc>
          <w:tcPr>
            <w:tcW w:w="1259" w:type="dxa"/>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r>
              <w:rPr>
                <w:rFonts w:hint="eastAsia" w:ascii="仿宋_GB2312" w:hAnsi="宋体" w:eastAsia="仿宋_GB2312" w:cs="宋体"/>
                <w:kern w:val="0"/>
                <w:sz w:val="22"/>
                <w:szCs w:val="22"/>
              </w:rPr>
              <w:t xml:space="preserve"> </w:t>
            </w: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r>
              <w:rPr>
                <w:rFonts w:hint="eastAsia" w:ascii="仿宋_GB2312" w:hAnsi="宋体" w:eastAsia="仿宋_GB2312" w:cs="宋体"/>
                <w:kern w:val="0"/>
                <w:sz w:val="22"/>
                <w:szCs w:val="22"/>
              </w:rPr>
              <w:t xml:space="preserve"> </w:t>
            </w:r>
          </w:p>
        </w:tc>
        <w:tc>
          <w:tcPr>
            <w:tcW w:w="1708" w:type="dxa"/>
            <w:tcBorders>
              <w:top w:val="single" w:color="auto" w:sz="4" w:space="0"/>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6599.68</w:t>
            </w:r>
            <w:r>
              <w:rPr>
                <w:rFonts w:hint="eastAsia" w:ascii="仿宋_GB2312" w:hAnsi="宋体" w:eastAsia="仿宋_GB2312" w:cs="宋体"/>
                <w:kern w:val="0"/>
                <w:sz w:val="22"/>
                <w:szCs w:val="22"/>
              </w:rPr>
              <w:t xml:space="preserve"> </w:t>
            </w:r>
          </w:p>
        </w:tc>
        <w:tc>
          <w:tcPr>
            <w:tcW w:w="1791" w:type="dxa"/>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21213</w:t>
            </w:r>
          </w:p>
        </w:tc>
        <w:tc>
          <w:tcPr>
            <w:tcW w:w="1957" w:type="dxa"/>
            <w:gridSpan w:val="2"/>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城市基础设施配套费安排的支出</w:t>
            </w:r>
          </w:p>
        </w:tc>
        <w:tc>
          <w:tcPr>
            <w:tcW w:w="1259" w:type="dxa"/>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3489.90</w:t>
            </w: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p>
        </w:tc>
        <w:tc>
          <w:tcPr>
            <w:tcW w:w="1791" w:type="dxa"/>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atLeast"/>
        </w:trPr>
        <w:tc>
          <w:tcPr>
            <w:tcW w:w="1372" w:type="dxa"/>
            <w:tcBorders>
              <w:top w:val="nil"/>
              <w:left w:val="single" w:color="auto" w:sz="4" w:space="0"/>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2121399</w:t>
            </w:r>
          </w:p>
        </w:tc>
        <w:tc>
          <w:tcPr>
            <w:tcW w:w="1957" w:type="dxa"/>
            <w:gridSpan w:val="2"/>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其他城市基础设施配套费安排的支出</w:t>
            </w:r>
          </w:p>
        </w:tc>
        <w:tc>
          <w:tcPr>
            <w:tcW w:w="1259" w:type="dxa"/>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c>
          <w:tcPr>
            <w:tcW w:w="1707"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r>
              <w:rPr>
                <w:rFonts w:hint="eastAsia" w:ascii="仿宋_GB2312" w:hAnsi="宋体" w:eastAsia="仿宋_GB2312" w:cs="宋体"/>
                <w:kern w:val="0"/>
                <w:sz w:val="22"/>
                <w:szCs w:val="22"/>
              </w:rPr>
              <w:t xml:space="preserve"> </w:t>
            </w: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r>
              <w:rPr>
                <w:rFonts w:hint="eastAsia" w:ascii="仿宋_GB2312" w:hAnsi="宋体" w:eastAsia="仿宋_GB2312" w:cs="宋体"/>
                <w:kern w:val="0"/>
                <w:sz w:val="22"/>
                <w:szCs w:val="22"/>
              </w:rPr>
              <w:t xml:space="preserve"> </w:t>
            </w: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p>
        </w:tc>
        <w:tc>
          <w:tcPr>
            <w:tcW w:w="1708" w:type="dxa"/>
            <w:tcBorders>
              <w:top w:val="nil"/>
              <w:left w:val="nil"/>
              <w:bottom w:val="single" w:color="auto" w:sz="4" w:space="0"/>
              <w:right w:val="single" w:color="auto" w:sz="4" w:space="0"/>
            </w:tcBorders>
            <w:vAlign w:val="center"/>
          </w:tcPr>
          <w:p>
            <w:pPr>
              <w:spacing w:line="300" w:lineRule="exact"/>
              <w:jc w:val="right"/>
              <w:rPr>
                <w:rFonts w:ascii="仿宋_GB2312" w:hAnsi="宋体" w:eastAsia="仿宋_GB2312" w:cs="宋体"/>
                <w:kern w:val="0"/>
                <w:sz w:val="22"/>
                <w:szCs w:val="22"/>
              </w:rPr>
            </w:pPr>
            <w:r>
              <w:rPr>
                <w:rFonts w:hint="default" w:ascii="仿宋_GB2312" w:hAnsi="宋体" w:eastAsia="仿宋_GB2312" w:cs="宋体"/>
                <w:kern w:val="0"/>
                <w:sz w:val="22"/>
                <w:szCs w:val="22"/>
                <w:lang w:val="en-US"/>
              </w:rPr>
              <w:t>3489.90</w:t>
            </w:r>
            <w:r>
              <w:rPr>
                <w:rFonts w:hint="eastAsia" w:ascii="仿宋_GB2312" w:hAnsi="宋体" w:eastAsia="仿宋_GB2312" w:cs="宋体"/>
                <w:kern w:val="0"/>
                <w:sz w:val="22"/>
                <w:szCs w:val="22"/>
              </w:rPr>
              <w:t xml:space="preserve"> </w:t>
            </w:r>
          </w:p>
        </w:tc>
        <w:tc>
          <w:tcPr>
            <w:tcW w:w="1791" w:type="dxa"/>
            <w:tcBorders>
              <w:top w:val="nil"/>
              <w:left w:val="nil"/>
              <w:bottom w:val="single" w:color="auto" w:sz="4" w:space="0"/>
              <w:right w:val="single" w:color="auto" w:sz="4" w:space="0"/>
            </w:tcBorders>
            <w:vAlign w:val="center"/>
          </w:tcPr>
          <w:p>
            <w:pPr>
              <w:spacing w:line="300" w:lineRule="exact"/>
              <w:jc w:val="left"/>
              <w:rPr>
                <w:rFonts w:ascii="仿宋_GB2312" w:hAnsi="宋体" w:eastAsia="仿宋_GB2312" w:cs="宋体"/>
                <w:kern w:val="0"/>
                <w:sz w:val="22"/>
                <w:szCs w:val="22"/>
              </w:rPr>
            </w:pPr>
          </w:p>
        </w:tc>
      </w:tr>
    </w:tbl>
    <w:p>
      <w:pPr>
        <w:ind w:firstLine="108" w:firstLineChars="50"/>
        <w:rPr>
          <w:rFonts w:ascii="仿宋_GB2312" w:hAnsi="宋体" w:eastAsia="仿宋_GB2312"/>
          <w:sz w:val="22"/>
          <w:szCs w:val="22"/>
        </w:rPr>
      </w:pPr>
      <w:r>
        <w:rPr>
          <w:rFonts w:hint="eastAsia" w:ascii="仿宋_GB2312" w:hAnsi="宋体" w:eastAsia="仿宋_GB2312"/>
          <w:sz w:val="22"/>
          <w:szCs w:val="22"/>
        </w:rPr>
        <w:t>注：本表反映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本年度政府性基金预算财政拨款收入、支出及结转和结余情况。</w:t>
      </w:r>
    </w:p>
    <w:p>
      <w:pPr>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ascii="方正小标宋简体" w:eastAsia="方正小标宋简体"/>
          <w:sz w:val="44"/>
          <w:szCs w:val="44"/>
        </w:rPr>
      </w:pPr>
      <w:r>
        <w:rPr>
          <w:rFonts w:hint="eastAsia" w:ascii="方正小标宋简体" w:eastAsia="方正小标宋简体"/>
          <w:sz w:val="44"/>
          <w:szCs w:val="44"/>
        </w:rPr>
        <w:t>国有资本经营预算财政拨款支出决算表</w:t>
      </w:r>
    </w:p>
    <w:p>
      <w:pPr>
        <w:spacing w:line="400" w:lineRule="exact"/>
        <w:jc w:val="right"/>
        <w:rPr>
          <w:rFonts w:ascii="楷体_GB2312" w:eastAsia="楷体_GB2312"/>
          <w:sz w:val="28"/>
          <w:szCs w:val="28"/>
        </w:rPr>
      </w:pPr>
      <w:r>
        <w:rPr>
          <w:rFonts w:hint="eastAsia" w:ascii="楷体_GB2312" w:eastAsia="楷体_GB2312"/>
          <w:sz w:val="28"/>
          <w:szCs w:val="28"/>
        </w:rPr>
        <w:t>公开09表</w:t>
      </w:r>
    </w:p>
    <w:p>
      <w:pPr>
        <w:wordWrap w:val="0"/>
        <w:spacing w:line="400" w:lineRule="exact"/>
        <w:ind w:firstLine="138" w:firstLineChars="50"/>
        <w:jc w:val="right"/>
        <w:rPr>
          <w:rFonts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 xml:space="preserve">：山东省即墨经济开发区管理委员会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7"/>
        <w:tblW w:w="0" w:type="auto"/>
        <w:jc w:val="center"/>
        <w:tblLayout w:type="fixed"/>
        <w:tblCellMar>
          <w:top w:w="0" w:type="dxa"/>
          <w:left w:w="108" w:type="dxa"/>
          <w:bottom w:w="0" w:type="dxa"/>
          <w:right w:w="108" w:type="dxa"/>
        </w:tblCellMar>
      </w:tblPr>
      <w:tblGrid>
        <w:gridCol w:w="1701"/>
        <w:gridCol w:w="3170"/>
        <w:gridCol w:w="2783"/>
        <w:gridCol w:w="2978"/>
        <w:gridCol w:w="2520"/>
      </w:tblGrid>
      <w:tr>
        <w:tblPrEx>
          <w:tblCellMar>
            <w:top w:w="0" w:type="dxa"/>
            <w:left w:w="108" w:type="dxa"/>
            <w:bottom w:w="0" w:type="dxa"/>
            <w:right w:w="108" w:type="dxa"/>
          </w:tblCellMar>
        </w:tblPrEx>
        <w:trPr>
          <w:trHeight w:val="428" w:hRule="atLeast"/>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项       目</w:t>
            </w:r>
          </w:p>
        </w:tc>
        <w:tc>
          <w:tcPr>
            <w:tcW w:w="8281"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本年支出</w:t>
            </w:r>
          </w:p>
        </w:tc>
      </w:tr>
      <w:tr>
        <w:tblPrEx>
          <w:tblCellMar>
            <w:top w:w="0" w:type="dxa"/>
            <w:left w:w="108" w:type="dxa"/>
            <w:bottom w:w="0" w:type="dxa"/>
            <w:right w:w="108" w:type="dxa"/>
          </w:tblCellMar>
        </w:tblPrEx>
        <w:trPr>
          <w:trHeight w:val="675" w:hRule="exact"/>
          <w:jc w:val="center"/>
        </w:trPr>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功能分类</w:t>
            </w:r>
          </w:p>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科目编码</w:t>
            </w:r>
          </w:p>
        </w:tc>
        <w:tc>
          <w:tcPr>
            <w:tcW w:w="317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科目名称</w:t>
            </w:r>
          </w:p>
        </w:tc>
        <w:tc>
          <w:tcPr>
            <w:tcW w:w="278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297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基本支出</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项目支出</w:t>
            </w:r>
          </w:p>
        </w:tc>
      </w:tr>
      <w:tr>
        <w:tblPrEx>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栏  次</w:t>
            </w: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3</w:t>
            </w:r>
          </w:p>
        </w:tc>
      </w:tr>
      <w:tr>
        <w:tblPrEx>
          <w:tblCellMar>
            <w:top w:w="0" w:type="dxa"/>
            <w:left w:w="108" w:type="dxa"/>
            <w:bottom w:w="0" w:type="dxa"/>
            <w:right w:w="108" w:type="dxa"/>
          </w:tblCellMar>
        </w:tblPrEx>
        <w:trPr>
          <w:trHeight w:val="454" w:hRule="exact"/>
          <w:jc w:val="center"/>
        </w:trPr>
        <w:tc>
          <w:tcPr>
            <w:tcW w:w="487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合  计</w:t>
            </w:r>
          </w:p>
        </w:tc>
        <w:tc>
          <w:tcPr>
            <w:tcW w:w="2783"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2978"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vAlign w:val="center"/>
          </w:tcPr>
          <w:p>
            <w:pPr>
              <w:widowControl/>
              <w:spacing w:line="300" w:lineRule="exact"/>
              <w:jc w:val="center"/>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r>
        <w:tblPrEx>
          <w:tblCellMar>
            <w:top w:w="0" w:type="dxa"/>
            <w:left w:w="108" w:type="dxa"/>
            <w:bottom w:w="0" w:type="dxa"/>
            <w:right w:w="108" w:type="dxa"/>
          </w:tblCellMar>
        </w:tblPrEx>
        <w:trPr>
          <w:trHeight w:val="454" w:hRule="exact"/>
          <w:jc w:val="center"/>
        </w:trPr>
        <w:tc>
          <w:tcPr>
            <w:tcW w:w="1701"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317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783"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978"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c>
          <w:tcPr>
            <w:tcW w:w="2520" w:type="dxa"/>
            <w:tcBorders>
              <w:top w:val="nil"/>
              <w:left w:val="nil"/>
              <w:bottom w:val="single" w:color="auto" w:sz="4" w:space="0"/>
              <w:right w:val="single" w:color="auto" w:sz="4" w:space="0"/>
            </w:tcBorders>
            <w:vAlign w:val="center"/>
          </w:tcPr>
          <w:p>
            <w:pPr>
              <w:widowControl/>
              <w:spacing w:line="300" w:lineRule="exact"/>
              <w:jc w:val="left"/>
              <w:rPr>
                <w:rFonts w:ascii="仿宋_GB2312" w:hAnsi="宋体" w:eastAsia="仿宋_GB2312" w:cs="宋体"/>
                <w:kern w:val="0"/>
                <w:sz w:val="22"/>
                <w:szCs w:val="22"/>
              </w:rPr>
            </w:pPr>
            <w:r>
              <w:rPr>
                <w:rFonts w:hint="eastAsia" w:ascii="仿宋_GB2312" w:hAnsi="宋体" w:eastAsia="仿宋_GB2312" w:cs="宋体"/>
                <w:kern w:val="0"/>
                <w:sz w:val="22"/>
                <w:szCs w:val="22"/>
              </w:rPr>
              <w:t>　</w:t>
            </w:r>
          </w:p>
        </w:tc>
      </w:tr>
    </w:tbl>
    <w:p>
      <w:pPr>
        <w:spacing w:line="400" w:lineRule="exact"/>
        <w:ind w:firstLine="108" w:firstLineChars="50"/>
        <w:jc w:val="left"/>
        <w:rPr>
          <w:rFonts w:ascii="仿宋_GB2312" w:hAnsi="宋体" w:eastAsia="仿宋_GB2312"/>
          <w:sz w:val="22"/>
          <w:szCs w:val="22"/>
        </w:rPr>
      </w:pPr>
      <w:r>
        <w:rPr>
          <w:rFonts w:hint="eastAsia" w:ascii="仿宋_GB2312" w:hAnsi="宋体" w:eastAsia="仿宋_GB2312"/>
          <w:sz w:val="22"/>
          <w:szCs w:val="22"/>
        </w:rPr>
        <w:t>注：1.本表反映</w:t>
      </w:r>
      <w:r>
        <w:rPr>
          <w:rFonts w:hint="eastAsia" w:ascii="仿宋_GB2312" w:hAnsi="宋体" w:eastAsia="仿宋_GB2312"/>
          <w:sz w:val="22"/>
          <w:szCs w:val="22"/>
          <w:lang w:eastAsia="zh-CN"/>
        </w:rPr>
        <w:t>单位</w:t>
      </w:r>
      <w:r>
        <w:rPr>
          <w:rFonts w:hint="eastAsia" w:ascii="仿宋_GB2312" w:hAnsi="宋体" w:eastAsia="仿宋_GB2312"/>
          <w:sz w:val="22"/>
          <w:szCs w:val="22"/>
        </w:rPr>
        <w:t>本年度国有资本经营预算财政拨款支出情况。2.本</w:t>
      </w:r>
      <w:r>
        <w:rPr>
          <w:rFonts w:hint="eastAsia" w:ascii="仿宋_GB2312" w:hAnsi="宋体" w:eastAsia="仿宋_GB2312"/>
          <w:sz w:val="22"/>
          <w:szCs w:val="22"/>
          <w:lang w:eastAsia="zh-CN"/>
        </w:rPr>
        <w:t>单位</w:t>
      </w:r>
      <w:r>
        <w:rPr>
          <w:rFonts w:hint="eastAsia" w:ascii="仿宋_GB2312" w:hAnsi="宋体" w:eastAsia="仿宋_GB2312"/>
          <w:sz w:val="22"/>
          <w:szCs w:val="22"/>
        </w:rPr>
        <w:t>没有使用国有资本经营预算安排的支出，故本表无数据。</w:t>
      </w:r>
    </w:p>
    <w:p>
      <w:pPr>
        <w:jc w:val="center"/>
        <w:rPr>
          <w:rFonts w:ascii="方正小标宋简体" w:eastAsia="方正小标宋简体"/>
          <w:sz w:val="44"/>
          <w:szCs w:val="44"/>
        </w:rPr>
      </w:pPr>
      <w:r>
        <w:rPr>
          <w:rFonts w:hint="eastAsia" w:ascii="方正小标宋简体" w:eastAsia="方正小标宋简体"/>
          <w:sz w:val="44"/>
          <w:szCs w:val="44"/>
        </w:rPr>
        <w:t>财政拨款“三公”经费支出决算表</w:t>
      </w:r>
    </w:p>
    <w:p>
      <w:pPr>
        <w:wordWrap w:val="0"/>
        <w:spacing w:line="400" w:lineRule="exact"/>
        <w:jc w:val="right"/>
        <w:rPr>
          <w:rFonts w:ascii="楷体_GB2312" w:eastAsia="楷体_GB2312"/>
          <w:sz w:val="28"/>
          <w:szCs w:val="28"/>
        </w:rPr>
      </w:pPr>
      <w:r>
        <w:rPr>
          <w:rFonts w:hint="eastAsia" w:ascii="方正小标宋简体" w:eastAsia="方正小标宋简体"/>
          <w:sz w:val="44"/>
          <w:szCs w:val="44"/>
        </w:rPr>
        <w:t>　</w:t>
      </w:r>
      <w:r>
        <w:rPr>
          <w:rFonts w:hint="eastAsia" w:ascii="楷体_GB2312" w:eastAsia="楷体_GB2312"/>
          <w:sz w:val="28"/>
          <w:szCs w:val="28"/>
        </w:rPr>
        <w:t xml:space="preserve">   </w:t>
      </w:r>
      <w:r>
        <w:rPr>
          <w:rFonts w:ascii="楷体_GB2312" w:eastAsia="楷体_GB2312"/>
          <w:sz w:val="28"/>
          <w:szCs w:val="28"/>
        </w:rPr>
        <w:t xml:space="preserve">          </w:t>
      </w:r>
      <w:r>
        <w:rPr>
          <w:rFonts w:hint="eastAsia" w:ascii="楷体_GB2312" w:eastAsia="楷体_GB2312"/>
          <w:sz w:val="28"/>
          <w:szCs w:val="28"/>
        </w:rPr>
        <w:t>公开07表</w:t>
      </w:r>
    </w:p>
    <w:p>
      <w:pPr>
        <w:spacing w:line="400" w:lineRule="exact"/>
        <w:ind w:firstLine="138" w:firstLineChars="50"/>
        <w:jc w:val="right"/>
        <w:rPr>
          <w:rFonts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 xml:space="preserve">：山东省即墨经济开发区管理委员会                            </w:t>
      </w:r>
      <w:r>
        <w:rPr>
          <w:rFonts w:ascii="楷体_GB2312" w:eastAsia="楷体_GB2312"/>
          <w:sz w:val="28"/>
          <w:szCs w:val="28"/>
        </w:rPr>
        <w:t xml:space="preserve"> </w:t>
      </w:r>
      <w:r>
        <w:rPr>
          <w:rFonts w:hint="eastAsia" w:ascii="楷体_GB2312" w:eastAsia="楷体_GB2312"/>
          <w:sz w:val="28"/>
          <w:szCs w:val="28"/>
        </w:rPr>
        <w:t xml:space="preserve">                 金额单位：万元</w:t>
      </w:r>
    </w:p>
    <w:tbl>
      <w:tblPr>
        <w:tblStyle w:val="7"/>
        <w:tblW w:w="0" w:type="auto"/>
        <w:jc w:val="center"/>
        <w:tblLayout w:type="fixed"/>
        <w:tblCellMar>
          <w:top w:w="0" w:type="dxa"/>
          <w:left w:w="108" w:type="dxa"/>
          <w:bottom w:w="0" w:type="dxa"/>
          <w:right w:w="108" w:type="dxa"/>
        </w:tblCellMar>
      </w:tblPr>
      <w:tblGrid>
        <w:gridCol w:w="1179"/>
        <w:gridCol w:w="1195"/>
        <w:gridCol w:w="1180"/>
        <w:gridCol w:w="1180"/>
        <w:gridCol w:w="1272"/>
        <w:gridCol w:w="878"/>
        <w:gridCol w:w="1098"/>
        <w:gridCol w:w="1143"/>
        <w:gridCol w:w="851"/>
        <w:gridCol w:w="1132"/>
        <w:gridCol w:w="1164"/>
        <w:gridCol w:w="984"/>
      </w:tblGrid>
      <w:tr>
        <w:tblPrEx>
          <w:tblCellMar>
            <w:top w:w="0" w:type="dxa"/>
            <w:left w:w="108" w:type="dxa"/>
            <w:bottom w:w="0" w:type="dxa"/>
            <w:right w:w="108" w:type="dxa"/>
          </w:tblCellMar>
        </w:tblPrEx>
        <w:trPr>
          <w:trHeight w:val="862" w:hRule="atLeast"/>
          <w:jc w:val="center"/>
        </w:trPr>
        <w:tc>
          <w:tcPr>
            <w:tcW w:w="6884" w:type="dxa"/>
            <w:gridSpan w:val="6"/>
            <w:tcBorders>
              <w:top w:val="single" w:color="auto" w:sz="8" w:space="0"/>
              <w:left w:val="single" w:color="auto" w:sz="8" w:space="0"/>
              <w:bottom w:val="single" w:color="auto" w:sz="4"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预 算 数</w:t>
            </w:r>
          </w:p>
        </w:tc>
        <w:tc>
          <w:tcPr>
            <w:tcW w:w="6372"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决 算 数　</w:t>
            </w:r>
          </w:p>
        </w:tc>
      </w:tr>
      <w:tr>
        <w:tblPrEx>
          <w:tblCellMar>
            <w:top w:w="0" w:type="dxa"/>
            <w:left w:w="108" w:type="dxa"/>
            <w:bottom w:w="0" w:type="dxa"/>
            <w:right w:w="108" w:type="dxa"/>
          </w:tblCellMar>
        </w:tblPrEx>
        <w:trPr>
          <w:trHeight w:val="862" w:hRule="atLeast"/>
          <w:jc w:val="center"/>
        </w:trPr>
        <w:tc>
          <w:tcPr>
            <w:tcW w:w="1179" w:type="dxa"/>
            <w:vMerge w:val="restart"/>
            <w:tcBorders>
              <w:top w:val="nil"/>
              <w:left w:val="single" w:color="auto" w:sz="8"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合计</w:t>
            </w:r>
          </w:p>
        </w:tc>
        <w:tc>
          <w:tcPr>
            <w:tcW w:w="1195"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因公出国（境）费</w:t>
            </w:r>
          </w:p>
        </w:tc>
        <w:tc>
          <w:tcPr>
            <w:tcW w:w="3632"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公务用车购置及运行维护费</w:t>
            </w:r>
          </w:p>
        </w:tc>
        <w:tc>
          <w:tcPr>
            <w:tcW w:w="878" w:type="dxa"/>
            <w:vMerge w:val="restart"/>
            <w:tcBorders>
              <w:top w:val="nil"/>
              <w:left w:val="single" w:color="auto" w:sz="4" w:space="0"/>
              <w:bottom w:val="single" w:color="auto" w:sz="4"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公务</w:t>
            </w:r>
          </w:p>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接待费</w:t>
            </w:r>
          </w:p>
        </w:tc>
        <w:tc>
          <w:tcPr>
            <w:tcW w:w="109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合计</w:t>
            </w:r>
          </w:p>
        </w:tc>
        <w:tc>
          <w:tcPr>
            <w:tcW w:w="1143"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因公出国（境）费</w:t>
            </w:r>
          </w:p>
        </w:tc>
        <w:tc>
          <w:tcPr>
            <w:tcW w:w="3147"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公务用车购置及运行维护费</w:t>
            </w:r>
          </w:p>
        </w:tc>
        <w:tc>
          <w:tcPr>
            <w:tcW w:w="984"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公务</w:t>
            </w:r>
          </w:p>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接待费</w:t>
            </w:r>
          </w:p>
        </w:tc>
      </w:tr>
      <w:tr>
        <w:tblPrEx>
          <w:tblCellMar>
            <w:top w:w="0" w:type="dxa"/>
            <w:left w:w="108" w:type="dxa"/>
            <w:bottom w:w="0" w:type="dxa"/>
            <w:right w:w="108" w:type="dxa"/>
          </w:tblCellMar>
        </w:tblPrEx>
        <w:trPr>
          <w:trHeight w:val="862" w:hRule="atLeast"/>
          <w:jc w:val="center"/>
        </w:trPr>
        <w:tc>
          <w:tcPr>
            <w:tcW w:w="1179" w:type="dxa"/>
            <w:vMerge w:val="continue"/>
            <w:tcBorders>
              <w:top w:val="nil"/>
              <w:left w:val="single" w:color="auto" w:sz="8"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2"/>
                <w:szCs w:val="22"/>
              </w:rPr>
            </w:pPr>
          </w:p>
        </w:tc>
        <w:tc>
          <w:tcPr>
            <w:tcW w:w="1195"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00" w:lineRule="exact"/>
              <w:jc w:val="left"/>
              <w:rPr>
                <w:rFonts w:ascii="仿宋_GB2312" w:hAnsi="宋体" w:eastAsia="仿宋_GB2312" w:cs="宋体"/>
                <w:kern w:val="0"/>
                <w:sz w:val="22"/>
                <w:szCs w:val="22"/>
              </w:rPr>
            </w:pPr>
          </w:p>
        </w:tc>
        <w:tc>
          <w:tcPr>
            <w:tcW w:w="118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180"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公务用车购置费</w:t>
            </w:r>
          </w:p>
        </w:tc>
        <w:tc>
          <w:tcPr>
            <w:tcW w:w="1272" w:type="dxa"/>
            <w:tcBorders>
              <w:top w:val="nil"/>
              <w:left w:val="nil"/>
              <w:bottom w:val="single" w:color="auto" w:sz="4"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公务用车运行维护费</w:t>
            </w:r>
          </w:p>
        </w:tc>
        <w:tc>
          <w:tcPr>
            <w:tcW w:w="878" w:type="dxa"/>
            <w:vMerge w:val="continue"/>
            <w:tcBorders>
              <w:top w:val="nil"/>
              <w:left w:val="single" w:color="auto" w:sz="4" w:space="0"/>
              <w:bottom w:val="single" w:color="auto" w:sz="4" w:space="0"/>
              <w:right w:val="single" w:color="000000" w:sz="8" w:space="0"/>
            </w:tcBorders>
            <w:shd w:val="clear" w:color="auto" w:fill="auto"/>
            <w:vAlign w:val="center"/>
          </w:tcPr>
          <w:p>
            <w:pPr>
              <w:widowControl/>
              <w:spacing w:line="300" w:lineRule="exact"/>
              <w:jc w:val="left"/>
              <w:rPr>
                <w:rFonts w:ascii="仿宋_GB2312" w:hAnsi="宋体" w:eastAsia="仿宋_GB2312" w:cs="宋体"/>
                <w:kern w:val="0"/>
                <w:sz w:val="22"/>
                <w:szCs w:val="22"/>
              </w:rPr>
            </w:pPr>
          </w:p>
        </w:tc>
        <w:tc>
          <w:tcPr>
            <w:tcW w:w="109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00" w:lineRule="exact"/>
              <w:jc w:val="left"/>
              <w:rPr>
                <w:rFonts w:ascii="仿宋_GB2312" w:hAnsi="宋体" w:eastAsia="仿宋_GB2312" w:cs="宋体"/>
                <w:kern w:val="0"/>
                <w:sz w:val="22"/>
                <w:szCs w:val="22"/>
              </w:rPr>
            </w:pPr>
          </w:p>
        </w:tc>
        <w:tc>
          <w:tcPr>
            <w:tcW w:w="1143"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line="300" w:lineRule="exact"/>
              <w:jc w:val="left"/>
              <w:rPr>
                <w:rFonts w:ascii="仿宋_GB2312" w:hAnsi="宋体" w:eastAsia="仿宋_GB2312" w:cs="宋体"/>
                <w:kern w:val="0"/>
                <w:sz w:val="22"/>
                <w:szCs w:val="22"/>
              </w:rPr>
            </w:pP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小计</w:t>
            </w:r>
          </w:p>
        </w:tc>
        <w:tc>
          <w:tcPr>
            <w:tcW w:w="113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公务用车购置费</w:t>
            </w:r>
          </w:p>
        </w:tc>
        <w:tc>
          <w:tcPr>
            <w:tcW w:w="116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公务用车运行维护费</w:t>
            </w:r>
          </w:p>
        </w:tc>
        <w:tc>
          <w:tcPr>
            <w:tcW w:w="98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left"/>
              <w:rPr>
                <w:rFonts w:ascii="仿宋_GB2312" w:hAnsi="宋体" w:eastAsia="仿宋_GB2312" w:cs="宋体"/>
                <w:kern w:val="0"/>
                <w:sz w:val="22"/>
                <w:szCs w:val="22"/>
              </w:rPr>
            </w:pPr>
          </w:p>
        </w:tc>
      </w:tr>
      <w:tr>
        <w:tblPrEx>
          <w:tblCellMar>
            <w:top w:w="0" w:type="dxa"/>
            <w:left w:w="108" w:type="dxa"/>
            <w:bottom w:w="0" w:type="dxa"/>
            <w:right w:w="108" w:type="dxa"/>
          </w:tblCellMar>
        </w:tblPrEx>
        <w:trPr>
          <w:trHeight w:val="623" w:hRule="atLeast"/>
          <w:jc w:val="center"/>
        </w:trPr>
        <w:tc>
          <w:tcPr>
            <w:tcW w:w="1179" w:type="dxa"/>
            <w:tcBorders>
              <w:top w:val="nil"/>
              <w:left w:val="single" w:color="auto" w:sz="8" w:space="0"/>
              <w:bottom w:val="single" w:color="auto" w:sz="8"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w:t>
            </w:r>
          </w:p>
        </w:tc>
        <w:tc>
          <w:tcPr>
            <w:tcW w:w="1195" w:type="dxa"/>
            <w:tcBorders>
              <w:top w:val="nil"/>
              <w:left w:val="nil"/>
              <w:bottom w:val="single" w:color="auto" w:sz="8"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2</w:t>
            </w:r>
          </w:p>
        </w:tc>
        <w:tc>
          <w:tcPr>
            <w:tcW w:w="1180" w:type="dxa"/>
            <w:tcBorders>
              <w:top w:val="nil"/>
              <w:left w:val="nil"/>
              <w:bottom w:val="single" w:color="auto" w:sz="8"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3</w:t>
            </w:r>
          </w:p>
        </w:tc>
        <w:tc>
          <w:tcPr>
            <w:tcW w:w="1180" w:type="dxa"/>
            <w:tcBorders>
              <w:top w:val="nil"/>
              <w:left w:val="nil"/>
              <w:bottom w:val="single" w:color="auto" w:sz="8"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4</w:t>
            </w:r>
          </w:p>
        </w:tc>
        <w:tc>
          <w:tcPr>
            <w:tcW w:w="1272" w:type="dxa"/>
            <w:tcBorders>
              <w:top w:val="nil"/>
              <w:left w:val="nil"/>
              <w:bottom w:val="single" w:color="auto" w:sz="8" w:space="0"/>
              <w:right w:val="single" w:color="auto" w:sz="4"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5</w:t>
            </w:r>
          </w:p>
        </w:tc>
        <w:tc>
          <w:tcPr>
            <w:tcW w:w="878" w:type="dxa"/>
            <w:tcBorders>
              <w:top w:val="nil"/>
              <w:left w:val="nil"/>
              <w:bottom w:val="single" w:color="auto"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6</w:t>
            </w:r>
          </w:p>
        </w:tc>
        <w:tc>
          <w:tcPr>
            <w:tcW w:w="1098"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7</w:t>
            </w:r>
          </w:p>
        </w:tc>
        <w:tc>
          <w:tcPr>
            <w:tcW w:w="1143"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8</w:t>
            </w: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9</w:t>
            </w:r>
          </w:p>
        </w:tc>
        <w:tc>
          <w:tcPr>
            <w:tcW w:w="113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10</w:t>
            </w:r>
          </w:p>
        </w:tc>
        <w:tc>
          <w:tcPr>
            <w:tcW w:w="116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11</w:t>
            </w:r>
          </w:p>
        </w:tc>
        <w:tc>
          <w:tcPr>
            <w:tcW w:w="98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12</w:t>
            </w:r>
          </w:p>
        </w:tc>
      </w:tr>
      <w:tr>
        <w:tblPrEx>
          <w:tblCellMar>
            <w:top w:w="0" w:type="dxa"/>
            <w:left w:w="108" w:type="dxa"/>
            <w:bottom w:w="0" w:type="dxa"/>
            <w:right w:w="108" w:type="dxa"/>
          </w:tblCellMar>
        </w:tblPrEx>
        <w:trPr>
          <w:trHeight w:val="1296" w:hRule="atLeast"/>
          <w:jc w:val="center"/>
        </w:trPr>
        <w:tc>
          <w:tcPr>
            <w:tcW w:w="1179" w:type="dxa"/>
            <w:tcBorders>
              <w:top w:val="nil"/>
              <w:left w:val="single" w:color="auto" w:sz="8" w:space="0"/>
              <w:bottom w:val="single" w:color="auto" w:sz="8" w:space="0"/>
              <w:right w:val="single" w:color="auto" w:sz="4"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0.51</w:t>
            </w:r>
          </w:p>
        </w:tc>
        <w:tc>
          <w:tcPr>
            <w:tcW w:w="1195" w:type="dxa"/>
            <w:tcBorders>
              <w:top w:val="nil"/>
              <w:left w:val="nil"/>
              <w:bottom w:val="single" w:color="auto" w:sz="8" w:space="0"/>
              <w:right w:val="single" w:color="auto" w:sz="4"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w:t>
            </w:r>
          </w:p>
        </w:tc>
        <w:tc>
          <w:tcPr>
            <w:tcW w:w="1180" w:type="dxa"/>
            <w:tcBorders>
              <w:top w:val="nil"/>
              <w:left w:val="nil"/>
              <w:bottom w:val="single" w:color="auto" w:sz="8" w:space="0"/>
              <w:right w:val="single" w:color="auto" w:sz="4"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0.39</w:t>
            </w:r>
          </w:p>
        </w:tc>
        <w:tc>
          <w:tcPr>
            <w:tcW w:w="1180" w:type="dxa"/>
            <w:tcBorders>
              <w:top w:val="nil"/>
              <w:left w:val="nil"/>
              <w:bottom w:val="single" w:color="auto" w:sz="8" w:space="0"/>
              <w:right w:val="single" w:color="auto" w:sz="4"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w:t>
            </w:r>
          </w:p>
        </w:tc>
        <w:tc>
          <w:tcPr>
            <w:tcW w:w="1272" w:type="dxa"/>
            <w:tcBorders>
              <w:top w:val="nil"/>
              <w:left w:val="nil"/>
              <w:bottom w:val="single" w:color="auto" w:sz="8" w:space="0"/>
              <w:right w:val="single" w:color="auto" w:sz="4"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0.39</w:t>
            </w:r>
          </w:p>
        </w:tc>
        <w:tc>
          <w:tcPr>
            <w:tcW w:w="878" w:type="dxa"/>
            <w:tcBorders>
              <w:top w:val="nil"/>
              <w:left w:val="nil"/>
              <w:bottom w:val="single" w:color="auto" w:sz="8" w:space="0"/>
              <w:right w:val="single" w:color="000000" w:sz="8"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0.13</w:t>
            </w:r>
          </w:p>
        </w:tc>
        <w:tc>
          <w:tcPr>
            <w:tcW w:w="1098"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0.51</w:t>
            </w:r>
          </w:p>
        </w:tc>
        <w:tc>
          <w:tcPr>
            <w:tcW w:w="1143"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w:t>
            </w: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0.39</w:t>
            </w:r>
          </w:p>
        </w:tc>
        <w:tc>
          <w:tcPr>
            <w:tcW w:w="1132"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w:t>
            </w:r>
          </w:p>
        </w:tc>
        <w:tc>
          <w:tcPr>
            <w:tcW w:w="116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0.39</w:t>
            </w:r>
          </w:p>
        </w:tc>
        <w:tc>
          <w:tcPr>
            <w:tcW w:w="984"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00" w:lineRule="exact"/>
              <w:jc w:val="right"/>
              <w:rPr>
                <w:rFonts w:hint="default" w:ascii="仿宋_GB2312" w:hAnsi="宋体" w:eastAsia="仿宋_GB2312" w:cs="宋体"/>
                <w:kern w:val="0"/>
                <w:sz w:val="22"/>
                <w:szCs w:val="22"/>
                <w:lang w:val="en-US"/>
              </w:rPr>
            </w:pPr>
            <w:r>
              <w:rPr>
                <w:rFonts w:hint="default" w:ascii="仿宋_GB2312" w:hAnsi="宋体" w:eastAsia="仿宋_GB2312" w:cs="宋体"/>
                <w:kern w:val="0"/>
                <w:sz w:val="22"/>
                <w:szCs w:val="22"/>
                <w:lang w:val="en-US"/>
              </w:rPr>
              <w:t>0.13</w:t>
            </w:r>
          </w:p>
        </w:tc>
      </w:tr>
    </w:tbl>
    <w:p>
      <w:pPr>
        <w:spacing w:line="440" w:lineRule="exact"/>
        <w:ind w:firstLine="108" w:firstLineChars="50"/>
        <w:rPr>
          <w:rFonts w:hint="eastAsia" w:ascii="仿宋_GB2312" w:hAnsi="宋体" w:eastAsia="仿宋_GB2312"/>
          <w:sz w:val="22"/>
          <w:szCs w:val="22"/>
        </w:rPr>
      </w:pPr>
      <w:r>
        <w:rPr>
          <w:rFonts w:hint="eastAsia" w:ascii="仿宋_GB2312" w:hAnsi="宋体" w:eastAsia="仿宋_GB2312"/>
          <w:sz w:val="22"/>
          <w:szCs w:val="22"/>
        </w:rPr>
        <w:t>注：本表反映部门本年度财政拨款“三公”经费支出预决算情况。其中，预算数为“三公”经费全年预算数，反映按规定程序调整后的预算数；决算数是包括当年财政拨款和以前年度结转资金安排的实际支出。</w:t>
      </w:r>
      <w:r>
        <w:rPr>
          <w:rFonts w:hint="eastAsia" w:ascii="仿宋_GB2312" w:hAnsi="宋体" w:eastAsia="仿宋_GB2312"/>
          <w:sz w:val="22"/>
          <w:szCs w:val="22"/>
        </w:rPr>
        <w:tab/>
      </w:r>
    </w:p>
    <w:p>
      <w:pPr>
        <w:spacing w:line="400" w:lineRule="exact"/>
        <w:ind w:firstLine="108" w:firstLineChars="50"/>
        <w:jc w:val="left"/>
        <w:rPr>
          <w:rFonts w:ascii="仿宋_GB2312" w:hAnsi="宋体" w:eastAsia="仿宋_GB2312"/>
          <w:sz w:val="22"/>
          <w:szCs w:val="22"/>
        </w:rPr>
        <w:sectPr>
          <w:pgSz w:w="16838" w:h="11906" w:orient="landscape"/>
          <w:pgMar w:top="1531" w:right="1701" w:bottom="1531" w:left="1701" w:header="0" w:footer="1418" w:gutter="0"/>
          <w:cols w:space="720" w:num="1"/>
          <w:docGrid w:type="linesAndChars" w:linePitch="610" w:charSpace="-849"/>
        </w:sectPr>
      </w:pPr>
    </w:p>
    <w:p>
      <w:pPr>
        <w:jc w:val="center"/>
        <w:rPr>
          <w:rFonts w:ascii="方正小标宋简体" w:eastAsia="方正小标宋简体"/>
          <w:sz w:val="42"/>
        </w:rPr>
      </w:pPr>
    </w:p>
    <w:p>
      <w:pPr>
        <w:jc w:val="center"/>
        <w:rPr>
          <w:rFonts w:ascii="方正小标宋简体" w:eastAsia="方正小标宋简体"/>
          <w:sz w:val="42"/>
        </w:rPr>
      </w:pPr>
    </w:p>
    <w:p>
      <w:pPr>
        <w:jc w:val="center"/>
        <w:rPr>
          <w:rFonts w:ascii="方正小标宋简体" w:eastAsia="方正小标宋简体"/>
          <w:sz w:val="42"/>
        </w:rPr>
      </w:pPr>
    </w:p>
    <w:p>
      <w:pPr>
        <w:ind w:firstLine="536" w:firstLineChars="100"/>
        <w:rPr>
          <w:rFonts w:ascii="方正小标宋简体" w:eastAsia="方正小标宋简体"/>
          <w:spacing w:val="60"/>
          <w:sz w:val="42"/>
        </w:rPr>
      </w:pPr>
      <w:r>
        <w:rPr>
          <w:rFonts w:hint="eastAsia" w:ascii="方正小标宋简体" w:eastAsia="方正小标宋简体"/>
          <w:spacing w:val="60"/>
          <w:sz w:val="42"/>
        </w:rPr>
        <w:t>第三部分</w:t>
      </w:r>
    </w:p>
    <w:p>
      <w:pPr>
        <w:spacing w:line="800" w:lineRule="exact"/>
        <w:jc w:val="center"/>
        <w:rPr>
          <w:rFonts w:ascii="方正小标宋简体" w:eastAsia="方正小标宋简体"/>
          <w:spacing w:val="60"/>
          <w:sz w:val="48"/>
        </w:rPr>
      </w:pPr>
    </w:p>
    <w:p>
      <w:pPr>
        <w:spacing w:line="800" w:lineRule="exact"/>
        <w:jc w:val="center"/>
        <w:rPr>
          <w:rFonts w:ascii="方正小标宋简体" w:eastAsia="方正小标宋简体"/>
          <w:spacing w:val="60"/>
          <w:sz w:val="48"/>
        </w:rPr>
      </w:pPr>
    </w:p>
    <w:p>
      <w:pPr>
        <w:spacing w:line="800" w:lineRule="exact"/>
        <w:jc w:val="center"/>
        <w:rPr>
          <w:rFonts w:ascii="方正小标宋简体" w:eastAsia="方正小标宋简体"/>
          <w:spacing w:val="60"/>
          <w:sz w:val="48"/>
        </w:rPr>
        <w:sectPr>
          <w:pgSz w:w="11906" w:h="16838"/>
          <w:pgMar w:top="1701" w:right="1531" w:bottom="1701" w:left="1531" w:header="0" w:footer="1418" w:gutter="0"/>
          <w:cols w:space="720" w:num="1"/>
          <w:docGrid w:type="linesAndChars" w:linePitch="610" w:charSpace="-849"/>
        </w:sectPr>
      </w:pPr>
      <w:r>
        <w:rPr>
          <w:rFonts w:hint="eastAsia" w:ascii="方正小标宋简体" w:eastAsia="方正小标宋简体"/>
          <w:spacing w:val="60"/>
          <w:sz w:val="48"/>
        </w:rPr>
        <w:t>202</w:t>
      </w:r>
      <w:r>
        <w:rPr>
          <w:rFonts w:hint="eastAsia" w:ascii="方正小标宋简体" w:eastAsia="方正小标宋简体"/>
          <w:spacing w:val="60"/>
          <w:sz w:val="48"/>
          <w:lang w:val="en-US" w:eastAsia="zh-CN"/>
        </w:rPr>
        <w:t>2</w:t>
      </w:r>
      <w:r>
        <w:rPr>
          <w:rFonts w:hint="eastAsia" w:ascii="方正小标宋简体" w:eastAsia="方正小标宋简体"/>
          <w:spacing w:val="60"/>
          <w:sz w:val="48"/>
        </w:rPr>
        <w:t>年度</w:t>
      </w:r>
      <w:r>
        <w:rPr>
          <w:rFonts w:hint="eastAsia" w:ascii="方正小标宋简体" w:eastAsia="方正小标宋简体"/>
          <w:spacing w:val="60"/>
          <w:sz w:val="48"/>
          <w:lang w:eastAsia="zh-CN"/>
        </w:rPr>
        <w:t>单位</w:t>
      </w:r>
      <w:r>
        <w:rPr>
          <w:rFonts w:hint="eastAsia" w:ascii="方正小标宋简体" w:eastAsia="方正小标宋简体"/>
          <w:spacing w:val="60"/>
          <w:sz w:val="48"/>
        </w:rPr>
        <w:t>决算情况说明</w:t>
      </w:r>
    </w:p>
    <w:p>
      <w:pPr>
        <w:spacing w:line="580" w:lineRule="exact"/>
        <w:ind w:firstLine="640" w:firstLineChars="200"/>
        <w:rPr>
          <w:rFonts w:ascii="黑体" w:hAnsi="黑体" w:eastAsia="黑体"/>
          <w:szCs w:val="32"/>
        </w:rPr>
      </w:pPr>
      <w:r>
        <w:rPr>
          <w:rFonts w:hint="eastAsia" w:ascii="黑体" w:hAnsi="黑体" w:eastAsia="黑体"/>
          <w:szCs w:val="32"/>
        </w:rPr>
        <w:t>一、收入支出决算总体情况</w:t>
      </w:r>
    </w:p>
    <w:p>
      <w:pPr>
        <w:spacing w:line="580" w:lineRule="exact"/>
        <w:ind w:firstLine="640" w:firstLineChars="200"/>
        <w:rPr>
          <w:rFonts w:hint="default" w:ascii="仿宋_GB2312" w:eastAsia="仿宋_GB2312"/>
          <w:szCs w:val="32"/>
          <w:lang w:val="en-US"/>
        </w:rPr>
      </w:pPr>
      <w:r>
        <w:rPr>
          <w:rFonts w:hint="eastAsia" w:ascii="仿宋_GB2312" w:eastAsia="仿宋_GB2312"/>
          <w:szCs w:val="32"/>
        </w:rPr>
        <w:t>202</w:t>
      </w:r>
      <w:r>
        <w:rPr>
          <w:rFonts w:hint="default" w:ascii="仿宋_GB2312" w:eastAsia="仿宋_GB2312"/>
          <w:szCs w:val="32"/>
          <w:lang w:val="en-US"/>
        </w:rPr>
        <w:t>2</w:t>
      </w:r>
      <w:r>
        <w:rPr>
          <w:rFonts w:hint="eastAsia" w:ascii="仿宋_GB2312" w:eastAsia="仿宋_GB2312"/>
          <w:szCs w:val="32"/>
        </w:rPr>
        <w:t>年度收、支总计</w:t>
      </w:r>
      <w:r>
        <w:rPr>
          <w:rFonts w:hint="default" w:ascii="仿宋_GB2312" w:eastAsia="仿宋_GB2312"/>
          <w:szCs w:val="32"/>
          <w:lang w:val="en-US"/>
        </w:rPr>
        <w:t>17458.13</w:t>
      </w:r>
      <w:r>
        <w:rPr>
          <w:rFonts w:hint="eastAsia" w:ascii="仿宋_GB2312" w:eastAsia="仿宋_GB2312"/>
          <w:szCs w:val="32"/>
        </w:rPr>
        <w:t>万元。与202</w:t>
      </w:r>
      <w:r>
        <w:rPr>
          <w:rFonts w:hint="default" w:ascii="仿宋_GB2312" w:eastAsia="仿宋_GB2312"/>
          <w:szCs w:val="32"/>
          <w:lang w:val="en-US"/>
        </w:rPr>
        <w:t>1</w:t>
      </w:r>
      <w:r>
        <w:rPr>
          <w:rFonts w:hint="eastAsia" w:ascii="仿宋_GB2312" w:eastAsia="仿宋_GB2312"/>
          <w:szCs w:val="32"/>
        </w:rPr>
        <w:t>年度相比，收、支总计各减少</w:t>
      </w:r>
      <w:r>
        <w:rPr>
          <w:rFonts w:hint="default" w:ascii="仿宋_GB2312" w:eastAsia="仿宋_GB2312"/>
          <w:szCs w:val="32"/>
          <w:lang w:val="en-US"/>
        </w:rPr>
        <w:t>7982.09</w:t>
      </w:r>
      <w:r>
        <w:rPr>
          <w:rFonts w:hint="eastAsia" w:ascii="仿宋_GB2312" w:eastAsia="仿宋_GB2312"/>
          <w:szCs w:val="32"/>
        </w:rPr>
        <w:t>万元，下降</w:t>
      </w:r>
      <w:r>
        <w:rPr>
          <w:rFonts w:hint="default" w:ascii="仿宋_GB2312" w:eastAsia="仿宋_GB2312"/>
          <w:szCs w:val="32"/>
          <w:lang w:val="en-US"/>
        </w:rPr>
        <w:t>31.4</w:t>
      </w:r>
      <w:r>
        <w:rPr>
          <w:rFonts w:hint="eastAsia" w:ascii="仿宋_GB2312" w:eastAsia="仿宋_GB2312"/>
          <w:szCs w:val="32"/>
        </w:rPr>
        <w:t>%。主要是预算收支缩减。</w:t>
      </w:r>
    </w:p>
    <w:p>
      <w:pPr>
        <w:spacing w:line="580" w:lineRule="exact"/>
        <w:ind w:firstLine="643" w:firstLineChars="200"/>
        <w:rPr>
          <w:rFonts w:ascii="仿宋_GB2312" w:eastAsia="仿宋_GB2312"/>
          <w:b/>
          <w:szCs w:val="32"/>
        </w:rPr>
      </w:pPr>
    </w:p>
    <w:p>
      <w:pPr>
        <w:spacing w:line="580" w:lineRule="exact"/>
        <w:ind w:firstLine="643" w:firstLineChars="200"/>
        <w:rPr>
          <w:rFonts w:ascii="仿宋_GB2312" w:eastAsia="仿宋_GB2312"/>
          <w:b/>
          <w:szCs w:val="32"/>
        </w:rPr>
      </w:pPr>
    </w:p>
    <w:p>
      <w:pPr>
        <w:spacing w:line="580" w:lineRule="exact"/>
        <w:ind w:firstLine="643" w:firstLineChars="200"/>
        <w:rPr>
          <w:rFonts w:ascii="仿宋_GB2312" w:eastAsia="仿宋_GB2312"/>
          <w:b/>
          <w:szCs w:val="32"/>
        </w:rPr>
      </w:pPr>
    </w:p>
    <w:p>
      <w:pPr>
        <w:spacing w:line="580" w:lineRule="exact"/>
        <w:ind w:firstLine="643" w:firstLineChars="200"/>
        <w:rPr>
          <w:rFonts w:ascii="仿宋_GB2312" w:eastAsia="仿宋_GB2312"/>
          <w:b/>
          <w:szCs w:val="32"/>
        </w:rPr>
      </w:pPr>
    </w:p>
    <w:p>
      <w:pPr>
        <w:spacing w:line="580" w:lineRule="exact"/>
        <w:ind w:firstLine="643" w:firstLineChars="200"/>
        <w:rPr>
          <w:rFonts w:ascii="仿宋_GB2312" w:eastAsia="仿宋_GB2312"/>
          <w:b/>
          <w:szCs w:val="32"/>
        </w:rPr>
      </w:pPr>
    </w:p>
    <w:p>
      <w:pPr>
        <w:spacing w:line="580" w:lineRule="exact"/>
        <w:ind w:firstLine="643" w:firstLineChars="200"/>
        <w:rPr>
          <w:rFonts w:ascii="仿宋_GB2312" w:eastAsia="仿宋_GB2312"/>
          <w:b/>
          <w:szCs w:val="32"/>
        </w:rPr>
      </w:pPr>
    </w:p>
    <w:p>
      <w:pPr>
        <w:spacing w:line="580" w:lineRule="exact"/>
        <w:ind w:firstLine="643" w:firstLineChars="200"/>
        <w:rPr>
          <w:rFonts w:ascii="仿宋_GB2312" w:eastAsia="仿宋_GB2312"/>
          <w:b/>
          <w:szCs w:val="32"/>
        </w:rPr>
      </w:pPr>
    </w:p>
    <w:p>
      <w:pPr>
        <w:spacing w:line="580" w:lineRule="exact"/>
        <w:ind w:firstLine="640" w:firstLineChars="200"/>
        <w:rPr>
          <w:rFonts w:ascii="仿宋_GB2312" w:eastAsia="仿宋_GB2312"/>
          <w:b/>
          <w:szCs w:val="32"/>
        </w:rPr>
      </w:pPr>
      <w:r>
        <w:drawing>
          <wp:anchor distT="0" distB="0" distL="114300" distR="114300" simplePos="0" relativeHeight="251660288" behindDoc="0" locked="0" layoutInCell="1" allowOverlap="1">
            <wp:simplePos x="0" y="0"/>
            <wp:positionH relativeFrom="column">
              <wp:posOffset>410845</wp:posOffset>
            </wp:positionH>
            <wp:positionV relativeFrom="paragraph">
              <wp:posOffset>-2463165</wp:posOffset>
            </wp:positionV>
            <wp:extent cx="4826000" cy="2743200"/>
            <wp:effectExtent l="4445" t="4445" r="8255" b="14605"/>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580" w:lineRule="exact"/>
        <w:ind w:firstLine="640" w:firstLineChars="200"/>
        <w:rPr>
          <w:rFonts w:ascii="黑体" w:hAnsi="黑体" w:eastAsia="黑体"/>
          <w:szCs w:val="32"/>
        </w:rPr>
      </w:pPr>
      <w:r>
        <w:rPr>
          <w:rFonts w:hint="eastAsia" w:ascii="黑体" w:hAnsi="黑体" w:eastAsia="黑体"/>
          <w:szCs w:val="32"/>
        </w:rPr>
        <w:t>二、收入决算情况</w:t>
      </w:r>
    </w:p>
    <w:p>
      <w:pPr>
        <w:spacing w:line="580" w:lineRule="exact"/>
        <w:ind w:firstLine="640" w:firstLineChars="200"/>
        <w:rPr>
          <w:rFonts w:ascii="仿宋_GB2312" w:eastAsia="仿宋_GB2312"/>
          <w:szCs w:val="32"/>
        </w:rPr>
      </w:pPr>
      <w:r>
        <w:rPr>
          <w:rFonts w:hint="eastAsia" w:ascii="仿宋_GB2312" w:eastAsia="仿宋_GB2312"/>
          <w:szCs w:val="32"/>
        </w:rPr>
        <w:t>本年收入合计</w:t>
      </w:r>
      <w:r>
        <w:rPr>
          <w:rFonts w:hint="default" w:ascii="仿宋_GB2312" w:eastAsia="仿宋_GB2312"/>
          <w:szCs w:val="32"/>
          <w:lang w:val="en-US"/>
        </w:rPr>
        <w:t>17458.13</w:t>
      </w:r>
      <w:r>
        <w:rPr>
          <w:rFonts w:hint="eastAsia" w:ascii="仿宋_GB2312" w:eastAsia="仿宋_GB2312"/>
          <w:szCs w:val="32"/>
        </w:rPr>
        <w:t>万元，其中：财政拨款收入</w:t>
      </w:r>
      <w:r>
        <w:rPr>
          <w:rFonts w:hint="default" w:ascii="仿宋_GB2312" w:eastAsia="仿宋_GB2312"/>
          <w:szCs w:val="32"/>
          <w:lang w:val="en-US"/>
        </w:rPr>
        <w:t>17458.13</w:t>
      </w:r>
      <w:r>
        <w:rPr>
          <w:rFonts w:hint="eastAsia" w:ascii="仿宋_GB2312" w:eastAsia="仿宋_GB2312"/>
          <w:szCs w:val="32"/>
        </w:rPr>
        <w:t>万元，占100%。</w:t>
      </w:r>
    </w:p>
    <w:p>
      <w:pPr>
        <w:spacing w:line="580" w:lineRule="exact"/>
        <w:ind w:firstLine="640" w:firstLineChars="200"/>
        <w:jc w:val="center"/>
        <w:rPr>
          <w:rFonts w:ascii="仿宋_GB2312" w:eastAsia="仿宋_GB2312"/>
          <w:szCs w:val="32"/>
        </w:rPr>
      </w:pPr>
      <w:r>
        <w:drawing>
          <wp:anchor distT="0" distB="0" distL="114300" distR="114300" simplePos="0" relativeHeight="251659264" behindDoc="0" locked="0" layoutInCell="1" allowOverlap="1">
            <wp:simplePos x="0" y="0"/>
            <wp:positionH relativeFrom="column">
              <wp:posOffset>422275</wp:posOffset>
            </wp:positionH>
            <wp:positionV relativeFrom="page">
              <wp:posOffset>6541135</wp:posOffset>
            </wp:positionV>
            <wp:extent cx="4826000" cy="2743200"/>
            <wp:effectExtent l="4445" t="4445" r="8255" b="14605"/>
            <wp:wrapSquare wrapText="bothSides"/>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580" w:lineRule="exact"/>
        <w:ind w:firstLine="640" w:firstLineChars="200"/>
        <w:jc w:val="center"/>
        <w:rPr>
          <w:rFonts w:ascii="仿宋_GB2312" w:eastAsia="仿宋_GB2312"/>
          <w:szCs w:val="32"/>
        </w:rPr>
      </w:pPr>
    </w:p>
    <w:p>
      <w:pPr>
        <w:spacing w:line="580" w:lineRule="exact"/>
        <w:ind w:firstLine="640" w:firstLineChars="200"/>
        <w:jc w:val="center"/>
        <w:rPr>
          <w:rFonts w:ascii="仿宋_GB2312" w:eastAsia="仿宋_GB2312"/>
          <w:szCs w:val="32"/>
        </w:rPr>
      </w:pPr>
    </w:p>
    <w:p>
      <w:pPr>
        <w:spacing w:line="580" w:lineRule="exact"/>
        <w:ind w:firstLine="640" w:firstLineChars="200"/>
        <w:jc w:val="center"/>
        <w:rPr>
          <w:rFonts w:ascii="仿宋_GB2312" w:eastAsia="仿宋_GB2312"/>
          <w:szCs w:val="32"/>
        </w:rPr>
      </w:pPr>
    </w:p>
    <w:p>
      <w:pPr>
        <w:spacing w:line="580" w:lineRule="exact"/>
        <w:ind w:firstLine="640" w:firstLineChars="200"/>
        <w:jc w:val="center"/>
        <w:rPr>
          <w:rFonts w:ascii="仿宋_GB2312" w:eastAsia="仿宋_GB2312"/>
          <w:szCs w:val="32"/>
        </w:rPr>
      </w:pPr>
    </w:p>
    <w:p>
      <w:pPr>
        <w:spacing w:line="580" w:lineRule="exact"/>
        <w:ind w:firstLine="640" w:firstLineChars="200"/>
        <w:jc w:val="center"/>
        <w:rPr>
          <w:rFonts w:ascii="仿宋_GB2312" w:eastAsia="仿宋_GB2312"/>
          <w:szCs w:val="32"/>
        </w:rPr>
      </w:pPr>
    </w:p>
    <w:p>
      <w:pPr>
        <w:spacing w:line="580" w:lineRule="exact"/>
        <w:ind w:firstLine="640" w:firstLineChars="200"/>
        <w:rPr>
          <w:rFonts w:ascii="黑体" w:hAnsi="黑体" w:eastAsia="黑体"/>
          <w:szCs w:val="32"/>
        </w:rPr>
      </w:pPr>
      <w:r>
        <w:rPr>
          <w:rFonts w:hint="eastAsia" w:ascii="黑体" w:hAnsi="黑体" w:eastAsia="黑体"/>
          <w:szCs w:val="32"/>
        </w:rPr>
        <w:t>三、支出决算情况</w:t>
      </w:r>
    </w:p>
    <w:p>
      <w:pPr>
        <w:spacing w:line="580" w:lineRule="exact"/>
        <w:ind w:firstLine="640" w:firstLineChars="200"/>
        <w:rPr>
          <w:rFonts w:ascii="仿宋_GB2312" w:eastAsia="仿宋_GB2312"/>
          <w:szCs w:val="32"/>
        </w:rPr>
      </w:pPr>
      <w:r>
        <w:rPr>
          <w:rFonts w:hint="eastAsia" w:ascii="仿宋_GB2312" w:eastAsia="仿宋_GB2312"/>
          <w:szCs w:val="32"/>
        </w:rPr>
        <w:t>本年支出合计</w:t>
      </w:r>
      <w:r>
        <w:rPr>
          <w:rFonts w:hint="default" w:ascii="仿宋_GB2312" w:eastAsia="仿宋_GB2312"/>
          <w:szCs w:val="32"/>
          <w:lang w:val="en-US"/>
        </w:rPr>
        <w:t>17458.13</w:t>
      </w:r>
      <w:r>
        <w:rPr>
          <w:rFonts w:hint="eastAsia" w:ascii="仿宋_GB2312" w:eastAsia="仿宋_GB2312"/>
          <w:szCs w:val="32"/>
        </w:rPr>
        <w:t>万元，其中：基本支出</w:t>
      </w:r>
      <w:r>
        <w:rPr>
          <w:rFonts w:hint="default" w:ascii="仿宋_GB2312" w:eastAsia="仿宋_GB2312"/>
          <w:szCs w:val="32"/>
          <w:lang w:val="en-US"/>
        </w:rPr>
        <w:t>2138.36</w:t>
      </w:r>
      <w:r>
        <w:rPr>
          <w:rFonts w:hint="eastAsia" w:ascii="仿宋_GB2312" w:eastAsia="仿宋_GB2312"/>
          <w:szCs w:val="32"/>
        </w:rPr>
        <w:t>万元，占</w:t>
      </w:r>
      <w:r>
        <w:rPr>
          <w:rFonts w:hint="default" w:ascii="仿宋_GB2312" w:eastAsia="仿宋_GB2312"/>
          <w:szCs w:val="32"/>
          <w:lang w:val="en-US"/>
        </w:rPr>
        <w:t>12.2</w:t>
      </w:r>
      <w:r>
        <w:rPr>
          <w:rFonts w:hint="eastAsia" w:ascii="仿宋_GB2312" w:eastAsia="仿宋_GB2312"/>
          <w:szCs w:val="32"/>
        </w:rPr>
        <w:t>%；项目支出</w:t>
      </w:r>
      <w:r>
        <w:rPr>
          <w:rFonts w:hint="default" w:ascii="仿宋_GB2312" w:eastAsia="仿宋_GB2312"/>
          <w:szCs w:val="32"/>
          <w:lang w:val="en-US"/>
        </w:rPr>
        <w:t>15319.77</w:t>
      </w:r>
      <w:r>
        <w:rPr>
          <w:rFonts w:hint="eastAsia" w:ascii="仿宋_GB2312" w:eastAsia="仿宋_GB2312"/>
          <w:szCs w:val="32"/>
        </w:rPr>
        <w:t>万元，占</w:t>
      </w:r>
      <w:r>
        <w:rPr>
          <w:rFonts w:hint="default" w:ascii="仿宋_GB2312" w:eastAsia="仿宋_GB2312"/>
          <w:szCs w:val="32"/>
          <w:lang w:val="en-US"/>
        </w:rPr>
        <w:t>87.8</w:t>
      </w:r>
      <w:r>
        <w:rPr>
          <w:rFonts w:hint="eastAsia" w:ascii="仿宋_GB2312" w:eastAsia="仿宋_GB2312"/>
          <w:szCs w:val="32"/>
        </w:rPr>
        <w:t>%.</w:t>
      </w:r>
      <w:bookmarkStart w:id="26" w:name="_GoBack"/>
      <w:bookmarkEnd w:id="26"/>
    </w:p>
    <w:p>
      <w:pPr>
        <w:spacing w:line="580" w:lineRule="exact"/>
        <w:ind w:firstLine="640" w:firstLineChars="200"/>
        <w:jc w:val="center"/>
        <w:rPr>
          <w:rFonts w:ascii="黑体" w:hAnsi="黑体" w:eastAsia="黑体"/>
          <w:szCs w:val="32"/>
        </w:rPr>
      </w:pPr>
      <w:r>
        <w:drawing>
          <wp:anchor distT="0" distB="0" distL="114300" distR="114300" simplePos="0" relativeHeight="251661312" behindDoc="0" locked="0" layoutInCell="1" allowOverlap="1">
            <wp:simplePos x="0" y="0"/>
            <wp:positionH relativeFrom="column">
              <wp:posOffset>454025</wp:posOffset>
            </wp:positionH>
            <wp:positionV relativeFrom="paragraph">
              <wp:posOffset>24765</wp:posOffset>
            </wp:positionV>
            <wp:extent cx="4826000" cy="2743200"/>
            <wp:effectExtent l="4445" t="4445" r="8255" b="14605"/>
            <wp:wrapSquare wrapText="bothSides"/>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580" w:lineRule="exact"/>
        <w:ind w:firstLine="640" w:firstLineChars="200"/>
        <w:jc w:val="center"/>
        <w:rPr>
          <w:rFonts w:ascii="黑体" w:hAnsi="黑体" w:eastAsia="黑体"/>
          <w:szCs w:val="32"/>
        </w:rPr>
      </w:pPr>
    </w:p>
    <w:p>
      <w:pPr>
        <w:spacing w:line="580" w:lineRule="exact"/>
        <w:ind w:firstLine="640" w:firstLineChars="200"/>
        <w:jc w:val="center"/>
        <w:rPr>
          <w:rFonts w:ascii="黑体" w:hAnsi="黑体" w:eastAsia="黑体"/>
          <w:szCs w:val="32"/>
        </w:rPr>
      </w:pPr>
    </w:p>
    <w:p>
      <w:pPr>
        <w:spacing w:line="580" w:lineRule="exact"/>
        <w:ind w:firstLine="640" w:firstLineChars="200"/>
        <w:jc w:val="center"/>
        <w:rPr>
          <w:rFonts w:ascii="黑体" w:hAnsi="黑体" w:eastAsia="黑体"/>
          <w:szCs w:val="32"/>
        </w:rPr>
      </w:pPr>
    </w:p>
    <w:p>
      <w:pPr>
        <w:bidi w:val="0"/>
      </w:pPr>
    </w:p>
    <w:p>
      <w:pPr>
        <w:spacing w:line="580" w:lineRule="exact"/>
        <w:ind w:firstLine="640" w:firstLineChars="200"/>
        <w:jc w:val="center"/>
        <w:rPr>
          <w:rFonts w:ascii="黑体" w:hAnsi="黑体" w:eastAsia="黑体"/>
          <w:szCs w:val="32"/>
        </w:rPr>
      </w:pPr>
    </w:p>
    <w:p>
      <w:pPr>
        <w:spacing w:line="580" w:lineRule="exact"/>
        <w:ind w:firstLine="640" w:firstLineChars="200"/>
        <w:jc w:val="left"/>
        <w:rPr>
          <w:rFonts w:ascii="黑体" w:hAnsi="黑体" w:eastAsia="黑体"/>
          <w:szCs w:val="32"/>
        </w:rPr>
      </w:pPr>
    </w:p>
    <w:p>
      <w:pPr>
        <w:spacing w:line="580" w:lineRule="exact"/>
        <w:ind w:firstLine="640" w:firstLineChars="200"/>
        <w:rPr>
          <w:rFonts w:ascii="黑体" w:hAnsi="黑体" w:eastAsia="黑体"/>
          <w:szCs w:val="32"/>
        </w:rPr>
      </w:pPr>
    </w:p>
    <w:p>
      <w:pPr>
        <w:spacing w:line="580" w:lineRule="exact"/>
        <w:ind w:firstLine="640" w:firstLineChars="200"/>
        <w:rPr>
          <w:rFonts w:ascii="黑体" w:hAnsi="黑体" w:eastAsia="黑体"/>
          <w:szCs w:val="32"/>
        </w:rPr>
      </w:pPr>
      <w:r>
        <w:rPr>
          <w:rFonts w:hint="eastAsia" w:ascii="黑体" w:hAnsi="黑体" w:eastAsia="黑体"/>
          <w:szCs w:val="32"/>
        </w:rPr>
        <w:t>四、财政拨款收入支出决算总体情况</w:t>
      </w:r>
    </w:p>
    <w:p>
      <w:pPr>
        <w:spacing w:line="580" w:lineRule="exact"/>
        <w:ind w:firstLine="640" w:firstLineChars="200"/>
        <w:rPr>
          <w:rFonts w:ascii="仿宋_GB2312" w:eastAsia="仿宋_GB2312"/>
          <w:szCs w:val="32"/>
        </w:rPr>
      </w:pPr>
      <w:r>
        <w:rPr>
          <w:rFonts w:hint="eastAsia" w:ascii="仿宋_GB2312" w:eastAsia="仿宋_GB2312"/>
          <w:szCs w:val="32"/>
        </w:rPr>
        <w:t>202</w:t>
      </w:r>
      <w:r>
        <w:rPr>
          <w:rFonts w:hint="default" w:ascii="仿宋_GB2312" w:eastAsia="仿宋_GB2312"/>
          <w:szCs w:val="32"/>
          <w:lang w:val="en-US"/>
        </w:rPr>
        <w:t>2</w:t>
      </w:r>
      <w:r>
        <w:rPr>
          <w:rFonts w:hint="eastAsia" w:ascii="仿宋_GB2312" w:eastAsia="仿宋_GB2312"/>
          <w:szCs w:val="32"/>
        </w:rPr>
        <w:t>年度财政拨款收、支总计</w:t>
      </w:r>
      <w:r>
        <w:rPr>
          <w:rFonts w:hint="default" w:ascii="仿宋_GB2312" w:eastAsia="仿宋_GB2312"/>
          <w:szCs w:val="32"/>
          <w:lang w:val="en-US"/>
        </w:rPr>
        <w:t>17458.13</w:t>
      </w:r>
      <w:r>
        <w:rPr>
          <w:rFonts w:hint="eastAsia" w:ascii="仿宋_GB2312" w:eastAsia="仿宋_GB2312"/>
          <w:szCs w:val="32"/>
        </w:rPr>
        <w:t>万元。与202</w:t>
      </w:r>
      <w:r>
        <w:rPr>
          <w:rFonts w:hint="default" w:ascii="仿宋_GB2312" w:eastAsia="仿宋_GB2312"/>
          <w:szCs w:val="32"/>
          <w:lang w:val="en-US"/>
        </w:rPr>
        <w:t>1</w:t>
      </w:r>
      <w:r>
        <w:rPr>
          <w:rFonts w:hint="eastAsia" w:ascii="仿宋_GB2312" w:eastAsia="仿宋_GB2312"/>
          <w:szCs w:val="32"/>
        </w:rPr>
        <w:t>年度相比，财政拨款收、支总计各减少</w:t>
      </w:r>
      <w:r>
        <w:rPr>
          <w:rFonts w:hint="default" w:ascii="仿宋_GB2312" w:eastAsia="仿宋_GB2312"/>
          <w:szCs w:val="32"/>
          <w:lang w:val="en-US"/>
        </w:rPr>
        <w:t>7982.09</w:t>
      </w:r>
      <w:r>
        <w:rPr>
          <w:rFonts w:hint="eastAsia" w:ascii="仿宋_GB2312" w:eastAsia="仿宋_GB2312"/>
          <w:szCs w:val="32"/>
        </w:rPr>
        <w:t>万元，下降</w:t>
      </w:r>
      <w:r>
        <w:rPr>
          <w:rFonts w:hint="default" w:ascii="仿宋_GB2312" w:eastAsia="仿宋_GB2312"/>
          <w:szCs w:val="32"/>
          <w:lang w:val="en-US"/>
        </w:rPr>
        <w:t>31.4</w:t>
      </w:r>
      <w:r>
        <w:rPr>
          <w:rFonts w:hint="eastAsia" w:ascii="仿宋_GB2312" w:eastAsia="仿宋_GB2312"/>
          <w:szCs w:val="32"/>
        </w:rPr>
        <w:t>%。主要是预算收支缩减。</w:t>
      </w:r>
    </w:p>
    <w:p>
      <w:pPr>
        <w:spacing w:line="580" w:lineRule="exact"/>
        <w:ind w:firstLine="640" w:firstLineChars="200"/>
        <w:rPr>
          <w:rFonts w:ascii="仿宋_GB2312" w:eastAsia="仿宋_GB2312"/>
          <w:szCs w:val="32"/>
        </w:rPr>
      </w:pPr>
      <w:r>
        <w:drawing>
          <wp:anchor distT="0" distB="0" distL="114300" distR="114300" simplePos="0" relativeHeight="251662336" behindDoc="0" locked="0" layoutInCell="1" allowOverlap="1">
            <wp:simplePos x="0" y="0"/>
            <wp:positionH relativeFrom="column">
              <wp:posOffset>448945</wp:posOffset>
            </wp:positionH>
            <wp:positionV relativeFrom="paragraph">
              <wp:posOffset>26035</wp:posOffset>
            </wp:positionV>
            <wp:extent cx="4826000" cy="2743200"/>
            <wp:effectExtent l="4445" t="4445" r="8255" b="14605"/>
            <wp:wrapSquare wrapText="bothSides"/>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黑体" w:hAnsi="黑体" w:eastAsia="黑体"/>
          <w:szCs w:val="32"/>
        </w:rPr>
      </w:pPr>
      <w:r>
        <w:rPr>
          <w:rFonts w:hint="eastAsia" w:ascii="黑体" w:hAnsi="黑体" w:eastAsia="黑体"/>
          <w:szCs w:val="32"/>
        </w:rPr>
        <w:t>五、一般公共预算财政拨款支出决算情况</w:t>
      </w:r>
    </w:p>
    <w:p>
      <w:pPr>
        <w:spacing w:line="580" w:lineRule="exact"/>
        <w:ind w:firstLine="640" w:firstLineChars="200"/>
        <w:rPr>
          <w:rFonts w:ascii="楷体_GB2312" w:eastAsia="楷体_GB2312"/>
          <w:szCs w:val="32"/>
        </w:rPr>
      </w:pPr>
      <w:r>
        <w:rPr>
          <w:rFonts w:hint="eastAsia" w:ascii="楷体_GB2312" w:eastAsia="楷体_GB2312"/>
          <w:szCs w:val="32"/>
        </w:rPr>
        <w:t>（一）一般公共预算财政拨款支出决算总体情况</w:t>
      </w:r>
    </w:p>
    <w:p>
      <w:pPr>
        <w:spacing w:line="580" w:lineRule="exact"/>
        <w:ind w:firstLine="640" w:firstLineChars="200"/>
        <w:rPr>
          <w:rFonts w:ascii="仿宋_GB2312" w:eastAsia="仿宋_GB2312"/>
          <w:szCs w:val="32"/>
        </w:rPr>
      </w:pPr>
      <w:r>
        <w:rPr>
          <w:rFonts w:hint="eastAsia" w:ascii="仿宋_GB2312" w:eastAsia="仿宋_GB2312"/>
          <w:szCs w:val="32"/>
        </w:rPr>
        <w:t>202</w:t>
      </w:r>
      <w:r>
        <w:rPr>
          <w:rFonts w:hint="eastAsia" w:ascii="仿宋_GB2312" w:eastAsia="仿宋_GB2312"/>
          <w:szCs w:val="32"/>
          <w:lang w:val="en-US" w:eastAsia="zh-CN"/>
        </w:rPr>
        <w:t>2</w:t>
      </w:r>
      <w:r>
        <w:rPr>
          <w:rFonts w:hint="eastAsia" w:ascii="仿宋_GB2312" w:eastAsia="仿宋_GB2312"/>
          <w:szCs w:val="32"/>
        </w:rPr>
        <w:t>年度一般公共预算财政拨款支出</w:t>
      </w:r>
      <w:r>
        <w:rPr>
          <w:rFonts w:hint="default" w:ascii="仿宋_GB2312" w:eastAsia="仿宋_GB2312"/>
          <w:szCs w:val="32"/>
          <w:lang w:val="en-US"/>
        </w:rPr>
        <w:t>7368.55</w:t>
      </w:r>
      <w:r>
        <w:rPr>
          <w:rFonts w:hint="eastAsia" w:ascii="仿宋_GB2312" w:eastAsia="仿宋_GB2312"/>
          <w:szCs w:val="32"/>
        </w:rPr>
        <w:t>万元，占本年支出合计的</w:t>
      </w:r>
      <w:r>
        <w:rPr>
          <w:rFonts w:hint="default" w:ascii="仿宋_GB2312" w:eastAsia="仿宋_GB2312"/>
          <w:szCs w:val="32"/>
          <w:lang w:val="en-US"/>
        </w:rPr>
        <w:t>42.2</w:t>
      </w:r>
      <w:r>
        <w:rPr>
          <w:rFonts w:hint="eastAsia" w:ascii="仿宋_GB2312" w:eastAsia="仿宋_GB2312"/>
          <w:szCs w:val="32"/>
        </w:rPr>
        <w:t>%。与202</w:t>
      </w:r>
      <w:r>
        <w:rPr>
          <w:rFonts w:hint="default" w:ascii="仿宋_GB2312" w:eastAsia="仿宋_GB2312"/>
          <w:szCs w:val="32"/>
          <w:lang w:val="en-US"/>
        </w:rPr>
        <w:t>1</w:t>
      </w:r>
      <w:r>
        <w:rPr>
          <w:rFonts w:hint="eastAsia" w:ascii="仿宋_GB2312" w:eastAsia="仿宋_GB2312"/>
          <w:szCs w:val="32"/>
        </w:rPr>
        <w:t>年度相比，一般公共预算财政拨款支出减少</w:t>
      </w:r>
      <w:r>
        <w:rPr>
          <w:rFonts w:hint="default" w:ascii="仿宋_GB2312" w:eastAsia="仿宋_GB2312"/>
          <w:szCs w:val="32"/>
          <w:lang w:val="en-US"/>
        </w:rPr>
        <w:t>3071.67</w:t>
      </w:r>
      <w:r>
        <w:rPr>
          <w:rFonts w:hint="eastAsia" w:ascii="仿宋_GB2312" w:eastAsia="仿宋_GB2312"/>
          <w:szCs w:val="32"/>
        </w:rPr>
        <w:t>万元，下降</w:t>
      </w:r>
      <w:r>
        <w:rPr>
          <w:rFonts w:hint="default" w:ascii="仿宋_GB2312" w:eastAsia="仿宋_GB2312"/>
          <w:szCs w:val="32"/>
          <w:lang w:val="en-US"/>
        </w:rPr>
        <w:t>2</w:t>
      </w:r>
      <w:r>
        <w:rPr>
          <w:rFonts w:hint="eastAsia" w:ascii="仿宋_GB2312" w:eastAsia="仿宋_GB2312"/>
          <w:szCs w:val="32"/>
        </w:rPr>
        <w:t>9.</w:t>
      </w:r>
      <w:r>
        <w:rPr>
          <w:rFonts w:hint="default" w:ascii="仿宋_GB2312" w:eastAsia="仿宋_GB2312"/>
          <w:szCs w:val="32"/>
          <w:lang w:val="en-US"/>
        </w:rPr>
        <w:t>4</w:t>
      </w:r>
      <w:r>
        <w:rPr>
          <w:rFonts w:hint="eastAsia" w:ascii="仿宋_GB2312" w:eastAsia="仿宋_GB2312"/>
          <w:szCs w:val="32"/>
        </w:rPr>
        <w:t>%。主要是预算收支缩减。</w:t>
      </w:r>
    </w:p>
    <w:p>
      <w:pPr>
        <w:spacing w:line="580" w:lineRule="exact"/>
        <w:ind w:firstLine="640" w:firstLineChars="200"/>
        <w:rPr>
          <w:rFonts w:ascii="仿宋_GB2312" w:eastAsia="仿宋_GB2312"/>
          <w:szCs w:val="32"/>
        </w:rPr>
      </w:pPr>
      <w:r>
        <w:drawing>
          <wp:anchor distT="0" distB="0" distL="114300" distR="114300" simplePos="0" relativeHeight="251663360" behindDoc="0" locked="0" layoutInCell="1" allowOverlap="1">
            <wp:simplePos x="0" y="0"/>
            <wp:positionH relativeFrom="column">
              <wp:posOffset>436245</wp:posOffset>
            </wp:positionH>
            <wp:positionV relativeFrom="paragraph">
              <wp:posOffset>64135</wp:posOffset>
            </wp:positionV>
            <wp:extent cx="4826000" cy="2743200"/>
            <wp:effectExtent l="4445" t="4445" r="8255" b="14605"/>
            <wp:wrapSquare wrapText="bothSides"/>
            <wp:docPr id="6"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楷体_GB2312" w:eastAsia="楷体_GB2312"/>
          <w:szCs w:val="32"/>
        </w:rPr>
      </w:pPr>
      <w:r>
        <w:rPr>
          <w:rFonts w:hint="eastAsia" w:ascii="楷体_GB2312" w:eastAsia="楷体_GB2312"/>
          <w:szCs w:val="32"/>
        </w:rPr>
        <w:t>（二）一般公共预算财政拨款支出决算结构情况</w:t>
      </w:r>
    </w:p>
    <w:p>
      <w:pPr>
        <w:spacing w:line="580" w:lineRule="exact"/>
        <w:ind w:firstLine="640" w:firstLineChars="200"/>
        <w:rPr>
          <w:rFonts w:ascii="仿宋_GB2312" w:eastAsia="仿宋_GB2312"/>
          <w:szCs w:val="32"/>
        </w:rPr>
      </w:pPr>
      <w:r>
        <w:rPr>
          <w:rFonts w:hint="eastAsia" w:ascii="仿宋_GB2312" w:eastAsia="仿宋_GB2312"/>
          <w:szCs w:val="32"/>
        </w:rPr>
        <w:t>202</w:t>
      </w:r>
      <w:r>
        <w:rPr>
          <w:rFonts w:hint="eastAsia" w:ascii="仿宋_GB2312" w:eastAsia="仿宋_GB2312"/>
          <w:szCs w:val="32"/>
          <w:lang w:val="en-US" w:eastAsia="zh-CN"/>
        </w:rPr>
        <w:t>2</w:t>
      </w:r>
      <w:r>
        <w:rPr>
          <w:rFonts w:hint="eastAsia" w:ascii="仿宋_GB2312" w:eastAsia="仿宋_GB2312"/>
          <w:szCs w:val="32"/>
        </w:rPr>
        <w:t>年度一般公共预算财政拨款支出</w:t>
      </w:r>
      <w:r>
        <w:rPr>
          <w:rFonts w:hint="default" w:ascii="仿宋_GB2312" w:eastAsia="仿宋_GB2312"/>
          <w:szCs w:val="32"/>
          <w:lang w:val="en-US"/>
        </w:rPr>
        <w:t>7368.55</w:t>
      </w:r>
      <w:r>
        <w:rPr>
          <w:rFonts w:hint="eastAsia" w:ascii="仿宋_GB2312" w:eastAsia="仿宋_GB2312"/>
          <w:szCs w:val="32"/>
        </w:rPr>
        <w:t>万元，主要用于以下方面：一般公共服务支出（类）</w:t>
      </w:r>
      <w:r>
        <w:rPr>
          <w:rFonts w:hint="default" w:ascii="仿宋_GB2312" w:eastAsia="仿宋_GB2312"/>
          <w:szCs w:val="32"/>
          <w:lang w:val="en-US"/>
        </w:rPr>
        <w:t>2138.36</w:t>
      </w:r>
      <w:r>
        <w:rPr>
          <w:rFonts w:hint="eastAsia" w:ascii="仿宋_GB2312" w:eastAsia="仿宋_GB2312"/>
          <w:szCs w:val="32"/>
        </w:rPr>
        <w:t>万元，占</w:t>
      </w:r>
      <w:r>
        <w:rPr>
          <w:rFonts w:hint="default" w:ascii="仿宋_GB2312" w:eastAsia="仿宋_GB2312"/>
          <w:szCs w:val="32"/>
          <w:lang w:val="en-US"/>
        </w:rPr>
        <w:t>29</w:t>
      </w:r>
      <w:r>
        <w:rPr>
          <w:rFonts w:hint="eastAsia" w:ascii="仿宋_GB2312" w:eastAsia="仿宋_GB2312"/>
          <w:szCs w:val="32"/>
        </w:rPr>
        <w:t>%；公共安全支出（类）</w:t>
      </w:r>
      <w:r>
        <w:rPr>
          <w:rFonts w:hint="default" w:ascii="仿宋_GB2312" w:eastAsia="仿宋_GB2312"/>
          <w:szCs w:val="32"/>
          <w:lang w:val="en-US"/>
        </w:rPr>
        <w:t>123.34</w:t>
      </w:r>
      <w:r>
        <w:rPr>
          <w:rFonts w:hint="eastAsia" w:ascii="仿宋_GB2312" w:eastAsia="仿宋_GB2312"/>
          <w:szCs w:val="32"/>
        </w:rPr>
        <w:t>万元，占</w:t>
      </w:r>
      <w:r>
        <w:rPr>
          <w:rFonts w:hint="default" w:ascii="仿宋_GB2312" w:eastAsia="仿宋_GB2312"/>
          <w:szCs w:val="32"/>
          <w:lang w:val="en-US"/>
        </w:rPr>
        <w:t>1.7</w:t>
      </w:r>
      <w:r>
        <w:rPr>
          <w:rFonts w:hint="eastAsia" w:ascii="仿宋_GB2312" w:eastAsia="仿宋_GB2312"/>
          <w:szCs w:val="32"/>
        </w:rPr>
        <w:t>%；教育支出（类）</w:t>
      </w:r>
      <w:r>
        <w:rPr>
          <w:rFonts w:hint="default" w:ascii="仿宋_GB2312" w:eastAsia="仿宋_GB2312"/>
          <w:szCs w:val="32"/>
          <w:lang w:val="en-US"/>
        </w:rPr>
        <w:t>688.48</w:t>
      </w:r>
      <w:r>
        <w:rPr>
          <w:rFonts w:hint="eastAsia" w:ascii="仿宋_GB2312" w:eastAsia="仿宋_GB2312"/>
          <w:szCs w:val="32"/>
        </w:rPr>
        <w:t>万元，占</w:t>
      </w:r>
      <w:r>
        <w:rPr>
          <w:rFonts w:hint="default" w:ascii="仿宋_GB2312" w:eastAsia="仿宋_GB2312"/>
          <w:szCs w:val="32"/>
          <w:lang w:val="en-US"/>
        </w:rPr>
        <w:t>9.3</w:t>
      </w:r>
      <w:r>
        <w:rPr>
          <w:rFonts w:hint="eastAsia" w:ascii="仿宋_GB2312" w:eastAsia="仿宋_GB2312"/>
          <w:szCs w:val="32"/>
        </w:rPr>
        <w:t>%；科学技术支出（类）</w:t>
      </w:r>
      <w:r>
        <w:rPr>
          <w:rFonts w:hint="default" w:ascii="仿宋_GB2312" w:eastAsia="仿宋_GB2312"/>
          <w:szCs w:val="32"/>
          <w:lang w:val="en-US"/>
        </w:rPr>
        <w:t>2796.6</w:t>
      </w:r>
      <w:r>
        <w:rPr>
          <w:rFonts w:hint="eastAsia" w:ascii="仿宋_GB2312" w:eastAsia="仿宋_GB2312"/>
          <w:szCs w:val="32"/>
        </w:rPr>
        <w:t>万元，占</w:t>
      </w:r>
      <w:r>
        <w:rPr>
          <w:rFonts w:hint="default" w:ascii="仿宋_GB2312" w:eastAsia="仿宋_GB2312"/>
          <w:szCs w:val="32"/>
          <w:lang w:val="en-US"/>
        </w:rPr>
        <w:t>38</w:t>
      </w:r>
      <w:r>
        <w:rPr>
          <w:rFonts w:hint="eastAsia" w:ascii="仿宋_GB2312" w:eastAsia="仿宋_GB2312"/>
          <w:szCs w:val="32"/>
        </w:rPr>
        <w:t>%；文化旅游体育与传媒支出（类）</w:t>
      </w:r>
      <w:r>
        <w:rPr>
          <w:rFonts w:hint="default" w:ascii="仿宋_GB2312" w:eastAsia="仿宋_GB2312"/>
          <w:szCs w:val="32"/>
          <w:lang w:val="en-US"/>
        </w:rPr>
        <w:t>49.87</w:t>
      </w:r>
      <w:r>
        <w:rPr>
          <w:rFonts w:hint="eastAsia" w:ascii="仿宋_GB2312" w:eastAsia="仿宋_GB2312"/>
          <w:szCs w:val="32"/>
        </w:rPr>
        <w:t>万元，占</w:t>
      </w:r>
      <w:r>
        <w:rPr>
          <w:rFonts w:hint="default" w:ascii="仿宋_GB2312" w:eastAsia="仿宋_GB2312"/>
          <w:szCs w:val="32"/>
          <w:lang w:val="en-US"/>
        </w:rPr>
        <w:t>0.7</w:t>
      </w:r>
      <w:r>
        <w:rPr>
          <w:rFonts w:hint="eastAsia" w:ascii="仿宋_GB2312" w:eastAsia="仿宋_GB2312"/>
          <w:szCs w:val="32"/>
        </w:rPr>
        <w:t>%；城乡社区支出（类）</w:t>
      </w:r>
      <w:r>
        <w:rPr>
          <w:rFonts w:hint="default" w:ascii="仿宋_GB2312" w:eastAsia="仿宋_GB2312"/>
          <w:szCs w:val="32"/>
          <w:lang w:val="en-US"/>
        </w:rPr>
        <w:t>1571.89</w:t>
      </w:r>
      <w:r>
        <w:rPr>
          <w:rFonts w:hint="eastAsia" w:ascii="仿宋_GB2312" w:eastAsia="仿宋_GB2312"/>
          <w:szCs w:val="32"/>
        </w:rPr>
        <w:t>万元，占</w:t>
      </w:r>
      <w:r>
        <w:rPr>
          <w:rFonts w:hint="default" w:ascii="仿宋_GB2312" w:eastAsia="仿宋_GB2312"/>
          <w:szCs w:val="32"/>
          <w:lang w:val="en-US"/>
        </w:rPr>
        <w:t>21.3</w:t>
      </w:r>
      <w:r>
        <w:rPr>
          <w:rFonts w:hint="eastAsia" w:ascii="仿宋_GB2312" w:eastAsia="仿宋_GB2312"/>
          <w:szCs w:val="32"/>
        </w:rPr>
        <w:t>%。</w:t>
      </w: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r>
        <w:drawing>
          <wp:anchor distT="0" distB="0" distL="114300" distR="114300" simplePos="0" relativeHeight="251664384" behindDoc="0" locked="0" layoutInCell="1" allowOverlap="1">
            <wp:simplePos x="0" y="0"/>
            <wp:positionH relativeFrom="column">
              <wp:posOffset>451485</wp:posOffset>
            </wp:positionH>
            <wp:positionV relativeFrom="paragraph">
              <wp:posOffset>127635</wp:posOffset>
            </wp:positionV>
            <wp:extent cx="4826000" cy="2743200"/>
            <wp:effectExtent l="4445" t="4445" r="8255" b="14605"/>
            <wp:wrapSquare wrapText="bothSides"/>
            <wp:docPr id="7"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ascii="仿宋_GB2312" w:eastAsia="仿宋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hint="eastAsia" w:ascii="楷体_GB2312" w:eastAsia="楷体_GB2312"/>
          <w:szCs w:val="32"/>
        </w:rPr>
      </w:pPr>
    </w:p>
    <w:p>
      <w:pPr>
        <w:spacing w:line="580" w:lineRule="exact"/>
        <w:ind w:firstLine="640" w:firstLineChars="200"/>
        <w:rPr>
          <w:rFonts w:ascii="楷体_GB2312" w:eastAsia="楷体_GB2312"/>
          <w:szCs w:val="32"/>
        </w:rPr>
      </w:pPr>
      <w:r>
        <w:rPr>
          <w:rFonts w:hint="eastAsia" w:ascii="楷体_GB2312" w:eastAsia="楷体_GB2312"/>
          <w:szCs w:val="32"/>
        </w:rPr>
        <w:t>（三）一般公共预算财政拨款支出决算具体情况</w:t>
      </w:r>
    </w:p>
    <w:p>
      <w:pPr>
        <w:spacing w:line="580" w:lineRule="exact"/>
        <w:ind w:firstLine="640" w:firstLineChars="200"/>
        <w:rPr>
          <w:rFonts w:ascii="仿宋_GB2312" w:eastAsia="仿宋_GB2312"/>
          <w:color w:val="auto"/>
          <w:szCs w:val="32"/>
        </w:rPr>
      </w:pPr>
      <w:r>
        <w:rPr>
          <w:rFonts w:hint="eastAsia" w:ascii="仿宋_GB2312" w:eastAsia="仿宋_GB2312"/>
          <w:color w:val="auto"/>
          <w:szCs w:val="32"/>
        </w:rPr>
        <w:t>202</w:t>
      </w:r>
      <w:r>
        <w:rPr>
          <w:rFonts w:hint="default" w:ascii="仿宋_GB2312" w:eastAsia="仿宋_GB2312"/>
          <w:color w:val="auto"/>
          <w:szCs w:val="32"/>
          <w:lang w:val="en-US"/>
        </w:rPr>
        <w:t>2</w:t>
      </w:r>
      <w:r>
        <w:rPr>
          <w:rFonts w:hint="eastAsia" w:ascii="仿宋_GB2312" w:eastAsia="仿宋_GB2312"/>
          <w:color w:val="auto"/>
          <w:szCs w:val="32"/>
        </w:rPr>
        <w:t>年度一般公共预算财政拨款支出年初预算为</w:t>
      </w:r>
      <w:r>
        <w:rPr>
          <w:rFonts w:hint="default" w:ascii="仿宋_GB2312" w:eastAsia="仿宋_GB2312"/>
          <w:color w:val="auto"/>
          <w:szCs w:val="32"/>
          <w:lang w:val="en-US"/>
        </w:rPr>
        <w:t>6474.67</w:t>
      </w:r>
      <w:r>
        <w:rPr>
          <w:rFonts w:hint="eastAsia" w:ascii="仿宋_GB2312" w:eastAsia="仿宋_GB2312"/>
          <w:color w:val="auto"/>
          <w:szCs w:val="32"/>
        </w:rPr>
        <w:t>万元，支出决算为</w:t>
      </w:r>
      <w:r>
        <w:rPr>
          <w:rFonts w:hint="default" w:ascii="仿宋_GB2312" w:eastAsia="仿宋_GB2312"/>
          <w:color w:val="auto"/>
          <w:szCs w:val="32"/>
          <w:lang w:val="en-US"/>
        </w:rPr>
        <w:t>7368.55</w:t>
      </w:r>
      <w:r>
        <w:rPr>
          <w:rFonts w:hint="eastAsia" w:ascii="仿宋_GB2312" w:eastAsia="仿宋_GB2312"/>
          <w:color w:val="auto"/>
          <w:szCs w:val="32"/>
        </w:rPr>
        <w:t>万元，完成年初预算的</w:t>
      </w:r>
      <w:r>
        <w:rPr>
          <w:rFonts w:hint="default" w:ascii="仿宋_GB2312" w:eastAsia="仿宋_GB2312"/>
          <w:color w:val="auto"/>
          <w:szCs w:val="32"/>
          <w:lang w:val="en-US"/>
        </w:rPr>
        <w:t>113.8</w:t>
      </w:r>
      <w:r>
        <w:rPr>
          <w:rFonts w:hint="eastAsia" w:ascii="仿宋_GB2312" w:eastAsia="仿宋_GB2312"/>
          <w:color w:val="auto"/>
          <w:szCs w:val="32"/>
        </w:rPr>
        <w:t>%。决算数</w:t>
      </w:r>
      <w:r>
        <w:rPr>
          <w:rFonts w:hint="eastAsia" w:ascii="仿宋_GB2312" w:eastAsia="仿宋_GB2312"/>
          <w:color w:val="auto"/>
          <w:szCs w:val="32"/>
          <w:lang w:eastAsia="zh-CN"/>
        </w:rPr>
        <w:t>大于</w:t>
      </w:r>
      <w:r>
        <w:rPr>
          <w:rFonts w:hint="eastAsia" w:ascii="仿宋_GB2312" w:eastAsia="仿宋_GB2312"/>
          <w:color w:val="auto"/>
          <w:szCs w:val="32"/>
        </w:rPr>
        <w:t>年初预算</w:t>
      </w:r>
      <w:r>
        <w:rPr>
          <w:rFonts w:hint="eastAsia" w:ascii="仿宋_GB2312" w:eastAsia="仿宋_GB2312"/>
          <w:color w:val="auto"/>
          <w:szCs w:val="32"/>
          <w:lang w:eastAsia="zh-CN"/>
        </w:rPr>
        <w:t>数的主要原因是一般公共服务支出、教育支出、城乡社区支出增加</w:t>
      </w:r>
      <w:r>
        <w:rPr>
          <w:rFonts w:hint="eastAsia" w:ascii="仿宋_GB2312" w:eastAsia="仿宋_GB2312"/>
          <w:color w:val="auto"/>
          <w:szCs w:val="32"/>
        </w:rPr>
        <w:t>。其中：</w:t>
      </w:r>
    </w:p>
    <w:p>
      <w:pPr>
        <w:spacing w:line="580" w:lineRule="exact"/>
        <w:ind w:firstLine="640" w:firstLineChars="200"/>
        <w:rPr>
          <w:rFonts w:hint="eastAsia" w:ascii="仿宋_GB2312" w:eastAsia="仿宋_GB2312"/>
          <w:color w:val="auto"/>
          <w:szCs w:val="32"/>
          <w:lang w:val="en-US" w:eastAsia="zh-CN"/>
        </w:rPr>
      </w:pPr>
      <w:r>
        <w:rPr>
          <w:rFonts w:hint="eastAsia" w:ascii="仿宋_GB2312" w:eastAsia="仿宋_GB2312"/>
          <w:color w:val="auto"/>
          <w:szCs w:val="32"/>
        </w:rPr>
        <w:t>1.一般公共服务支出（类）政府办公厅（室）及相关机构事务（款）行政运行（项）。年初预算为</w:t>
      </w:r>
      <w:r>
        <w:rPr>
          <w:rFonts w:hint="eastAsia" w:ascii="仿宋_GB2312" w:eastAsia="仿宋_GB2312"/>
          <w:color w:val="auto"/>
          <w:szCs w:val="32"/>
          <w:lang w:val="en-US" w:eastAsia="zh-CN"/>
        </w:rPr>
        <w:t>1841.66</w:t>
      </w:r>
      <w:r>
        <w:rPr>
          <w:rFonts w:hint="eastAsia" w:ascii="仿宋_GB2312" w:eastAsia="仿宋_GB2312"/>
          <w:color w:val="auto"/>
          <w:szCs w:val="32"/>
        </w:rPr>
        <w:t>万元，支出决算为</w:t>
      </w:r>
      <w:r>
        <w:rPr>
          <w:rFonts w:hint="eastAsia" w:ascii="仿宋_GB2312" w:eastAsia="仿宋_GB2312"/>
          <w:color w:val="auto"/>
          <w:szCs w:val="32"/>
          <w:lang w:val="en-US" w:eastAsia="zh-CN"/>
        </w:rPr>
        <w:t>2138.36</w:t>
      </w:r>
      <w:r>
        <w:rPr>
          <w:rFonts w:hint="eastAsia" w:ascii="仿宋_GB2312" w:eastAsia="仿宋_GB2312"/>
          <w:color w:val="auto"/>
          <w:szCs w:val="32"/>
        </w:rPr>
        <w:t>万元，完成年初预算的</w:t>
      </w:r>
      <w:r>
        <w:rPr>
          <w:rFonts w:hint="eastAsia" w:ascii="仿宋_GB2312" w:eastAsia="仿宋_GB2312"/>
          <w:color w:val="auto"/>
          <w:szCs w:val="32"/>
          <w:lang w:val="en-US" w:eastAsia="zh-CN"/>
        </w:rPr>
        <w:t>116.1</w:t>
      </w:r>
      <w:r>
        <w:rPr>
          <w:rFonts w:hint="eastAsia" w:ascii="仿宋_GB2312" w:eastAsia="仿宋_GB2312"/>
          <w:color w:val="auto"/>
          <w:szCs w:val="32"/>
        </w:rPr>
        <w:t>%。决算数</w:t>
      </w:r>
      <w:r>
        <w:rPr>
          <w:rFonts w:hint="eastAsia" w:ascii="仿宋_GB2312" w:eastAsia="仿宋_GB2312"/>
          <w:color w:val="auto"/>
          <w:szCs w:val="32"/>
          <w:lang w:eastAsia="zh-CN"/>
        </w:rPr>
        <w:t>大于</w:t>
      </w:r>
      <w:r>
        <w:rPr>
          <w:rFonts w:hint="eastAsia" w:ascii="仿宋_GB2312" w:eastAsia="仿宋_GB2312"/>
          <w:color w:val="auto"/>
          <w:szCs w:val="32"/>
        </w:rPr>
        <w:t>年初预算</w:t>
      </w:r>
      <w:r>
        <w:rPr>
          <w:rFonts w:hint="eastAsia" w:ascii="仿宋_GB2312" w:eastAsia="仿宋_GB2312"/>
          <w:color w:val="auto"/>
          <w:szCs w:val="32"/>
          <w:lang w:eastAsia="zh-CN"/>
        </w:rPr>
        <w:t>数的主要原因是疫情防控等支出增加。</w:t>
      </w:r>
      <w:r>
        <w:rPr>
          <w:rFonts w:hint="eastAsia" w:ascii="仿宋_GB2312" w:eastAsia="仿宋_GB2312"/>
          <w:color w:val="auto"/>
          <w:szCs w:val="32"/>
          <w:lang w:val="en-US" w:eastAsia="zh-CN"/>
        </w:rPr>
        <w:t xml:space="preserve">      </w:t>
      </w:r>
    </w:p>
    <w:p>
      <w:pPr>
        <w:spacing w:line="580" w:lineRule="exact"/>
        <w:ind w:firstLine="640" w:firstLineChars="200"/>
        <w:rPr>
          <w:rFonts w:ascii="仿宋_GB2312" w:eastAsia="仿宋_GB2312"/>
          <w:color w:val="auto"/>
          <w:szCs w:val="32"/>
        </w:rPr>
      </w:pPr>
      <w:r>
        <w:rPr>
          <w:rFonts w:hint="eastAsia" w:ascii="仿宋_GB2312" w:eastAsia="仿宋_GB2312"/>
          <w:color w:val="auto"/>
          <w:szCs w:val="32"/>
          <w:lang w:val="en-US" w:eastAsia="zh-CN"/>
        </w:rPr>
        <w:t>2</w:t>
      </w:r>
      <w:r>
        <w:rPr>
          <w:rFonts w:hint="eastAsia" w:ascii="仿宋_GB2312" w:eastAsia="仿宋_GB2312"/>
          <w:color w:val="auto"/>
          <w:szCs w:val="32"/>
        </w:rPr>
        <w:t>.</w:t>
      </w:r>
      <w:r>
        <w:rPr>
          <w:rFonts w:hint="eastAsia" w:ascii="仿宋_GB2312" w:hAnsi="楷体_GB2312" w:eastAsia="仿宋_GB2312" w:cs="楷体_GB2312"/>
          <w:color w:val="auto"/>
          <w:szCs w:val="32"/>
        </w:rPr>
        <w:t>公共安全支出（类）公安（款）其他公安支出（项）</w:t>
      </w:r>
      <w:r>
        <w:rPr>
          <w:rFonts w:hint="eastAsia" w:ascii="仿宋_GB2312" w:eastAsia="仿宋_GB2312"/>
          <w:color w:val="auto"/>
          <w:szCs w:val="32"/>
        </w:rPr>
        <w:t>。年初预算为</w:t>
      </w:r>
      <w:r>
        <w:rPr>
          <w:rFonts w:hint="eastAsia" w:ascii="仿宋_GB2312" w:eastAsia="仿宋_GB2312"/>
          <w:color w:val="auto"/>
          <w:szCs w:val="32"/>
          <w:lang w:val="en-US" w:eastAsia="zh-CN"/>
        </w:rPr>
        <w:t>119.11</w:t>
      </w:r>
      <w:r>
        <w:rPr>
          <w:rFonts w:hint="eastAsia" w:ascii="仿宋_GB2312" w:eastAsia="仿宋_GB2312"/>
          <w:color w:val="auto"/>
          <w:szCs w:val="32"/>
        </w:rPr>
        <w:t>万元，支出决算为</w:t>
      </w:r>
      <w:r>
        <w:rPr>
          <w:rFonts w:hint="eastAsia" w:ascii="仿宋_GB2312" w:eastAsia="仿宋_GB2312"/>
          <w:color w:val="auto"/>
          <w:szCs w:val="32"/>
          <w:lang w:val="en-US" w:eastAsia="zh-CN"/>
        </w:rPr>
        <w:t>123.34</w:t>
      </w:r>
      <w:r>
        <w:rPr>
          <w:rFonts w:hint="eastAsia" w:ascii="仿宋_GB2312" w:eastAsia="仿宋_GB2312"/>
          <w:color w:val="auto"/>
          <w:szCs w:val="32"/>
        </w:rPr>
        <w:t>万元，完成年初预算的</w:t>
      </w:r>
      <w:r>
        <w:rPr>
          <w:rFonts w:hint="eastAsia" w:ascii="仿宋_GB2312" w:eastAsia="仿宋_GB2312"/>
          <w:color w:val="auto"/>
          <w:szCs w:val="32"/>
          <w:lang w:val="en-US" w:eastAsia="zh-CN"/>
        </w:rPr>
        <w:t>103.6</w:t>
      </w:r>
      <w:r>
        <w:rPr>
          <w:rFonts w:hint="eastAsia" w:ascii="仿宋_GB2312" w:eastAsia="仿宋_GB2312"/>
          <w:color w:val="auto"/>
          <w:szCs w:val="32"/>
        </w:rPr>
        <w:t>%。决算数与年初预算基本持平。</w:t>
      </w:r>
    </w:p>
    <w:p>
      <w:pPr>
        <w:spacing w:line="580" w:lineRule="exact"/>
        <w:ind w:firstLine="640" w:firstLineChars="200"/>
        <w:rPr>
          <w:rFonts w:ascii="仿宋_GB2312" w:eastAsia="仿宋_GB2312"/>
          <w:color w:val="auto"/>
          <w:szCs w:val="32"/>
        </w:rPr>
      </w:pPr>
      <w:r>
        <w:rPr>
          <w:rFonts w:hint="eastAsia" w:ascii="仿宋_GB2312" w:eastAsia="仿宋_GB2312"/>
          <w:color w:val="auto"/>
          <w:szCs w:val="32"/>
          <w:lang w:val="en-US" w:eastAsia="zh-CN"/>
        </w:rPr>
        <w:t>3</w:t>
      </w:r>
      <w:r>
        <w:rPr>
          <w:rFonts w:hint="eastAsia" w:ascii="仿宋_GB2312" w:eastAsia="仿宋_GB2312"/>
          <w:color w:val="auto"/>
          <w:szCs w:val="32"/>
        </w:rPr>
        <w:t>.</w:t>
      </w:r>
      <w:r>
        <w:rPr>
          <w:rFonts w:hint="eastAsia" w:ascii="仿宋_GB2312" w:hAnsi="楷体_GB2312" w:eastAsia="仿宋_GB2312" w:cs="楷体_GB2312"/>
          <w:color w:val="auto"/>
          <w:szCs w:val="32"/>
        </w:rPr>
        <w:t>教育支出（类）普通教育（款）学前教育（项）支出。</w:t>
      </w:r>
      <w:r>
        <w:rPr>
          <w:rFonts w:hint="eastAsia" w:ascii="仿宋_GB2312" w:eastAsia="仿宋_GB2312"/>
          <w:color w:val="auto"/>
          <w:szCs w:val="32"/>
        </w:rPr>
        <w:t>年初预算为</w:t>
      </w:r>
      <w:r>
        <w:rPr>
          <w:rFonts w:hint="eastAsia" w:ascii="仿宋_GB2312" w:eastAsia="仿宋_GB2312"/>
          <w:color w:val="auto"/>
          <w:szCs w:val="32"/>
          <w:lang w:val="en-US" w:eastAsia="zh-CN"/>
        </w:rPr>
        <w:t>70.8</w:t>
      </w:r>
      <w:r>
        <w:rPr>
          <w:rFonts w:hint="eastAsia" w:ascii="仿宋_GB2312" w:eastAsia="仿宋_GB2312"/>
          <w:color w:val="auto"/>
          <w:szCs w:val="32"/>
        </w:rPr>
        <w:t>万元，支出决算为</w:t>
      </w:r>
      <w:r>
        <w:rPr>
          <w:rFonts w:hint="eastAsia" w:ascii="仿宋_GB2312" w:eastAsia="仿宋_GB2312"/>
          <w:color w:val="auto"/>
          <w:szCs w:val="32"/>
          <w:lang w:val="en-US" w:eastAsia="zh-CN"/>
        </w:rPr>
        <w:t>178.48</w:t>
      </w:r>
      <w:r>
        <w:rPr>
          <w:rFonts w:hint="eastAsia" w:ascii="仿宋_GB2312" w:eastAsia="仿宋_GB2312"/>
          <w:color w:val="auto"/>
          <w:szCs w:val="32"/>
        </w:rPr>
        <w:t>万元，完成年初预算的</w:t>
      </w:r>
      <w:r>
        <w:rPr>
          <w:rFonts w:hint="eastAsia" w:ascii="仿宋_GB2312" w:eastAsia="仿宋_GB2312"/>
          <w:color w:val="auto"/>
          <w:szCs w:val="32"/>
          <w:lang w:val="en-US" w:eastAsia="zh-CN"/>
        </w:rPr>
        <w:t>252.1</w:t>
      </w:r>
      <w:r>
        <w:rPr>
          <w:rFonts w:hint="eastAsia" w:ascii="仿宋_GB2312" w:eastAsia="仿宋_GB2312"/>
          <w:color w:val="auto"/>
          <w:szCs w:val="32"/>
        </w:rPr>
        <w:t>%。决算数</w:t>
      </w:r>
      <w:r>
        <w:rPr>
          <w:rFonts w:hint="eastAsia" w:ascii="仿宋_GB2312" w:eastAsia="仿宋_GB2312"/>
          <w:color w:val="auto"/>
          <w:szCs w:val="32"/>
          <w:lang w:eastAsia="zh-CN"/>
        </w:rPr>
        <w:t>大于</w:t>
      </w:r>
      <w:r>
        <w:rPr>
          <w:rFonts w:hint="eastAsia" w:ascii="仿宋_GB2312" w:eastAsia="仿宋_GB2312"/>
          <w:color w:val="auto"/>
          <w:szCs w:val="32"/>
        </w:rPr>
        <w:t>年初预算</w:t>
      </w:r>
      <w:r>
        <w:rPr>
          <w:rFonts w:hint="eastAsia" w:ascii="仿宋_GB2312" w:eastAsia="仿宋_GB2312"/>
          <w:color w:val="auto"/>
          <w:szCs w:val="32"/>
          <w:lang w:eastAsia="zh-CN"/>
        </w:rPr>
        <w:t>数的主要原因是幼儿园非公办教师工资补助增加。</w:t>
      </w:r>
      <w:r>
        <w:rPr>
          <w:rFonts w:hint="eastAsia" w:ascii="仿宋_GB2312" w:eastAsia="仿宋_GB2312"/>
          <w:color w:val="auto"/>
          <w:szCs w:val="32"/>
          <w:lang w:val="en-US" w:eastAsia="zh-CN"/>
        </w:rPr>
        <w:t xml:space="preserve">      </w:t>
      </w:r>
    </w:p>
    <w:p>
      <w:pPr>
        <w:spacing w:line="580" w:lineRule="exact"/>
        <w:ind w:firstLine="640" w:firstLineChars="200"/>
        <w:rPr>
          <w:rFonts w:ascii="仿宋_GB2312" w:eastAsia="仿宋_GB2312"/>
          <w:color w:val="auto"/>
          <w:szCs w:val="32"/>
        </w:rPr>
      </w:pPr>
      <w:r>
        <w:rPr>
          <w:rFonts w:hint="eastAsia" w:ascii="仿宋_GB2312" w:eastAsia="仿宋_GB2312"/>
          <w:color w:val="auto"/>
          <w:szCs w:val="32"/>
          <w:lang w:val="en-US" w:eastAsia="zh-CN"/>
        </w:rPr>
        <w:t>4</w:t>
      </w:r>
      <w:r>
        <w:rPr>
          <w:rFonts w:hint="eastAsia" w:ascii="仿宋_GB2312" w:eastAsia="仿宋_GB2312"/>
          <w:color w:val="auto"/>
          <w:szCs w:val="32"/>
        </w:rPr>
        <w:t>.</w:t>
      </w:r>
      <w:r>
        <w:rPr>
          <w:rFonts w:hint="eastAsia" w:ascii="仿宋_GB2312" w:hAnsi="楷体_GB2312" w:eastAsia="仿宋_GB2312" w:cs="楷体_GB2312"/>
          <w:color w:val="auto"/>
          <w:szCs w:val="32"/>
        </w:rPr>
        <w:t>教育支出（类）普通教育（款）小学教育（项）支出。</w:t>
      </w:r>
      <w:r>
        <w:rPr>
          <w:rFonts w:hint="eastAsia" w:ascii="仿宋_GB2312" w:eastAsia="仿宋_GB2312"/>
          <w:color w:val="auto"/>
          <w:szCs w:val="32"/>
        </w:rPr>
        <w:t>年初预算为</w:t>
      </w:r>
      <w:r>
        <w:rPr>
          <w:rFonts w:hint="eastAsia" w:ascii="仿宋_GB2312" w:eastAsia="仿宋_GB2312"/>
          <w:color w:val="auto"/>
          <w:szCs w:val="32"/>
          <w:lang w:val="en-US" w:eastAsia="zh-CN"/>
        </w:rPr>
        <w:t>510</w:t>
      </w:r>
      <w:r>
        <w:rPr>
          <w:rFonts w:hint="eastAsia" w:ascii="仿宋_GB2312" w:eastAsia="仿宋_GB2312"/>
          <w:color w:val="auto"/>
          <w:szCs w:val="32"/>
        </w:rPr>
        <w:t>万元，支出决算为</w:t>
      </w:r>
      <w:r>
        <w:rPr>
          <w:rFonts w:hint="eastAsia" w:ascii="仿宋_GB2312" w:eastAsia="仿宋_GB2312"/>
          <w:color w:val="auto"/>
          <w:szCs w:val="32"/>
          <w:lang w:val="en-US" w:eastAsia="zh-CN"/>
        </w:rPr>
        <w:t>510</w:t>
      </w:r>
      <w:r>
        <w:rPr>
          <w:rFonts w:hint="eastAsia" w:ascii="仿宋_GB2312" w:eastAsia="仿宋_GB2312"/>
          <w:color w:val="auto"/>
          <w:szCs w:val="32"/>
        </w:rPr>
        <w:t>万元，完成年初预算的100%。决算数与年初预算基本持平。</w:t>
      </w:r>
    </w:p>
    <w:p>
      <w:pPr>
        <w:spacing w:line="580" w:lineRule="exact"/>
        <w:ind w:firstLine="640" w:firstLineChars="200"/>
        <w:rPr>
          <w:rFonts w:ascii="仿宋_GB2312" w:hAnsi="楷体_GB2312" w:eastAsia="仿宋_GB2312" w:cs="楷体_GB2312"/>
          <w:color w:val="auto"/>
          <w:szCs w:val="32"/>
        </w:rPr>
      </w:pPr>
      <w:r>
        <w:rPr>
          <w:rFonts w:hint="eastAsia" w:ascii="仿宋_GB2312" w:hAnsi="楷体_GB2312" w:eastAsia="仿宋_GB2312" w:cs="楷体_GB2312"/>
          <w:color w:val="auto"/>
          <w:szCs w:val="32"/>
          <w:lang w:val="en-US" w:eastAsia="zh-CN"/>
        </w:rPr>
        <w:t>5</w:t>
      </w:r>
      <w:r>
        <w:rPr>
          <w:rFonts w:hint="eastAsia" w:ascii="仿宋_GB2312" w:hAnsi="楷体_GB2312" w:eastAsia="仿宋_GB2312" w:cs="楷体_GB2312"/>
          <w:color w:val="auto"/>
          <w:szCs w:val="32"/>
        </w:rPr>
        <w:t>.科学技术支出（类）其他科学技术支出（款）其他科学技术支出（项）。</w:t>
      </w:r>
      <w:r>
        <w:rPr>
          <w:rFonts w:hint="eastAsia" w:ascii="仿宋_GB2312" w:eastAsia="仿宋_GB2312"/>
          <w:color w:val="auto"/>
          <w:szCs w:val="32"/>
        </w:rPr>
        <w:t>年初预算为</w:t>
      </w:r>
      <w:r>
        <w:rPr>
          <w:rFonts w:hint="eastAsia" w:ascii="仿宋_GB2312" w:eastAsia="仿宋_GB2312"/>
          <w:color w:val="auto"/>
          <w:szCs w:val="32"/>
          <w:lang w:val="en-US" w:eastAsia="zh-CN"/>
        </w:rPr>
        <w:t>2796.6</w:t>
      </w:r>
      <w:r>
        <w:rPr>
          <w:rFonts w:hint="eastAsia" w:ascii="仿宋_GB2312" w:eastAsia="仿宋_GB2312"/>
          <w:color w:val="auto"/>
          <w:szCs w:val="32"/>
        </w:rPr>
        <w:t>万元，支出决算为</w:t>
      </w:r>
      <w:r>
        <w:rPr>
          <w:rFonts w:hint="eastAsia" w:ascii="仿宋_GB2312" w:eastAsia="仿宋_GB2312"/>
          <w:color w:val="auto"/>
          <w:szCs w:val="32"/>
          <w:lang w:val="en-US" w:eastAsia="zh-CN"/>
        </w:rPr>
        <w:t>2796.6</w:t>
      </w:r>
      <w:r>
        <w:rPr>
          <w:rFonts w:hint="eastAsia" w:ascii="仿宋_GB2312" w:eastAsia="仿宋_GB2312"/>
          <w:color w:val="auto"/>
          <w:szCs w:val="32"/>
        </w:rPr>
        <w:t>万元，完成年初预算的100%。决算数与年初预算基本持平。</w:t>
      </w:r>
    </w:p>
    <w:p>
      <w:pPr>
        <w:spacing w:line="580" w:lineRule="exact"/>
        <w:ind w:firstLine="640" w:firstLineChars="200"/>
        <w:rPr>
          <w:rFonts w:hint="eastAsia" w:ascii="仿宋_GB2312" w:eastAsia="仿宋_GB2312"/>
          <w:color w:val="auto"/>
          <w:szCs w:val="32"/>
          <w:lang w:eastAsia="zh-CN"/>
        </w:rPr>
      </w:pPr>
      <w:r>
        <w:rPr>
          <w:rFonts w:hint="eastAsia" w:ascii="仿宋_GB2312" w:hAnsi="楷体_GB2312" w:eastAsia="仿宋_GB2312" w:cs="楷体_GB2312"/>
          <w:color w:val="auto"/>
          <w:szCs w:val="32"/>
          <w:lang w:val="en-US" w:eastAsia="zh-CN"/>
        </w:rPr>
        <w:t>6</w:t>
      </w:r>
      <w:r>
        <w:rPr>
          <w:rFonts w:hint="eastAsia" w:ascii="仿宋_GB2312" w:hAnsi="楷体_GB2312" w:eastAsia="仿宋_GB2312" w:cs="楷体_GB2312"/>
          <w:color w:val="auto"/>
          <w:szCs w:val="32"/>
        </w:rPr>
        <w:t>.文化旅游体育与传媒支出（类）其他文化旅游体育与传媒支出（款）其他文化旅游体育与传媒支出（项）。</w:t>
      </w:r>
      <w:r>
        <w:rPr>
          <w:rFonts w:hint="eastAsia" w:ascii="仿宋_GB2312" w:eastAsia="仿宋_GB2312"/>
          <w:color w:val="auto"/>
          <w:szCs w:val="32"/>
        </w:rPr>
        <w:t>年初预算为</w:t>
      </w:r>
      <w:r>
        <w:rPr>
          <w:rFonts w:hint="eastAsia" w:ascii="仿宋_GB2312" w:eastAsia="仿宋_GB2312"/>
          <w:color w:val="auto"/>
          <w:szCs w:val="32"/>
          <w:lang w:val="en-US" w:eastAsia="zh-CN"/>
        </w:rPr>
        <w:t>0</w:t>
      </w:r>
      <w:r>
        <w:rPr>
          <w:rFonts w:hint="eastAsia" w:ascii="仿宋_GB2312" w:eastAsia="仿宋_GB2312"/>
          <w:color w:val="auto"/>
          <w:szCs w:val="32"/>
        </w:rPr>
        <w:t>万元，支出决算为</w:t>
      </w:r>
      <w:r>
        <w:rPr>
          <w:rFonts w:hint="eastAsia" w:ascii="仿宋_GB2312" w:eastAsia="仿宋_GB2312"/>
          <w:color w:val="auto"/>
          <w:szCs w:val="32"/>
          <w:lang w:val="en-US" w:eastAsia="zh-CN"/>
        </w:rPr>
        <w:t>49.87</w:t>
      </w:r>
      <w:r>
        <w:rPr>
          <w:rFonts w:hint="eastAsia" w:ascii="仿宋_GB2312" w:eastAsia="仿宋_GB2312"/>
          <w:color w:val="auto"/>
          <w:szCs w:val="32"/>
        </w:rPr>
        <w:t>万元。决算数</w:t>
      </w:r>
      <w:r>
        <w:rPr>
          <w:rFonts w:hint="eastAsia" w:ascii="仿宋_GB2312" w:eastAsia="仿宋_GB2312"/>
          <w:color w:val="auto"/>
          <w:szCs w:val="32"/>
          <w:lang w:eastAsia="zh-CN"/>
        </w:rPr>
        <w:t>大于</w:t>
      </w:r>
      <w:r>
        <w:rPr>
          <w:rFonts w:hint="eastAsia" w:ascii="仿宋_GB2312" w:eastAsia="仿宋_GB2312"/>
          <w:color w:val="auto"/>
          <w:szCs w:val="32"/>
        </w:rPr>
        <w:t>年初预算</w:t>
      </w:r>
      <w:r>
        <w:rPr>
          <w:rFonts w:hint="eastAsia" w:ascii="仿宋_GB2312" w:eastAsia="仿宋_GB2312"/>
          <w:color w:val="auto"/>
          <w:szCs w:val="32"/>
          <w:lang w:eastAsia="zh-CN"/>
        </w:rPr>
        <w:t>数的主要原因是音乐文化活动支出增加。</w:t>
      </w:r>
    </w:p>
    <w:p>
      <w:pPr>
        <w:spacing w:line="580" w:lineRule="exact"/>
        <w:ind w:firstLine="640" w:firstLineChars="200"/>
        <w:rPr>
          <w:rFonts w:ascii="仿宋_GB2312" w:hAnsi="楷体_GB2312" w:eastAsia="仿宋_GB2312" w:cs="楷体_GB2312"/>
          <w:szCs w:val="32"/>
        </w:rPr>
      </w:pPr>
      <w:r>
        <w:rPr>
          <w:rFonts w:hint="eastAsia" w:ascii="仿宋_GB2312" w:hAnsi="楷体_GB2312" w:eastAsia="仿宋_GB2312" w:cs="楷体_GB2312"/>
          <w:color w:val="auto"/>
          <w:szCs w:val="32"/>
          <w:lang w:val="en-US" w:eastAsia="zh-CN"/>
        </w:rPr>
        <w:t>7</w:t>
      </w:r>
      <w:r>
        <w:rPr>
          <w:rFonts w:hint="eastAsia" w:ascii="仿宋_GB2312" w:hAnsi="楷体_GB2312" w:eastAsia="仿宋_GB2312" w:cs="楷体_GB2312"/>
          <w:color w:val="auto"/>
          <w:szCs w:val="32"/>
        </w:rPr>
        <w:t>.其他城乡支出（类）其他城乡社区支出（款）其他城乡社区支出（项）。</w:t>
      </w:r>
      <w:r>
        <w:rPr>
          <w:rFonts w:hint="eastAsia" w:ascii="仿宋_GB2312" w:eastAsia="仿宋_GB2312"/>
          <w:color w:val="auto"/>
          <w:szCs w:val="32"/>
        </w:rPr>
        <w:t>年初预算为</w:t>
      </w:r>
      <w:r>
        <w:rPr>
          <w:rFonts w:hint="eastAsia" w:ascii="仿宋_GB2312" w:eastAsia="仿宋_GB2312"/>
          <w:color w:val="auto"/>
          <w:szCs w:val="32"/>
          <w:lang w:val="en-US" w:eastAsia="zh-CN"/>
        </w:rPr>
        <w:t>1136.5</w:t>
      </w:r>
      <w:r>
        <w:rPr>
          <w:rFonts w:hint="eastAsia" w:ascii="仿宋_GB2312" w:eastAsia="仿宋_GB2312"/>
          <w:color w:val="auto"/>
          <w:szCs w:val="32"/>
        </w:rPr>
        <w:t>万元，支出决算为</w:t>
      </w:r>
      <w:r>
        <w:rPr>
          <w:rFonts w:hint="eastAsia" w:ascii="仿宋_GB2312" w:eastAsia="仿宋_GB2312"/>
          <w:color w:val="auto"/>
          <w:szCs w:val="32"/>
          <w:lang w:val="en-US" w:eastAsia="zh-CN"/>
        </w:rPr>
        <w:t>1571.89</w:t>
      </w:r>
      <w:r>
        <w:rPr>
          <w:rFonts w:hint="eastAsia" w:ascii="仿宋_GB2312" w:eastAsia="仿宋_GB2312"/>
          <w:color w:val="auto"/>
          <w:szCs w:val="32"/>
        </w:rPr>
        <w:t>万元，完成年初预算的</w:t>
      </w:r>
      <w:r>
        <w:rPr>
          <w:rFonts w:hint="eastAsia" w:ascii="仿宋_GB2312" w:eastAsia="仿宋_GB2312"/>
          <w:color w:val="auto"/>
          <w:szCs w:val="32"/>
          <w:lang w:val="en-US" w:eastAsia="zh-CN"/>
        </w:rPr>
        <w:t>138.3</w:t>
      </w:r>
      <w:r>
        <w:rPr>
          <w:rFonts w:hint="eastAsia" w:ascii="仿宋_GB2312" w:eastAsia="仿宋_GB2312"/>
          <w:color w:val="auto"/>
          <w:szCs w:val="32"/>
        </w:rPr>
        <w:t>%。决算数</w:t>
      </w:r>
      <w:r>
        <w:rPr>
          <w:rFonts w:hint="eastAsia" w:ascii="仿宋_GB2312" w:eastAsia="仿宋_GB2312"/>
          <w:color w:val="auto"/>
          <w:szCs w:val="32"/>
          <w:lang w:eastAsia="zh-CN"/>
        </w:rPr>
        <w:t>大于</w:t>
      </w:r>
      <w:r>
        <w:rPr>
          <w:rFonts w:hint="eastAsia" w:ascii="仿宋_GB2312" w:eastAsia="仿宋_GB2312"/>
          <w:color w:val="auto"/>
          <w:szCs w:val="32"/>
        </w:rPr>
        <w:t>年初预算</w:t>
      </w:r>
      <w:r>
        <w:rPr>
          <w:rFonts w:hint="eastAsia" w:ascii="仿宋_GB2312" w:eastAsia="仿宋_GB2312"/>
          <w:color w:val="auto"/>
          <w:szCs w:val="32"/>
          <w:lang w:eastAsia="zh-CN"/>
        </w:rPr>
        <w:t>数的主要原因是城市运维支出增加。</w:t>
      </w:r>
    </w:p>
    <w:p>
      <w:pPr>
        <w:spacing w:line="580" w:lineRule="exact"/>
        <w:ind w:firstLine="640" w:firstLineChars="200"/>
        <w:rPr>
          <w:rFonts w:ascii="黑体" w:hAnsi="黑体" w:eastAsia="黑体"/>
          <w:szCs w:val="32"/>
        </w:rPr>
      </w:pPr>
      <w:r>
        <w:rPr>
          <w:rFonts w:hint="eastAsia" w:ascii="黑体" w:hAnsi="黑体" w:eastAsia="黑体"/>
          <w:szCs w:val="32"/>
        </w:rPr>
        <w:t>六、一般公共预算财政拨款基本支出决算情况</w:t>
      </w:r>
    </w:p>
    <w:p>
      <w:pPr>
        <w:spacing w:line="580" w:lineRule="exact"/>
        <w:ind w:firstLine="640" w:firstLineChars="200"/>
        <w:rPr>
          <w:rFonts w:ascii="仿宋_GB2312" w:eastAsia="仿宋_GB2312"/>
          <w:szCs w:val="32"/>
        </w:rPr>
      </w:pPr>
      <w:r>
        <w:rPr>
          <w:rFonts w:hint="eastAsia" w:ascii="仿宋_GB2312" w:eastAsia="仿宋_GB2312"/>
          <w:szCs w:val="32"/>
        </w:rPr>
        <w:t>202</w:t>
      </w:r>
      <w:r>
        <w:rPr>
          <w:rFonts w:hint="eastAsia" w:ascii="仿宋_GB2312" w:eastAsia="仿宋_GB2312"/>
          <w:szCs w:val="32"/>
          <w:lang w:val="en-US" w:eastAsia="zh-CN"/>
        </w:rPr>
        <w:t>2</w:t>
      </w:r>
      <w:r>
        <w:rPr>
          <w:rFonts w:hint="eastAsia" w:ascii="仿宋_GB2312" w:eastAsia="仿宋_GB2312"/>
          <w:szCs w:val="32"/>
        </w:rPr>
        <w:t>年度一般公共预算财政拨款基本支出决算</w:t>
      </w:r>
      <w:r>
        <w:rPr>
          <w:rFonts w:hint="eastAsia" w:ascii="仿宋_GB2312" w:eastAsia="仿宋_GB2312"/>
          <w:szCs w:val="32"/>
          <w:lang w:val="en-US" w:eastAsia="zh-CN"/>
        </w:rPr>
        <w:t>2138.36</w:t>
      </w:r>
      <w:r>
        <w:rPr>
          <w:rFonts w:hint="eastAsia" w:ascii="仿宋_GB2312" w:eastAsia="仿宋_GB2312"/>
          <w:szCs w:val="32"/>
        </w:rPr>
        <w:t>万元，包括人员经费和公用经费，支出具体情况如下：</w:t>
      </w:r>
    </w:p>
    <w:p>
      <w:pPr>
        <w:spacing w:line="580" w:lineRule="exact"/>
        <w:ind w:firstLine="640" w:firstLineChars="200"/>
        <w:rPr>
          <w:rFonts w:ascii="仿宋_GB2312" w:eastAsia="仿宋_GB2312"/>
          <w:b/>
          <w:szCs w:val="32"/>
        </w:rPr>
      </w:pPr>
      <w:r>
        <w:rPr>
          <w:rFonts w:hint="eastAsia" w:ascii="仿宋_GB2312" w:eastAsia="仿宋_GB2312"/>
          <w:szCs w:val="32"/>
        </w:rPr>
        <w:t>人员经费</w:t>
      </w:r>
      <w:r>
        <w:rPr>
          <w:rFonts w:hint="eastAsia" w:ascii="仿宋_GB2312" w:eastAsia="仿宋_GB2312"/>
          <w:szCs w:val="32"/>
          <w:lang w:val="en-US" w:eastAsia="zh-CN"/>
        </w:rPr>
        <w:t>1832.12</w:t>
      </w:r>
      <w:r>
        <w:rPr>
          <w:rFonts w:hint="eastAsia" w:ascii="仿宋_GB2312" w:eastAsia="仿宋_GB2312"/>
          <w:szCs w:val="32"/>
        </w:rPr>
        <w:t>万元，主要包括：基本工资13</w:t>
      </w:r>
      <w:r>
        <w:rPr>
          <w:rFonts w:hint="eastAsia" w:ascii="仿宋_GB2312" w:eastAsia="仿宋_GB2312"/>
          <w:szCs w:val="32"/>
          <w:lang w:val="en-US" w:eastAsia="zh-CN"/>
        </w:rPr>
        <w:t>17.41</w:t>
      </w:r>
      <w:r>
        <w:rPr>
          <w:rFonts w:hint="eastAsia" w:ascii="仿宋_GB2312" w:eastAsia="仿宋_GB2312"/>
          <w:szCs w:val="32"/>
        </w:rPr>
        <w:t>万元、津贴补贴10.</w:t>
      </w:r>
      <w:r>
        <w:rPr>
          <w:rFonts w:hint="eastAsia" w:ascii="仿宋_GB2312" w:eastAsia="仿宋_GB2312"/>
          <w:szCs w:val="32"/>
          <w:lang w:val="en-US" w:eastAsia="zh-CN"/>
        </w:rPr>
        <w:t>67</w:t>
      </w:r>
      <w:r>
        <w:rPr>
          <w:rFonts w:hint="eastAsia" w:ascii="仿宋_GB2312" w:eastAsia="仿宋_GB2312"/>
          <w:szCs w:val="32"/>
        </w:rPr>
        <w:t>万元、奖金</w:t>
      </w:r>
      <w:r>
        <w:rPr>
          <w:rFonts w:hint="eastAsia" w:ascii="仿宋_GB2312" w:eastAsia="仿宋_GB2312"/>
          <w:szCs w:val="32"/>
          <w:lang w:val="en-US" w:eastAsia="zh-CN"/>
        </w:rPr>
        <w:t>0.8</w:t>
      </w:r>
      <w:r>
        <w:rPr>
          <w:rFonts w:hint="eastAsia" w:ascii="仿宋_GB2312" w:eastAsia="仿宋_GB2312"/>
          <w:szCs w:val="32"/>
        </w:rPr>
        <w:t>万元、绩效工资</w:t>
      </w:r>
      <w:r>
        <w:rPr>
          <w:rFonts w:hint="eastAsia" w:ascii="仿宋_GB2312" w:eastAsia="仿宋_GB2312"/>
          <w:szCs w:val="32"/>
          <w:lang w:val="en-US" w:eastAsia="zh-CN"/>
        </w:rPr>
        <w:t>7.63</w:t>
      </w:r>
      <w:r>
        <w:rPr>
          <w:rFonts w:hint="eastAsia" w:ascii="仿宋_GB2312" w:eastAsia="仿宋_GB2312"/>
          <w:szCs w:val="32"/>
        </w:rPr>
        <w:t>万元、机关事业单位基本养老保险缴费</w:t>
      </w:r>
      <w:r>
        <w:rPr>
          <w:rFonts w:hint="eastAsia" w:ascii="仿宋_GB2312" w:eastAsia="仿宋_GB2312"/>
          <w:szCs w:val="32"/>
          <w:lang w:val="en-US" w:eastAsia="zh-CN"/>
        </w:rPr>
        <w:t>140.25</w:t>
      </w:r>
      <w:r>
        <w:rPr>
          <w:rFonts w:hint="eastAsia" w:ascii="仿宋_GB2312" w:eastAsia="仿宋_GB2312"/>
          <w:szCs w:val="32"/>
        </w:rPr>
        <w:t>万元、职业年金缴费</w:t>
      </w:r>
      <w:r>
        <w:rPr>
          <w:rFonts w:hint="eastAsia" w:ascii="仿宋_GB2312" w:eastAsia="仿宋_GB2312"/>
          <w:szCs w:val="32"/>
          <w:lang w:val="en-US" w:eastAsia="zh-CN"/>
        </w:rPr>
        <w:t>100.77</w:t>
      </w:r>
      <w:r>
        <w:rPr>
          <w:rFonts w:hint="eastAsia" w:ascii="仿宋_GB2312" w:eastAsia="仿宋_GB2312"/>
          <w:szCs w:val="32"/>
        </w:rPr>
        <w:t>万元、职工基本医疗保险费</w:t>
      </w:r>
      <w:r>
        <w:rPr>
          <w:rFonts w:hint="eastAsia" w:ascii="仿宋_GB2312" w:eastAsia="仿宋_GB2312"/>
          <w:szCs w:val="32"/>
          <w:lang w:val="en-US" w:eastAsia="zh-CN"/>
        </w:rPr>
        <w:t>101.32</w:t>
      </w:r>
      <w:r>
        <w:rPr>
          <w:rFonts w:hint="eastAsia" w:ascii="仿宋_GB2312" w:eastAsia="仿宋_GB2312"/>
          <w:szCs w:val="32"/>
        </w:rPr>
        <w:t>万元、其他社会保障缴费</w:t>
      </w:r>
      <w:r>
        <w:rPr>
          <w:rFonts w:hint="eastAsia" w:ascii="仿宋_GB2312" w:eastAsia="仿宋_GB2312"/>
          <w:szCs w:val="32"/>
          <w:lang w:val="en-US" w:eastAsia="zh-CN"/>
        </w:rPr>
        <w:t>7.1</w:t>
      </w:r>
      <w:r>
        <w:rPr>
          <w:rFonts w:hint="eastAsia" w:ascii="仿宋_GB2312" w:eastAsia="仿宋_GB2312"/>
          <w:szCs w:val="32"/>
        </w:rPr>
        <w:t>万元、住房公积金</w:t>
      </w:r>
      <w:r>
        <w:rPr>
          <w:rFonts w:hint="eastAsia" w:ascii="仿宋_GB2312" w:eastAsia="仿宋_GB2312"/>
          <w:szCs w:val="32"/>
          <w:lang w:val="en-US" w:eastAsia="zh-CN"/>
        </w:rPr>
        <w:t>146.15</w:t>
      </w:r>
      <w:r>
        <w:rPr>
          <w:rFonts w:hint="eastAsia" w:ascii="仿宋_GB2312" w:eastAsia="仿宋_GB2312"/>
          <w:szCs w:val="32"/>
        </w:rPr>
        <w:t>万元。</w:t>
      </w:r>
    </w:p>
    <w:p>
      <w:pPr>
        <w:spacing w:line="580" w:lineRule="exact"/>
        <w:ind w:firstLine="640" w:firstLineChars="200"/>
        <w:rPr>
          <w:rFonts w:ascii="仿宋_GB2312" w:eastAsia="仿宋_GB2312"/>
          <w:b/>
          <w:szCs w:val="32"/>
        </w:rPr>
      </w:pPr>
      <w:r>
        <w:rPr>
          <w:rFonts w:hint="eastAsia" w:ascii="仿宋_GB2312" w:eastAsia="仿宋_GB2312"/>
          <w:szCs w:val="32"/>
        </w:rPr>
        <w:t>公用经费</w:t>
      </w:r>
      <w:r>
        <w:rPr>
          <w:rFonts w:hint="eastAsia" w:ascii="仿宋_GB2312" w:eastAsia="仿宋_GB2312"/>
          <w:szCs w:val="32"/>
          <w:lang w:val="en-US" w:eastAsia="zh-CN"/>
        </w:rPr>
        <w:t>306.24</w:t>
      </w:r>
      <w:r>
        <w:rPr>
          <w:rFonts w:hint="eastAsia" w:ascii="仿宋_GB2312" w:eastAsia="仿宋_GB2312"/>
          <w:szCs w:val="32"/>
        </w:rPr>
        <w:t>万元，主要包括：办公费</w:t>
      </w:r>
      <w:r>
        <w:rPr>
          <w:rFonts w:hint="eastAsia" w:ascii="仿宋_GB2312" w:eastAsia="仿宋_GB2312"/>
          <w:szCs w:val="32"/>
          <w:lang w:val="en-US" w:eastAsia="zh-CN"/>
        </w:rPr>
        <w:t>17.7</w:t>
      </w:r>
      <w:r>
        <w:rPr>
          <w:rFonts w:hint="eastAsia" w:ascii="仿宋_GB2312" w:eastAsia="仿宋_GB2312"/>
          <w:szCs w:val="32"/>
        </w:rPr>
        <w:t>万元、</w:t>
      </w:r>
      <w:r>
        <w:rPr>
          <w:rFonts w:hint="eastAsia" w:ascii="仿宋_GB2312" w:eastAsia="仿宋_GB2312"/>
          <w:szCs w:val="32"/>
          <w:lang w:eastAsia="zh-CN"/>
        </w:rPr>
        <w:t>电费</w:t>
      </w:r>
      <w:r>
        <w:rPr>
          <w:rFonts w:hint="eastAsia" w:ascii="仿宋_GB2312" w:eastAsia="仿宋_GB2312"/>
          <w:szCs w:val="32"/>
          <w:lang w:val="en-US" w:eastAsia="zh-CN"/>
        </w:rPr>
        <w:t>4.2万元、</w:t>
      </w:r>
      <w:r>
        <w:rPr>
          <w:rFonts w:hint="eastAsia" w:ascii="仿宋_GB2312" w:eastAsia="仿宋_GB2312"/>
          <w:szCs w:val="32"/>
        </w:rPr>
        <w:t>邮电费</w:t>
      </w:r>
      <w:r>
        <w:rPr>
          <w:rFonts w:hint="eastAsia" w:ascii="仿宋_GB2312" w:eastAsia="仿宋_GB2312"/>
          <w:szCs w:val="32"/>
          <w:lang w:val="en-US" w:eastAsia="zh-CN"/>
        </w:rPr>
        <w:t>6.29</w:t>
      </w:r>
      <w:r>
        <w:rPr>
          <w:rFonts w:hint="eastAsia" w:ascii="仿宋_GB2312" w:eastAsia="仿宋_GB2312"/>
          <w:szCs w:val="32"/>
        </w:rPr>
        <w:t>万元、</w:t>
      </w:r>
      <w:r>
        <w:rPr>
          <w:rFonts w:hint="eastAsia" w:ascii="仿宋_GB2312" w:eastAsia="仿宋_GB2312"/>
          <w:szCs w:val="32"/>
          <w:lang w:eastAsia="zh-CN"/>
        </w:rPr>
        <w:t>取暖费</w:t>
      </w:r>
      <w:r>
        <w:rPr>
          <w:rFonts w:hint="eastAsia" w:ascii="仿宋_GB2312" w:eastAsia="仿宋_GB2312"/>
          <w:szCs w:val="32"/>
          <w:lang w:val="en-US" w:eastAsia="zh-CN"/>
        </w:rPr>
        <w:t>15.24万元、</w:t>
      </w:r>
      <w:r>
        <w:rPr>
          <w:rFonts w:hint="eastAsia" w:ascii="仿宋_GB2312" w:eastAsia="仿宋_GB2312"/>
          <w:szCs w:val="32"/>
        </w:rPr>
        <w:t>物业管理费</w:t>
      </w:r>
      <w:r>
        <w:rPr>
          <w:rFonts w:hint="eastAsia" w:ascii="仿宋_GB2312" w:eastAsia="仿宋_GB2312"/>
          <w:szCs w:val="32"/>
          <w:lang w:val="en-US" w:eastAsia="zh-CN"/>
        </w:rPr>
        <w:t>31.09</w:t>
      </w:r>
      <w:r>
        <w:rPr>
          <w:rFonts w:hint="eastAsia" w:ascii="仿宋_GB2312" w:eastAsia="仿宋_GB2312"/>
          <w:szCs w:val="32"/>
        </w:rPr>
        <w:t>万元、差旅费</w:t>
      </w:r>
      <w:r>
        <w:rPr>
          <w:rFonts w:hint="eastAsia" w:ascii="仿宋_GB2312" w:eastAsia="仿宋_GB2312"/>
          <w:szCs w:val="32"/>
          <w:lang w:val="en-US" w:eastAsia="zh-CN"/>
        </w:rPr>
        <w:t>0.47</w:t>
      </w:r>
      <w:r>
        <w:rPr>
          <w:rFonts w:hint="eastAsia" w:ascii="仿宋_GB2312" w:eastAsia="仿宋_GB2312"/>
          <w:szCs w:val="32"/>
        </w:rPr>
        <w:t>万元、维修（护）费</w:t>
      </w:r>
      <w:r>
        <w:rPr>
          <w:rFonts w:hint="eastAsia" w:ascii="仿宋_GB2312" w:eastAsia="仿宋_GB2312"/>
          <w:szCs w:val="32"/>
          <w:lang w:val="en-US" w:eastAsia="zh-CN"/>
        </w:rPr>
        <w:t>3.43</w:t>
      </w:r>
      <w:r>
        <w:rPr>
          <w:rFonts w:hint="eastAsia" w:ascii="仿宋_GB2312" w:eastAsia="仿宋_GB2312"/>
          <w:szCs w:val="32"/>
        </w:rPr>
        <w:t>万元、</w:t>
      </w:r>
      <w:r>
        <w:rPr>
          <w:rFonts w:hint="eastAsia" w:ascii="仿宋_GB2312" w:eastAsia="仿宋_GB2312"/>
          <w:szCs w:val="32"/>
          <w:lang w:eastAsia="zh-CN"/>
        </w:rPr>
        <w:t>租赁费</w:t>
      </w:r>
      <w:r>
        <w:rPr>
          <w:rFonts w:hint="eastAsia" w:ascii="仿宋_GB2312" w:eastAsia="仿宋_GB2312"/>
          <w:szCs w:val="32"/>
          <w:lang w:val="en-US" w:eastAsia="zh-CN"/>
        </w:rPr>
        <w:t>0.3万元、</w:t>
      </w:r>
      <w:r>
        <w:rPr>
          <w:rFonts w:hint="eastAsia" w:ascii="仿宋_GB2312" w:eastAsia="仿宋_GB2312"/>
          <w:szCs w:val="32"/>
        </w:rPr>
        <w:t>公务接待费</w:t>
      </w:r>
      <w:r>
        <w:rPr>
          <w:rFonts w:hint="eastAsia" w:ascii="仿宋_GB2312" w:eastAsia="仿宋_GB2312"/>
          <w:szCs w:val="32"/>
          <w:lang w:val="en-US" w:eastAsia="zh-CN"/>
        </w:rPr>
        <w:t>0.13</w:t>
      </w:r>
      <w:r>
        <w:rPr>
          <w:rFonts w:hint="eastAsia" w:ascii="仿宋_GB2312" w:eastAsia="仿宋_GB2312"/>
          <w:szCs w:val="32"/>
        </w:rPr>
        <w:t>万元、委托业务费</w:t>
      </w:r>
      <w:r>
        <w:rPr>
          <w:rFonts w:hint="eastAsia" w:ascii="仿宋_GB2312" w:eastAsia="仿宋_GB2312"/>
          <w:szCs w:val="32"/>
          <w:lang w:val="en-US" w:eastAsia="zh-CN"/>
        </w:rPr>
        <w:t>96.29</w:t>
      </w:r>
      <w:r>
        <w:rPr>
          <w:rFonts w:hint="eastAsia" w:ascii="仿宋_GB2312" w:eastAsia="仿宋_GB2312"/>
          <w:szCs w:val="32"/>
        </w:rPr>
        <w:t>万元、工会经费16.3万元、公务用车运行维护费0.</w:t>
      </w:r>
      <w:r>
        <w:rPr>
          <w:rFonts w:hint="eastAsia" w:ascii="仿宋_GB2312" w:eastAsia="仿宋_GB2312"/>
          <w:szCs w:val="32"/>
          <w:lang w:val="en-US" w:eastAsia="zh-CN"/>
        </w:rPr>
        <w:t>39</w:t>
      </w:r>
      <w:r>
        <w:rPr>
          <w:rFonts w:hint="eastAsia" w:ascii="仿宋_GB2312" w:eastAsia="仿宋_GB2312"/>
          <w:szCs w:val="32"/>
        </w:rPr>
        <w:t>万元、其他交通费用</w:t>
      </w:r>
      <w:r>
        <w:rPr>
          <w:rFonts w:hint="eastAsia" w:ascii="仿宋_GB2312" w:eastAsia="仿宋_GB2312"/>
          <w:szCs w:val="32"/>
          <w:lang w:val="en-US" w:eastAsia="zh-CN"/>
        </w:rPr>
        <w:t>1.54</w:t>
      </w:r>
      <w:r>
        <w:rPr>
          <w:rFonts w:hint="eastAsia" w:ascii="仿宋_GB2312" w:eastAsia="仿宋_GB2312"/>
          <w:szCs w:val="32"/>
        </w:rPr>
        <w:t>万元、其他商品和服务支出</w:t>
      </w:r>
      <w:r>
        <w:rPr>
          <w:rFonts w:hint="eastAsia" w:ascii="仿宋_GB2312" w:eastAsia="仿宋_GB2312"/>
          <w:szCs w:val="32"/>
          <w:lang w:val="en-US" w:eastAsia="zh-CN"/>
        </w:rPr>
        <w:t>111.76</w:t>
      </w:r>
      <w:r>
        <w:rPr>
          <w:rFonts w:hint="eastAsia" w:ascii="仿宋_GB2312" w:eastAsia="仿宋_GB2312"/>
          <w:szCs w:val="32"/>
        </w:rPr>
        <w:t>万元、办公设备购置1.</w:t>
      </w:r>
      <w:r>
        <w:rPr>
          <w:rFonts w:hint="eastAsia" w:ascii="仿宋_GB2312" w:eastAsia="仿宋_GB2312"/>
          <w:szCs w:val="32"/>
          <w:lang w:val="en-US" w:eastAsia="zh-CN"/>
        </w:rPr>
        <w:t>14</w:t>
      </w:r>
      <w:r>
        <w:rPr>
          <w:rFonts w:hint="eastAsia" w:ascii="仿宋_GB2312" w:eastAsia="仿宋_GB2312"/>
          <w:szCs w:val="32"/>
        </w:rPr>
        <w:t>万元。</w:t>
      </w:r>
    </w:p>
    <w:p>
      <w:pPr>
        <w:spacing w:line="580" w:lineRule="exact"/>
        <w:ind w:firstLine="640" w:firstLineChars="200"/>
        <w:rPr>
          <w:rFonts w:ascii="黑体" w:hAnsi="黑体" w:eastAsia="黑体"/>
          <w:szCs w:val="32"/>
        </w:rPr>
      </w:pPr>
      <w:r>
        <w:rPr>
          <w:rFonts w:hint="eastAsia" w:ascii="黑体" w:hAnsi="黑体" w:eastAsia="黑体"/>
          <w:szCs w:val="32"/>
          <w:lang w:eastAsia="zh-CN"/>
        </w:rPr>
        <w:t>七</w:t>
      </w:r>
      <w:r>
        <w:rPr>
          <w:rFonts w:hint="eastAsia" w:ascii="黑体" w:hAnsi="黑体" w:eastAsia="黑体"/>
          <w:szCs w:val="32"/>
        </w:rPr>
        <w:t>、政府性基金预算财政拨款收入支出决算情况</w:t>
      </w:r>
    </w:p>
    <w:p>
      <w:pPr>
        <w:spacing w:line="580" w:lineRule="exact"/>
        <w:ind w:firstLine="640" w:firstLineChars="200"/>
        <w:rPr>
          <w:rFonts w:ascii="仿宋_GB2312" w:eastAsia="仿宋_GB2312"/>
          <w:szCs w:val="32"/>
        </w:rPr>
      </w:pPr>
      <w:r>
        <w:rPr>
          <w:rFonts w:hint="eastAsia" w:ascii="仿宋_GB2312" w:eastAsia="仿宋_GB2312"/>
          <w:szCs w:val="32"/>
        </w:rPr>
        <w:t>202</w:t>
      </w:r>
      <w:r>
        <w:rPr>
          <w:rFonts w:hint="eastAsia" w:ascii="仿宋_GB2312" w:eastAsia="仿宋_GB2312"/>
          <w:szCs w:val="32"/>
          <w:lang w:val="en-US" w:eastAsia="zh-CN"/>
        </w:rPr>
        <w:t>2</w:t>
      </w:r>
      <w:r>
        <w:rPr>
          <w:rFonts w:hint="eastAsia" w:ascii="仿宋_GB2312" w:eastAsia="仿宋_GB2312"/>
          <w:szCs w:val="32"/>
        </w:rPr>
        <w:t>年度政府性基金预算财政拨款年初结转和结余0万元，本年收入</w:t>
      </w:r>
      <w:r>
        <w:rPr>
          <w:rFonts w:hint="eastAsia" w:ascii="仿宋_GB2312" w:eastAsia="仿宋_GB2312"/>
          <w:szCs w:val="32"/>
          <w:lang w:val="en-US" w:eastAsia="zh-CN"/>
        </w:rPr>
        <w:t>10089.58</w:t>
      </w:r>
      <w:r>
        <w:rPr>
          <w:rFonts w:hint="eastAsia" w:ascii="仿宋_GB2312" w:eastAsia="仿宋_GB2312"/>
          <w:szCs w:val="32"/>
        </w:rPr>
        <w:t>万元，本年支出</w:t>
      </w:r>
      <w:r>
        <w:rPr>
          <w:rFonts w:hint="eastAsia" w:ascii="仿宋_GB2312" w:eastAsia="仿宋_GB2312"/>
          <w:szCs w:val="32"/>
          <w:lang w:val="en-US" w:eastAsia="zh-CN"/>
        </w:rPr>
        <w:t>10089.58</w:t>
      </w:r>
      <w:r>
        <w:rPr>
          <w:rFonts w:hint="eastAsia" w:ascii="仿宋_GB2312" w:eastAsia="仿宋_GB2312"/>
          <w:szCs w:val="32"/>
        </w:rPr>
        <w:t>万元，年末结转和结余0万元。支出具体情况如下：</w:t>
      </w:r>
    </w:p>
    <w:p>
      <w:p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（一）</w:t>
      </w:r>
      <w:r>
        <w:rPr>
          <w:rFonts w:hint="eastAsia" w:ascii="仿宋_GB2312" w:hAnsi="宋体" w:eastAsia="仿宋_GB2312" w:cs="Courier New"/>
          <w:szCs w:val="32"/>
        </w:rPr>
        <w:t>城乡社区支出（类）大国有土地使用权出让收入安排的支出（款）城市建设支出（项）。</w:t>
      </w:r>
      <w:r>
        <w:rPr>
          <w:rFonts w:hint="eastAsia" w:ascii="仿宋_GB2312" w:eastAsia="仿宋_GB2312"/>
          <w:szCs w:val="32"/>
        </w:rPr>
        <w:t>年初预算为</w:t>
      </w:r>
      <w:r>
        <w:rPr>
          <w:rFonts w:hint="eastAsia" w:ascii="仿宋_GB2312" w:eastAsia="仿宋_GB2312"/>
          <w:szCs w:val="32"/>
          <w:lang w:val="en-US" w:eastAsia="zh-CN"/>
        </w:rPr>
        <w:t>7614</w:t>
      </w:r>
      <w:r>
        <w:rPr>
          <w:rFonts w:hint="eastAsia" w:ascii="仿宋_GB2312" w:eastAsia="仿宋_GB2312"/>
          <w:szCs w:val="32"/>
        </w:rPr>
        <w:t>万元，支出决算为</w:t>
      </w:r>
      <w:r>
        <w:rPr>
          <w:rFonts w:hint="eastAsia" w:ascii="仿宋_GB2312" w:eastAsia="仿宋_GB2312"/>
          <w:szCs w:val="32"/>
          <w:lang w:val="en-US" w:eastAsia="zh-CN"/>
        </w:rPr>
        <w:t>6599.68</w:t>
      </w:r>
      <w:r>
        <w:rPr>
          <w:rFonts w:hint="eastAsia" w:ascii="仿宋_GB2312" w:eastAsia="仿宋_GB2312"/>
          <w:szCs w:val="32"/>
        </w:rPr>
        <w:t>万元，完成年初预算的</w:t>
      </w:r>
      <w:r>
        <w:rPr>
          <w:rFonts w:hint="eastAsia" w:ascii="仿宋_GB2312" w:eastAsia="仿宋_GB2312"/>
          <w:szCs w:val="32"/>
          <w:lang w:val="en-US" w:eastAsia="zh-CN"/>
        </w:rPr>
        <w:t>86.7</w:t>
      </w:r>
      <w:r>
        <w:rPr>
          <w:rFonts w:hint="eastAsia" w:ascii="仿宋_GB2312" w:eastAsia="仿宋_GB2312"/>
          <w:szCs w:val="32"/>
        </w:rPr>
        <w:t>%。决算数</w:t>
      </w:r>
      <w:r>
        <w:rPr>
          <w:rFonts w:hint="eastAsia" w:ascii="仿宋_GB2312" w:eastAsia="仿宋_GB2312"/>
          <w:szCs w:val="32"/>
          <w:lang w:eastAsia="zh-CN"/>
        </w:rPr>
        <w:t>小</w:t>
      </w:r>
      <w:r>
        <w:rPr>
          <w:rFonts w:hint="eastAsia" w:ascii="仿宋_GB2312" w:eastAsia="仿宋_GB2312"/>
          <w:szCs w:val="32"/>
        </w:rPr>
        <w:t>于年初预算数的主要原因是</w:t>
      </w:r>
      <w:r>
        <w:rPr>
          <w:rFonts w:hint="eastAsia" w:ascii="仿宋_GB2312" w:eastAsia="仿宋_GB2312"/>
          <w:szCs w:val="32"/>
          <w:lang w:eastAsia="zh-CN"/>
        </w:rPr>
        <w:t>该科目财政拨款减少。</w:t>
      </w:r>
    </w:p>
    <w:p>
      <w:pPr>
        <w:spacing w:line="580" w:lineRule="exact"/>
        <w:ind w:firstLine="640" w:firstLineChars="200"/>
        <w:rPr>
          <w:rFonts w:ascii="仿宋_GB2312" w:eastAsia="仿宋_GB2312"/>
          <w:szCs w:val="32"/>
        </w:rPr>
      </w:pPr>
      <w:r>
        <w:rPr>
          <w:rFonts w:hint="eastAsia" w:ascii="仿宋_GB2312" w:eastAsia="仿宋_GB2312"/>
          <w:szCs w:val="32"/>
        </w:rPr>
        <w:t>（二）</w:t>
      </w:r>
      <w:r>
        <w:rPr>
          <w:rFonts w:hint="eastAsia" w:ascii="仿宋_GB2312" w:hAnsi="宋体" w:eastAsia="仿宋_GB2312" w:cs="Courier New"/>
          <w:szCs w:val="32"/>
        </w:rPr>
        <w:t>城乡社区支出（类）城市基础设施配套费安排的支出（款）其他城市基础设施配套费安排的支出（项）。</w:t>
      </w:r>
      <w:r>
        <w:rPr>
          <w:rFonts w:hint="eastAsia" w:ascii="仿宋_GB2312" w:eastAsia="仿宋_GB2312"/>
          <w:szCs w:val="32"/>
        </w:rPr>
        <w:t>年初预算为</w:t>
      </w:r>
      <w:r>
        <w:rPr>
          <w:rFonts w:hint="eastAsia" w:ascii="仿宋_GB2312" w:eastAsia="仿宋_GB2312"/>
          <w:szCs w:val="32"/>
          <w:lang w:val="en-US" w:eastAsia="zh-CN"/>
        </w:rPr>
        <w:t>1500</w:t>
      </w:r>
      <w:r>
        <w:rPr>
          <w:rFonts w:hint="eastAsia" w:ascii="仿宋_GB2312" w:eastAsia="仿宋_GB2312"/>
          <w:szCs w:val="32"/>
        </w:rPr>
        <w:t>万元，支出决算为</w:t>
      </w:r>
      <w:r>
        <w:rPr>
          <w:rFonts w:hint="eastAsia" w:ascii="仿宋_GB2312" w:eastAsia="仿宋_GB2312"/>
          <w:szCs w:val="32"/>
          <w:lang w:val="en-US" w:eastAsia="zh-CN"/>
        </w:rPr>
        <w:t>3489.9</w:t>
      </w:r>
      <w:r>
        <w:rPr>
          <w:rFonts w:hint="eastAsia" w:ascii="仿宋_GB2312" w:eastAsia="仿宋_GB2312"/>
          <w:szCs w:val="32"/>
        </w:rPr>
        <w:t>万元，完成年初预算的</w:t>
      </w:r>
      <w:r>
        <w:rPr>
          <w:rFonts w:hint="eastAsia" w:ascii="仿宋_GB2312" w:eastAsia="仿宋_GB2312"/>
          <w:szCs w:val="32"/>
          <w:lang w:val="en-US" w:eastAsia="zh-CN"/>
        </w:rPr>
        <w:t>232.7</w:t>
      </w:r>
      <w:r>
        <w:rPr>
          <w:rFonts w:hint="eastAsia" w:ascii="仿宋_GB2312" w:eastAsia="仿宋_GB2312"/>
          <w:szCs w:val="32"/>
        </w:rPr>
        <w:t>%。决算数</w:t>
      </w:r>
      <w:r>
        <w:rPr>
          <w:rFonts w:hint="eastAsia" w:ascii="仿宋_GB2312" w:eastAsia="仿宋_GB2312"/>
          <w:szCs w:val="32"/>
          <w:lang w:eastAsia="zh-CN"/>
        </w:rPr>
        <w:t>小</w:t>
      </w:r>
      <w:r>
        <w:rPr>
          <w:rFonts w:hint="eastAsia" w:ascii="仿宋_GB2312" w:eastAsia="仿宋_GB2312"/>
          <w:szCs w:val="32"/>
        </w:rPr>
        <w:t>于年初预算数的主要原因是</w:t>
      </w:r>
      <w:r>
        <w:rPr>
          <w:rFonts w:hint="eastAsia" w:ascii="仿宋_GB2312" w:eastAsia="仿宋_GB2312"/>
          <w:szCs w:val="32"/>
          <w:lang w:eastAsia="zh-CN"/>
        </w:rPr>
        <w:t>该科目财政拨款增加。</w:t>
      </w:r>
    </w:p>
    <w:p>
      <w:pPr>
        <w:spacing w:line="580" w:lineRule="exact"/>
        <w:ind w:firstLine="640" w:firstLineChars="200"/>
        <w:rPr>
          <w:rFonts w:ascii="黑体" w:hAnsi="黑体" w:eastAsia="黑体"/>
          <w:szCs w:val="32"/>
        </w:rPr>
      </w:pPr>
      <w:r>
        <w:rPr>
          <w:rFonts w:hint="eastAsia" w:ascii="黑体" w:hAnsi="黑体" w:eastAsia="黑体"/>
          <w:szCs w:val="32"/>
          <w:lang w:eastAsia="zh-CN"/>
        </w:rPr>
        <w:t>八</w:t>
      </w:r>
      <w:r>
        <w:rPr>
          <w:rFonts w:hint="eastAsia" w:ascii="黑体" w:hAnsi="黑体" w:eastAsia="黑体"/>
          <w:szCs w:val="32"/>
        </w:rPr>
        <w:t>、国有资本经营预算财政拨款支出决算情况说明</w:t>
      </w:r>
    </w:p>
    <w:p>
      <w:pPr>
        <w:spacing w:line="580" w:lineRule="exact"/>
        <w:ind w:firstLine="640" w:firstLineChars="200"/>
        <w:rPr>
          <w:rFonts w:hint="eastAsia" w:ascii="仿宋_GB2312" w:hAnsi="宋体" w:eastAsia="仿宋_GB2312" w:cs="Courier New"/>
          <w:szCs w:val="32"/>
        </w:rPr>
      </w:pPr>
      <w:r>
        <w:rPr>
          <w:rFonts w:hint="eastAsia" w:ascii="仿宋_GB2312" w:hAnsi="宋体" w:eastAsia="仿宋_GB2312" w:cs="Courier New"/>
          <w:szCs w:val="32"/>
        </w:rPr>
        <w:t>本</w:t>
      </w:r>
      <w:r>
        <w:rPr>
          <w:rFonts w:hint="eastAsia" w:ascii="仿宋_GB2312" w:hAnsi="宋体" w:eastAsia="仿宋_GB2312" w:cs="Courier New"/>
          <w:szCs w:val="32"/>
          <w:lang w:eastAsia="zh-CN"/>
        </w:rPr>
        <w:t>单位</w:t>
      </w:r>
      <w:r>
        <w:rPr>
          <w:rFonts w:hint="eastAsia" w:ascii="仿宋_GB2312" w:hAnsi="宋体" w:eastAsia="仿宋_GB2312" w:cs="Courier New"/>
          <w:szCs w:val="32"/>
        </w:rPr>
        <w:t>没有国有资本经营预算财政拨款支出。</w:t>
      </w:r>
    </w:p>
    <w:p>
      <w:pPr>
        <w:spacing w:line="580" w:lineRule="exact"/>
        <w:ind w:firstLine="640" w:firstLineChars="200"/>
        <w:rPr>
          <w:rFonts w:ascii="黑体" w:hAnsi="黑体" w:eastAsia="黑体"/>
          <w:szCs w:val="32"/>
        </w:rPr>
      </w:pPr>
      <w:r>
        <w:rPr>
          <w:rFonts w:hint="eastAsia" w:ascii="黑体" w:hAnsi="黑体" w:eastAsia="黑体"/>
          <w:szCs w:val="32"/>
          <w:lang w:eastAsia="zh-CN"/>
        </w:rPr>
        <w:t>九</w:t>
      </w:r>
      <w:r>
        <w:rPr>
          <w:rFonts w:hint="eastAsia" w:ascii="黑体" w:hAnsi="黑体" w:eastAsia="黑体"/>
          <w:szCs w:val="32"/>
        </w:rPr>
        <w:t>、财政拨款“三公”经费支出决算情况</w:t>
      </w:r>
    </w:p>
    <w:p>
      <w:pPr>
        <w:spacing w:line="580" w:lineRule="exact"/>
        <w:ind w:firstLine="640" w:firstLineChars="200"/>
        <w:rPr>
          <w:rFonts w:ascii="楷体_GB2312" w:eastAsia="楷体_GB2312"/>
          <w:szCs w:val="32"/>
        </w:rPr>
      </w:pPr>
      <w:r>
        <w:rPr>
          <w:rFonts w:hint="eastAsia" w:ascii="楷体_GB2312" w:eastAsia="楷体_GB2312"/>
          <w:szCs w:val="32"/>
        </w:rPr>
        <w:t>（一）“三公”经费支出决算总体情况</w:t>
      </w:r>
    </w:p>
    <w:p>
      <w:pPr>
        <w:spacing w:line="580" w:lineRule="exact"/>
        <w:ind w:firstLine="640" w:firstLineChars="200"/>
        <w:rPr>
          <w:rFonts w:ascii="仿宋_GB2312" w:eastAsia="仿宋_GB2312"/>
          <w:szCs w:val="32"/>
        </w:rPr>
      </w:pPr>
      <w:r>
        <w:rPr>
          <w:rFonts w:hint="eastAsia" w:ascii="仿宋_GB2312" w:eastAsia="仿宋_GB2312"/>
          <w:szCs w:val="32"/>
        </w:rPr>
        <w:t>202</w:t>
      </w:r>
      <w:r>
        <w:rPr>
          <w:rFonts w:hint="eastAsia" w:ascii="仿宋_GB2312" w:eastAsia="仿宋_GB2312"/>
          <w:szCs w:val="32"/>
          <w:lang w:val="en-US" w:eastAsia="zh-CN"/>
        </w:rPr>
        <w:t>2</w:t>
      </w:r>
      <w:r>
        <w:rPr>
          <w:rFonts w:hint="eastAsia" w:ascii="仿宋_GB2312" w:eastAsia="仿宋_GB2312"/>
          <w:szCs w:val="32"/>
        </w:rPr>
        <w:t>年度一般公共预算财政拨款“三公”经费支出</w:t>
      </w:r>
      <w:r>
        <w:rPr>
          <w:rFonts w:hint="eastAsia" w:ascii="仿宋_GB2312" w:eastAsia="仿宋_GB2312"/>
          <w:szCs w:val="32"/>
          <w:lang w:eastAsia="zh-CN"/>
        </w:rPr>
        <w:t>全年</w:t>
      </w:r>
      <w:r>
        <w:rPr>
          <w:rFonts w:hint="eastAsia" w:ascii="仿宋_GB2312" w:eastAsia="仿宋_GB2312"/>
          <w:szCs w:val="32"/>
        </w:rPr>
        <w:t>预算为</w:t>
      </w:r>
      <w:r>
        <w:rPr>
          <w:rFonts w:hint="eastAsia" w:ascii="仿宋_GB2312" w:eastAsia="仿宋_GB2312"/>
          <w:szCs w:val="32"/>
          <w:lang w:val="en-US" w:eastAsia="zh-CN"/>
        </w:rPr>
        <w:t>0.51</w:t>
      </w:r>
      <w:r>
        <w:rPr>
          <w:rFonts w:hint="eastAsia" w:ascii="仿宋_GB2312" w:eastAsia="仿宋_GB2312"/>
          <w:szCs w:val="32"/>
        </w:rPr>
        <w:t>万元，支出决算为</w:t>
      </w:r>
      <w:r>
        <w:rPr>
          <w:rFonts w:hint="eastAsia" w:ascii="仿宋_GB2312" w:eastAsia="仿宋_GB2312"/>
          <w:szCs w:val="32"/>
          <w:lang w:val="en-US" w:eastAsia="zh-CN"/>
        </w:rPr>
        <w:t>0.51</w:t>
      </w:r>
      <w:r>
        <w:rPr>
          <w:rFonts w:hint="eastAsia" w:ascii="仿宋_GB2312" w:eastAsia="仿宋_GB2312"/>
          <w:szCs w:val="32"/>
        </w:rPr>
        <w:t>万元，与202</w:t>
      </w:r>
      <w:r>
        <w:rPr>
          <w:rFonts w:hint="eastAsia" w:ascii="仿宋_GB2312" w:eastAsia="仿宋_GB2312"/>
          <w:szCs w:val="32"/>
          <w:lang w:val="en-US" w:eastAsia="zh-CN"/>
        </w:rPr>
        <w:t>2</w:t>
      </w:r>
      <w:r>
        <w:rPr>
          <w:rFonts w:hint="eastAsia" w:ascii="仿宋_GB2312" w:eastAsia="仿宋_GB2312"/>
          <w:szCs w:val="32"/>
        </w:rPr>
        <w:t>年预算基本持平，完成</w:t>
      </w:r>
      <w:r>
        <w:rPr>
          <w:rFonts w:hint="eastAsia" w:ascii="仿宋_GB2312" w:eastAsia="仿宋_GB2312"/>
          <w:szCs w:val="32"/>
          <w:lang w:eastAsia="zh-CN"/>
        </w:rPr>
        <w:t>全年</w:t>
      </w:r>
      <w:r>
        <w:rPr>
          <w:rFonts w:hint="eastAsia" w:ascii="仿宋_GB2312" w:eastAsia="仿宋_GB2312"/>
          <w:szCs w:val="32"/>
        </w:rPr>
        <w:t xml:space="preserve">预算的100%。 </w:t>
      </w:r>
    </w:p>
    <w:p>
      <w:pPr>
        <w:spacing w:line="580" w:lineRule="exact"/>
        <w:ind w:firstLine="640" w:firstLineChars="200"/>
        <w:rPr>
          <w:rFonts w:ascii="楷体_GB2312" w:eastAsia="楷体_GB2312"/>
          <w:szCs w:val="32"/>
        </w:rPr>
      </w:pPr>
      <w:r>
        <w:rPr>
          <w:rFonts w:hint="eastAsia" w:ascii="楷体_GB2312" w:eastAsia="楷体_GB2312"/>
          <w:szCs w:val="32"/>
        </w:rPr>
        <w:t>（二）“三公”经费支出决算具体情况</w:t>
      </w:r>
    </w:p>
    <w:p>
      <w:pPr>
        <w:spacing w:line="580" w:lineRule="exact"/>
        <w:ind w:firstLine="640" w:firstLineChars="200"/>
        <w:rPr>
          <w:rFonts w:ascii="仿宋_GB2312" w:eastAsia="仿宋_GB2312"/>
          <w:szCs w:val="32"/>
        </w:rPr>
      </w:pPr>
      <w:r>
        <w:rPr>
          <w:rFonts w:hint="eastAsia" w:ascii="仿宋_GB2312" w:eastAsia="仿宋_GB2312"/>
          <w:szCs w:val="32"/>
        </w:rPr>
        <w:t>1.因公出国（境）费</w:t>
      </w:r>
      <w:r>
        <w:rPr>
          <w:rFonts w:hint="eastAsia" w:ascii="仿宋_GB2312" w:eastAsia="仿宋_GB2312"/>
          <w:szCs w:val="32"/>
          <w:lang w:eastAsia="zh-CN"/>
        </w:rPr>
        <w:t>全年</w:t>
      </w:r>
      <w:r>
        <w:rPr>
          <w:rFonts w:hint="eastAsia" w:ascii="仿宋_GB2312" w:eastAsia="仿宋_GB2312"/>
          <w:szCs w:val="32"/>
        </w:rPr>
        <w:t>预算为0万元，支出决算为0万元，与202</w:t>
      </w:r>
      <w:r>
        <w:rPr>
          <w:rFonts w:hint="eastAsia" w:ascii="仿宋_GB2312" w:eastAsia="仿宋_GB2312"/>
          <w:szCs w:val="32"/>
          <w:lang w:val="en-US" w:eastAsia="zh-CN"/>
        </w:rPr>
        <w:t>2</w:t>
      </w:r>
      <w:r>
        <w:rPr>
          <w:rFonts w:hint="eastAsia" w:ascii="仿宋_GB2312" w:eastAsia="仿宋_GB2312"/>
          <w:szCs w:val="32"/>
        </w:rPr>
        <w:t>年预算基本持平，完成</w:t>
      </w:r>
      <w:r>
        <w:rPr>
          <w:rFonts w:hint="eastAsia" w:ascii="仿宋_GB2312" w:eastAsia="仿宋_GB2312"/>
          <w:szCs w:val="32"/>
          <w:lang w:eastAsia="zh-CN"/>
        </w:rPr>
        <w:t>全年</w:t>
      </w:r>
      <w:r>
        <w:rPr>
          <w:rFonts w:hint="eastAsia" w:ascii="仿宋_GB2312" w:eastAsia="仿宋_GB2312"/>
          <w:szCs w:val="32"/>
        </w:rPr>
        <w:t>预算的100%。</w:t>
      </w:r>
    </w:p>
    <w:p>
      <w:pPr>
        <w:spacing w:line="580" w:lineRule="exact"/>
        <w:ind w:firstLine="640" w:firstLineChars="200"/>
        <w:rPr>
          <w:rFonts w:ascii="仿宋_GB2312" w:eastAsia="仿宋_GB2312"/>
          <w:szCs w:val="32"/>
        </w:rPr>
      </w:pPr>
      <w:r>
        <w:rPr>
          <w:rFonts w:hint="eastAsia" w:ascii="仿宋_GB2312" w:eastAsia="仿宋_GB2312"/>
          <w:szCs w:val="32"/>
        </w:rPr>
        <w:t>全年支出涉及因公出国（境）团组0个,累计0人次。</w:t>
      </w:r>
    </w:p>
    <w:p>
      <w:pPr>
        <w:spacing w:line="580" w:lineRule="exact"/>
        <w:ind w:firstLine="640" w:firstLineChars="200"/>
        <w:rPr>
          <w:rFonts w:ascii="仿宋_GB2312" w:eastAsia="仿宋_GB2312"/>
          <w:szCs w:val="32"/>
        </w:rPr>
      </w:pPr>
      <w:r>
        <w:rPr>
          <w:rFonts w:hint="eastAsia" w:ascii="仿宋_GB2312" w:eastAsia="仿宋_GB2312"/>
          <w:szCs w:val="32"/>
        </w:rPr>
        <w:t>2.公务用车购置及运行维护费</w:t>
      </w:r>
      <w:r>
        <w:rPr>
          <w:rFonts w:hint="eastAsia" w:ascii="仿宋_GB2312" w:eastAsia="仿宋_GB2312"/>
          <w:szCs w:val="32"/>
          <w:lang w:eastAsia="zh-CN"/>
        </w:rPr>
        <w:t>全年</w:t>
      </w:r>
      <w:r>
        <w:rPr>
          <w:rFonts w:hint="eastAsia" w:ascii="仿宋_GB2312" w:eastAsia="仿宋_GB2312"/>
          <w:szCs w:val="32"/>
        </w:rPr>
        <w:t>预算为</w:t>
      </w:r>
      <w:r>
        <w:rPr>
          <w:rFonts w:hint="eastAsia" w:ascii="仿宋_GB2312" w:eastAsia="仿宋_GB2312"/>
          <w:szCs w:val="32"/>
          <w:lang w:val="en-US" w:eastAsia="zh-CN"/>
        </w:rPr>
        <w:t>0.39</w:t>
      </w:r>
      <w:r>
        <w:rPr>
          <w:rFonts w:hint="eastAsia" w:ascii="仿宋_GB2312" w:eastAsia="仿宋_GB2312"/>
          <w:szCs w:val="32"/>
        </w:rPr>
        <w:t>万元，支出决算为</w:t>
      </w:r>
      <w:r>
        <w:rPr>
          <w:rFonts w:hint="eastAsia" w:ascii="仿宋_GB2312" w:eastAsia="仿宋_GB2312"/>
          <w:szCs w:val="32"/>
          <w:lang w:val="en-US" w:eastAsia="zh-CN"/>
        </w:rPr>
        <w:t>0.39</w:t>
      </w:r>
      <w:r>
        <w:rPr>
          <w:rFonts w:hint="eastAsia" w:ascii="仿宋_GB2312" w:eastAsia="仿宋_GB2312"/>
          <w:szCs w:val="32"/>
        </w:rPr>
        <w:t>万元，与202</w:t>
      </w:r>
      <w:r>
        <w:rPr>
          <w:rFonts w:hint="eastAsia" w:ascii="仿宋_GB2312" w:eastAsia="仿宋_GB2312"/>
          <w:szCs w:val="32"/>
          <w:lang w:val="en-US" w:eastAsia="zh-CN"/>
        </w:rPr>
        <w:t>2</w:t>
      </w:r>
      <w:r>
        <w:rPr>
          <w:rFonts w:hint="eastAsia" w:ascii="仿宋_GB2312" w:eastAsia="仿宋_GB2312"/>
          <w:szCs w:val="32"/>
        </w:rPr>
        <w:t>年预算基本持平，完成</w:t>
      </w:r>
      <w:r>
        <w:rPr>
          <w:rFonts w:hint="eastAsia" w:ascii="仿宋_GB2312" w:eastAsia="仿宋_GB2312"/>
          <w:szCs w:val="32"/>
          <w:lang w:eastAsia="zh-CN"/>
        </w:rPr>
        <w:t>全年</w:t>
      </w:r>
      <w:r>
        <w:rPr>
          <w:rFonts w:hint="eastAsia" w:ascii="仿宋_GB2312" w:eastAsia="仿宋_GB2312"/>
          <w:szCs w:val="32"/>
        </w:rPr>
        <w:t>预算的100%。</w:t>
      </w:r>
    </w:p>
    <w:p>
      <w:pPr>
        <w:spacing w:line="580" w:lineRule="exact"/>
        <w:ind w:firstLine="640" w:firstLineChars="200"/>
        <w:rPr>
          <w:rFonts w:ascii="仿宋_GB2312" w:eastAsia="仿宋_GB2312"/>
          <w:szCs w:val="32"/>
        </w:rPr>
      </w:pPr>
      <w:r>
        <w:rPr>
          <w:rFonts w:hint="eastAsia" w:ascii="仿宋_GB2312" w:eastAsia="仿宋_GB2312"/>
          <w:szCs w:val="32"/>
        </w:rPr>
        <w:t>其中：公务用车购置费支出0万元，202</w:t>
      </w:r>
      <w:r>
        <w:rPr>
          <w:rFonts w:hint="eastAsia" w:ascii="仿宋_GB2312" w:eastAsia="仿宋_GB2312"/>
          <w:szCs w:val="32"/>
          <w:lang w:val="en-US" w:eastAsia="zh-CN"/>
        </w:rPr>
        <w:t>2</w:t>
      </w:r>
      <w:r>
        <w:rPr>
          <w:rFonts w:hint="eastAsia" w:ascii="仿宋_GB2312" w:eastAsia="仿宋_GB2312"/>
          <w:szCs w:val="32"/>
        </w:rPr>
        <w:t>年本</w:t>
      </w:r>
      <w:r>
        <w:rPr>
          <w:rFonts w:hint="eastAsia" w:ascii="仿宋_GB2312" w:eastAsia="仿宋_GB2312"/>
          <w:szCs w:val="32"/>
          <w:lang w:eastAsia="zh-CN"/>
        </w:rPr>
        <w:t>单位</w:t>
      </w:r>
      <w:r>
        <w:rPr>
          <w:rFonts w:hint="eastAsia" w:ascii="仿宋_GB2312" w:eastAsia="仿宋_GB2312"/>
          <w:szCs w:val="32"/>
        </w:rPr>
        <w:t>使用财政拨款购置公务用车0辆。公务用车运行维护费0.</w:t>
      </w:r>
      <w:r>
        <w:rPr>
          <w:rFonts w:hint="eastAsia" w:ascii="仿宋_GB2312" w:eastAsia="仿宋_GB2312"/>
          <w:szCs w:val="32"/>
          <w:lang w:val="en-US" w:eastAsia="zh-CN"/>
        </w:rPr>
        <w:t>39</w:t>
      </w:r>
      <w:r>
        <w:rPr>
          <w:rFonts w:hint="eastAsia" w:ascii="仿宋_GB2312" w:eastAsia="仿宋_GB2312"/>
          <w:szCs w:val="32"/>
        </w:rPr>
        <w:t>万元，主要是按规定保留的公务用车的</w:t>
      </w:r>
      <w:r>
        <w:rPr>
          <w:rFonts w:hint="eastAsia" w:ascii="仿宋_GB2312" w:eastAsia="仿宋_GB2312"/>
          <w:szCs w:val="32"/>
          <w:lang w:eastAsia="zh-CN"/>
        </w:rPr>
        <w:t>维护费、</w:t>
      </w:r>
      <w:r>
        <w:rPr>
          <w:rFonts w:hint="eastAsia" w:ascii="仿宋_GB2312" w:eastAsia="仿宋_GB2312"/>
          <w:szCs w:val="32"/>
        </w:rPr>
        <w:t>保险费支出。截至202</w:t>
      </w:r>
      <w:r>
        <w:rPr>
          <w:rFonts w:hint="eastAsia" w:ascii="仿宋_GB2312" w:eastAsia="仿宋_GB2312"/>
          <w:szCs w:val="32"/>
          <w:lang w:val="en-US" w:eastAsia="zh-CN"/>
        </w:rPr>
        <w:t>2</w:t>
      </w:r>
      <w:r>
        <w:rPr>
          <w:rFonts w:hint="eastAsia" w:ascii="仿宋_GB2312" w:eastAsia="仿宋_GB2312"/>
          <w:szCs w:val="32"/>
        </w:rPr>
        <w:t>年12月31日，本</w:t>
      </w:r>
      <w:r>
        <w:rPr>
          <w:rFonts w:hint="eastAsia" w:ascii="仿宋_GB2312" w:eastAsia="仿宋_GB2312"/>
          <w:szCs w:val="32"/>
          <w:lang w:eastAsia="zh-CN"/>
        </w:rPr>
        <w:t>单位</w:t>
      </w:r>
      <w:r>
        <w:rPr>
          <w:rFonts w:hint="eastAsia" w:ascii="仿宋_GB2312" w:eastAsia="仿宋_GB2312"/>
          <w:szCs w:val="32"/>
        </w:rPr>
        <w:t>财政拨款开支运行维护费的公务用车保有量为</w:t>
      </w:r>
      <w:r>
        <w:rPr>
          <w:rFonts w:hint="eastAsia" w:ascii="仿宋_GB2312" w:eastAsia="仿宋_GB2312"/>
          <w:szCs w:val="32"/>
          <w:lang w:val="en-US" w:eastAsia="zh-CN"/>
        </w:rPr>
        <w:t>1</w:t>
      </w:r>
      <w:r>
        <w:rPr>
          <w:rFonts w:hint="eastAsia" w:ascii="仿宋_GB2312" w:eastAsia="仿宋_GB2312"/>
          <w:szCs w:val="32"/>
        </w:rPr>
        <w:t>辆。</w:t>
      </w:r>
    </w:p>
    <w:p>
      <w:pPr>
        <w:spacing w:line="580" w:lineRule="exact"/>
        <w:ind w:firstLine="640" w:firstLineChars="200"/>
        <w:rPr>
          <w:rFonts w:ascii="仿宋_GB2312" w:eastAsia="仿宋_GB2312"/>
          <w:szCs w:val="32"/>
        </w:rPr>
      </w:pPr>
      <w:r>
        <w:rPr>
          <w:rFonts w:hint="eastAsia" w:ascii="仿宋_GB2312" w:eastAsia="仿宋_GB2312"/>
          <w:szCs w:val="32"/>
        </w:rPr>
        <w:t>3.公务接待费</w:t>
      </w:r>
      <w:r>
        <w:rPr>
          <w:rFonts w:hint="eastAsia" w:ascii="仿宋_GB2312" w:eastAsia="仿宋_GB2312"/>
          <w:szCs w:val="32"/>
          <w:lang w:eastAsia="zh-CN"/>
        </w:rPr>
        <w:t>全年</w:t>
      </w:r>
      <w:r>
        <w:rPr>
          <w:rFonts w:hint="eastAsia" w:ascii="仿宋_GB2312" w:eastAsia="仿宋_GB2312"/>
          <w:szCs w:val="32"/>
        </w:rPr>
        <w:t>预算为</w:t>
      </w:r>
      <w:r>
        <w:rPr>
          <w:rFonts w:hint="eastAsia" w:ascii="仿宋_GB2312" w:eastAsia="仿宋_GB2312"/>
          <w:szCs w:val="32"/>
          <w:lang w:val="en-US" w:eastAsia="zh-CN"/>
        </w:rPr>
        <w:t>0.13</w:t>
      </w:r>
      <w:r>
        <w:rPr>
          <w:rFonts w:hint="eastAsia" w:ascii="仿宋_GB2312" w:eastAsia="仿宋_GB2312"/>
          <w:szCs w:val="32"/>
        </w:rPr>
        <w:t>万元，支出决算为</w:t>
      </w:r>
      <w:r>
        <w:rPr>
          <w:rFonts w:hint="eastAsia" w:ascii="仿宋_GB2312" w:eastAsia="仿宋_GB2312"/>
          <w:szCs w:val="32"/>
          <w:lang w:val="en-US" w:eastAsia="zh-CN"/>
        </w:rPr>
        <w:t>0.13</w:t>
      </w:r>
      <w:r>
        <w:rPr>
          <w:rFonts w:hint="eastAsia" w:ascii="仿宋_GB2312" w:eastAsia="仿宋_GB2312"/>
          <w:szCs w:val="32"/>
        </w:rPr>
        <w:t>万元，与202</w:t>
      </w:r>
      <w:r>
        <w:rPr>
          <w:rFonts w:hint="eastAsia" w:ascii="仿宋_GB2312" w:eastAsia="仿宋_GB2312"/>
          <w:szCs w:val="32"/>
          <w:lang w:val="en-US" w:eastAsia="zh-CN"/>
        </w:rPr>
        <w:t>2</w:t>
      </w:r>
      <w:r>
        <w:rPr>
          <w:rFonts w:hint="eastAsia" w:ascii="仿宋_GB2312" w:eastAsia="仿宋_GB2312"/>
          <w:szCs w:val="32"/>
        </w:rPr>
        <w:t>年预算基本持平，完成</w:t>
      </w:r>
      <w:r>
        <w:rPr>
          <w:rFonts w:hint="eastAsia" w:ascii="仿宋_GB2312" w:eastAsia="仿宋_GB2312"/>
          <w:szCs w:val="32"/>
          <w:lang w:eastAsia="zh-CN"/>
        </w:rPr>
        <w:t>全年</w:t>
      </w:r>
      <w:r>
        <w:rPr>
          <w:rFonts w:hint="eastAsia" w:ascii="仿宋_GB2312" w:eastAsia="仿宋_GB2312"/>
          <w:szCs w:val="32"/>
        </w:rPr>
        <w:t>预算的100%。</w:t>
      </w:r>
    </w:p>
    <w:p>
      <w:pPr>
        <w:spacing w:line="580" w:lineRule="exact"/>
        <w:ind w:firstLine="640" w:firstLineChars="200"/>
        <w:rPr>
          <w:rFonts w:ascii="仿宋_GB2312" w:eastAsia="仿宋_GB2312"/>
          <w:szCs w:val="32"/>
        </w:rPr>
      </w:pPr>
      <w:r>
        <w:rPr>
          <w:rFonts w:hint="eastAsia" w:ascii="仿宋_GB2312" w:eastAsia="仿宋_GB2312"/>
          <w:szCs w:val="32"/>
        </w:rPr>
        <w:t>其中：国内接待费</w:t>
      </w:r>
      <w:r>
        <w:rPr>
          <w:rFonts w:hint="eastAsia" w:ascii="仿宋_GB2312" w:eastAsia="仿宋_GB2312"/>
          <w:szCs w:val="32"/>
          <w:lang w:val="en-US" w:eastAsia="zh-CN"/>
        </w:rPr>
        <w:t>0.13</w:t>
      </w:r>
      <w:r>
        <w:rPr>
          <w:rFonts w:hint="eastAsia" w:ascii="仿宋_GB2312" w:eastAsia="仿宋_GB2312"/>
          <w:szCs w:val="32"/>
        </w:rPr>
        <w:t>万元，主要用于相关单位来开发区参观考察餐费支出，共计接待</w:t>
      </w:r>
      <w:r>
        <w:rPr>
          <w:rFonts w:hint="eastAsia" w:ascii="仿宋_GB2312" w:eastAsia="仿宋_GB2312"/>
          <w:szCs w:val="32"/>
          <w:lang w:val="en-US" w:eastAsia="zh-CN"/>
        </w:rPr>
        <w:t>2</w:t>
      </w:r>
      <w:r>
        <w:rPr>
          <w:rFonts w:hint="eastAsia" w:ascii="仿宋_GB2312" w:eastAsia="仿宋_GB2312"/>
          <w:szCs w:val="32"/>
        </w:rPr>
        <w:t>批次、</w:t>
      </w:r>
      <w:r>
        <w:rPr>
          <w:rFonts w:hint="eastAsia" w:ascii="仿宋_GB2312" w:eastAsia="仿宋_GB2312"/>
          <w:szCs w:val="32"/>
          <w:lang w:val="en-US" w:eastAsia="zh-CN"/>
        </w:rPr>
        <w:t>12</w:t>
      </w:r>
      <w:r>
        <w:rPr>
          <w:rFonts w:hint="eastAsia" w:ascii="仿宋_GB2312" w:eastAsia="仿宋_GB2312"/>
          <w:szCs w:val="32"/>
        </w:rPr>
        <w:t>人次（含外事接待0批次、0人次）；国（境）外接待费0万元，共计接待0批次、0人次。</w:t>
      </w:r>
    </w:p>
    <w:p>
      <w:pPr>
        <w:spacing w:line="580" w:lineRule="exact"/>
        <w:ind w:firstLine="640" w:firstLineChars="200"/>
        <w:rPr>
          <w:rFonts w:ascii="仿宋_GB2312" w:hAnsi="宋体" w:eastAsia="仿宋_GB2312" w:cs="Courier New"/>
          <w:szCs w:val="32"/>
        </w:rPr>
      </w:pPr>
    </w:p>
    <w:p>
      <w:pPr>
        <w:spacing w:line="580" w:lineRule="exact"/>
        <w:ind w:firstLine="640" w:firstLineChars="200"/>
        <w:rPr>
          <w:rFonts w:ascii="黑体" w:hAnsi="黑体" w:eastAsia="黑体"/>
          <w:szCs w:val="32"/>
        </w:rPr>
      </w:pPr>
      <w:r>
        <w:rPr>
          <w:rFonts w:hint="eastAsia" w:ascii="黑体" w:hAnsi="黑体" w:eastAsia="黑体"/>
          <w:szCs w:val="32"/>
        </w:rPr>
        <w:t xml:space="preserve">十、其他重要事项情况说明 </w:t>
      </w:r>
    </w:p>
    <w:p>
      <w:pPr>
        <w:spacing w:line="580" w:lineRule="exact"/>
        <w:ind w:firstLine="640" w:firstLineChars="200"/>
        <w:rPr>
          <w:rFonts w:ascii="楷体_GB2312" w:eastAsia="楷体_GB2312"/>
          <w:szCs w:val="32"/>
        </w:rPr>
      </w:pPr>
      <w:r>
        <w:rPr>
          <w:rFonts w:hint="eastAsia" w:ascii="楷体_GB2312" w:eastAsia="楷体_GB2312"/>
          <w:szCs w:val="32"/>
        </w:rPr>
        <w:t>（一）机关运行经费支出情况</w:t>
      </w:r>
    </w:p>
    <w:p>
      <w:pPr>
        <w:spacing w:line="510" w:lineRule="exact"/>
        <w:ind w:left="320" w:leftChars="100" w:firstLine="480" w:firstLineChars="150"/>
        <w:rPr>
          <w:rFonts w:hint="eastAsia" w:ascii="仿宋_GB2312" w:hAnsi="Times New Roman" w:eastAsia="仿宋_GB2312" w:cs="Times New Roman"/>
          <w:sz w:val="32"/>
          <w:szCs w:val="32"/>
          <w:lang w:eastAsia="zh-CN"/>
        </w:rPr>
      </w:pPr>
      <w:r>
        <w:rPr>
          <w:rFonts w:hint="eastAsia" w:ascii="仿宋_GB2312" w:eastAsia="仿宋_GB2312"/>
          <w:szCs w:val="32"/>
        </w:rPr>
        <w:t>202</w:t>
      </w:r>
      <w:r>
        <w:rPr>
          <w:rFonts w:hint="eastAsia" w:ascii="仿宋_GB2312" w:eastAsia="仿宋_GB2312"/>
          <w:szCs w:val="32"/>
          <w:lang w:val="en-US" w:eastAsia="zh-CN"/>
        </w:rPr>
        <w:t>2</w:t>
      </w:r>
      <w:r>
        <w:rPr>
          <w:rFonts w:hint="eastAsia" w:ascii="仿宋_GB2312" w:eastAsia="仿宋_GB2312"/>
          <w:szCs w:val="32"/>
        </w:rPr>
        <w:t>年度机关运行经费支出</w:t>
      </w:r>
      <w:r>
        <w:rPr>
          <w:rFonts w:hint="eastAsia" w:ascii="仿宋_GB2312" w:eastAsia="仿宋_GB2312"/>
          <w:szCs w:val="32"/>
          <w:lang w:val="en-US" w:eastAsia="zh-CN"/>
        </w:rPr>
        <w:t>74.94</w:t>
      </w:r>
      <w:r>
        <w:rPr>
          <w:rFonts w:hint="eastAsia" w:ascii="仿宋_GB2312" w:eastAsia="仿宋_GB2312"/>
          <w:szCs w:val="32"/>
        </w:rPr>
        <w:t>万元</w:t>
      </w:r>
      <w:r>
        <w:rPr>
          <w:rFonts w:hint="eastAsia" w:ascii="仿宋_GB2312" w:hAnsi="宋体" w:eastAsia="仿宋_GB2312" w:cs="Courier New"/>
          <w:szCs w:val="32"/>
        </w:rPr>
        <w:t>，</w:t>
      </w:r>
      <w:r>
        <w:rPr>
          <w:rFonts w:hint="eastAsia" w:ascii="仿宋_GB2312" w:hAnsi="Times New Roman" w:eastAsia="仿宋_GB2312" w:cs="Times New Roman"/>
          <w:sz w:val="32"/>
          <w:szCs w:val="32"/>
        </w:rPr>
        <w:t>比上年决算数减少</w:t>
      </w:r>
      <w:r>
        <w:rPr>
          <w:rFonts w:hint="eastAsia" w:ascii="仿宋_GB2312" w:hAnsi="Times New Roman" w:eastAsia="仿宋_GB2312" w:cs="Times New Roman"/>
          <w:sz w:val="32"/>
          <w:szCs w:val="32"/>
          <w:lang w:val="en-US" w:eastAsia="zh-CN"/>
        </w:rPr>
        <w:t>65.85</w:t>
      </w:r>
      <w:r>
        <w:rPr>
          <w:rFonts w:hint="eastAsia" w:ascii="仿宋_GB2312" w:hAnsi="Times New Roman" w:eastAsia="仿宋_GB2312" w:cs="Times New Roman"/>
          <w:sz w:val="32"/>
          <w:szCs w:val="32"/>
        </w:rPr>
        <w:t>万元，下降</w:t>
      </w:r>
      <w:r>
        <w:rPr>
          <w:rFonts w:hint="eastAsia" w:ascii="仿宋_GB2312" w:hAnsi="Times New Roman" w:eastAsia="仿宋_GB2312" w:cs="Times New Roman"/>
          <w:sz w:val="32"/>
          <w:szCs w:val="32"/>
          <w:lang w:val="en-US" w:eastAsia="zh-CN"/>
        </w:rPr>
        <w:t>46.8</w:t>
      </w:r>
      <w:r>
        <w:rPr>
          <w:rFonts w:hint="eastAsia" w:ascii="仿宋_GB2312" w:hAnsi="Times New Roman" w:eastAsia="仿宋_GB2312" w:cs="Times New Roman"/>
          <w:sz w:val="32"/>
          <w:szCs w:val="32"/>
        </w:rPr>
        <w:t>%，主要原因是</w:t>
      </w:r>
      <w:r>
        <w:rPr>
          <w:rFonts w:hint="eastAsia" w:ascii="仿宋_GB2312" w:hAnsi="Times New Roman" w:eastAsia="仿宋_GB2312" w:cs="Times New Roman"/>
          <w:sz w:val="32"/>
          <w:szCs w:val="32"/>
          <w:lang w:eastAsia="zh-CN"/>
        </w:rPr>
        <w:t>缩减机关运行经费支出</w:t>
      </w:r>
      <w:r>
        <w:rPr>
          <w:rFonts w:hint="eastAsia" w:ascii="仿宋_GB2312" w:hAnsi="Times New Roman" w:eastAsia="仿宋_GB2312" w:cs="Times New Roman"/>
          <w:sz w:val="32"/>
          <w:szCs w:val="32"/>
        </w:rPr>
        <w:t>。</w:t>
      </w:r>
    </w:p>
    <w:p>
      <w:pPr>
        <w:spacing w:line="580" w:lineRule="exact"/>
        <w:ind w:firstLine="640" w:firstLineChars="200"/>
        <w:rPr>
          <w:rFonts w:ascii="楷体_GB2312" w:eastAsia="楷体_GB2312"/>
          <w:szCs w:val="32"/>
        </w:rPr>
      </w:pPr>
      <w:r>
        <w:rPr>
          <w:rFonts w:hint="eastAsia" w:ascii="楷体_GB2312" w:eastAsia="楷体_GB2312"/>
          <w:szCs w:val="32"/>
        </w:rPr>
        <w:t>（二）政府采购支出情况</w:t>
      </w:r>
    </w:p>
    <w:p>
      <w:pPr>
        <w:spacing w:line="580" w:lineRule="exact"/>
        <w:ind w:firstLine="640" w:firstLineChars="200"/>
        <w:rPr>
          <w:rFonts w:hint="eastAsia" w:ascii="仿宋_GB2312" w:eastAsia="仿宋_GB2312"/>
          <w:szCs w:val="32"/>
          <w:lang w:eastAsia="zh-CN"/>
        </w:rPr>
      </w:pPr>
      <w:r>
        <w:rPr>
          <w:rFonts w:hint="eastAsia" w:ascii="仿宋_GB2312" w:eastAsia="仿宋_GB2312"/>
          <w:szCs w:val="32"/>
        </w:rPr>
        <w:t>202</w:t>
      </w:r>
      <w:r>
        <w:rPr>
          <w:rFonts w:hint="eastAsia" w:ascii="仿宋_GB2312" w:eastAsia="仿宋_GB2312"/>
          <w:szCs w:val="32"/>
          <w:lang w:val="en-US" w:eastAsia="zh-CN"/>
        </w:rPr>
        <w:t>2</w:t>
      </w:r>
      <w:r>
        <w:rPr>
          <w:rFonts w:hint="eastAsia" w:ascii="仿宋_GB2312" w:eastAsia="仿宋_GB2312"/>
          <w:szCs w:val="32"/>
        </w:rPr>
        <w:t>年度政府采购支出总额</w:t>
      </w:r>
      <w:r>
        <w:rPr>
          <w:rFonts w:hint="eastAsia" w:ascii="仿宋_GB2312" w:eastAsia="仿宋_GB2312"/>
          <w:szCs w:val="32"/>
          <w:lang w:val="en-US" w:eastAsia="zh-CN"/>
        </w:rPr>
        <w:t>1923</w:t>
      </w:r>
      <w:r>
        <w:rPr>
          <w:rFonts w:hint="eastAsia" w:ascii="仿宋_GB2312" w:eastAsia="仿宋_GB2312"/>
          <w:szCs w:val="32"/>
        </w:rPr>
        <w:t>万元，其中：政府采购货物支出</w:t>
      </w:r>
      <w:r>
        <w:rPr>
          <w:rFonts w:hint="eastAsia" w:ascii="仿宋_GB2312" w:eastAsia="仿宋_GB2312"/>
          <w:szCs w:val="32"/>
          <w:lang w:val="en-US" w:eastAsia="zh-CN"/>
        </w:rPr>
        <w:t>3</w:t>
      </w:r>
      <w:r>
        <w:rPr>
          <w:rFonts w:hint="eastAsia" w:ascii="仿宋_GB2312" w:eastAsia="仿宋_GB2312"/>
          <w:szCs w:val="32"/>
        </w:rPr>
        <w:t>万元、政府采购工程支出</w:t>
      </w:r>
      <w:r>
        <w:rPr>
          <w:rFonts w:hint="eastAsia" w:ascii="仿宋_GB2312" w:eastAsia="仿宋_GB2312"/>
          <w:szCs w:val="32"/>
          <w:lang w:val="en-US" w:eastAsia="zh-CN"/>
        </w:rPr>
        <w:t>1590</w:t>
      </w:r>
      <w:r>
        <w:rPr>
          <w:rFonts w:hint="eastAsia" w:ascii="仿宋_GB2312" w:eastAsia="仿宋_GB2312"/>
          <w:szCs w:val="32"/>
        </w:rPr>
        <w:t>万元、政府采购服务支出</w:t>
      </w:r>
      <w:r>
        <w:rPr>
          <w:rFonts w:hint="eastAsia" w:ascii="仿宋_GB2312" w:eastAsia="仿宋_GB2312"/>
          <w:szCs w:val="32"/>
          <w:lang w:val="en-US" w:eastAsia="zh-CN"/>
        </w:rPr>
        <w:t>330</w:t>
      </w:r>
      <w:r>
        <w:rPr>
          <w:rFonts w:hint="eastAsia" w:ascii="仿宋_GB2312" w:eastAsia="仿宋_GB2312"/>
          <w:szCs w:val="32"/>
        </w:rPr>
        <w:t>万元。授予中小企业合同金额</w:t>
      </w:r>
      <w:r>
        <w:rPr>
          <w:rFonts w:hint="eastAsia" w:ascii="仿宋_GB2312" w:eastAsia="仿宋_GB2312"/>
          <w:szCs w:val="32"/>
          <w:lang w:val="en-US" w:eastAsia="zh-CN"/>
        </w:rPr>
        <w:t>1741</w:t>
      </w:r>
      <w:r>
        <w:rPr>
          <w:rFonts w:hint="eastAsia" w:ascii="仿宋_GB2312" w:eastAsia="仿宋_GB2312"/>
          <w:szCs w:val="32"/>
        </w:rPr>
        <w:t>万元，占政府采购支出总额的</w:t>
      </w:r>
      <w:r>
        <w:rPr>
          <w:rFonts w:hint="eastAsia" w:ascii="仿宋_GB2312" w:eastAsia="仿宋_GB2312"/>
          <w:szCs w:val="32"/>
          <w:lang w:val="en-US" w:eastAsia="zh-CN"/>
        </w:rPr>
        <w:t>90.5</w:t>
      </w:r>
      <w:r>
        <w:rPr>
          <w:rFonts w:hint="eastAsia" w:ascii="仿宋_GB2312" w:eastAsia="仿宋_GB2312"/>
          <w:szCs w:val="32"/>
        </w:rPr>
        <w:t>%，其中：授予小微企业合同金额</w:t>
      </w:r>
      <w:r>
        <w:rPr>
          <w:rFonts w:hint="eastAsia" w:ascii="仿宋_GB2312" w:eastAsia="仿宋_GB2312"/>
          <w:szCs w:val="32"/>
          <w:lang w:val="en-US" w:eastAsia="zh-CN"/>
        </w:rPr>
        <w:t>1741</w:t>
      </w:r>
      <w:r>
        <w:rPr>
          <w:rFonts w:hint="eastAsia" w:ascii="仿宋_GB2312" w:eastAsia="仿宋_GB2312"/>
          <w:szCs w:val="32"/>
        </w:rPr>
        <w:t>万元，占政府采购支出总额的</w:t>
      </w:r>
      <w:r>
        <w:rPr>
          <w:rFonts w:hint="eastAsia" w:ascii="仿宋_GB2312" w:eastAsia="仿宋_GB2312"/>
          <w:szCs w:val="32"/>
          <w:lang w:val="en-US" w:eastAsia="zh-CN"/>
        </w:rPr>
        <w:t>90.5</w:t>
      </w:r>
      <w:r>
        <w:rPr>
          <w:rFonts w:hint="eastAsia" w:ascii="仿宋_GB2312" w:eastAsia="仿宋_GB2312"/>
          <w:szCs w:val="32"/>
        </w:rPr>
        <w:t>%。货物采购授予中小企业合同金额占货物支出金额的</w:t>
      </w:r>
      <w:r>
        <w:rPr>
          <w:rFonts w:hint="eastAsia" w:ascii="仿宋_GB2312" w:eastAsia="仿宋_GB2312"/>
          <w:szCs w:val="32"/>
          <w:lang w:val="en-US" w:eastAsia="zh-CN"/>
        </w:rPr>
        <w:t>100</w:t>
      </w:r>
      <w:r>
        <w:rPr>
          <w:rFonts w:hint="eastAsia" w:ascii="仿宋_GB2312" w:eastAsia="仿宋_GB2312"/>
          <w:szCs w:val="32"/>
        </w:rPr>
        <w:t xml:space="preserve"> %，工程采购授予中小企业合同金额占工程支出金额的100%，服务采购授予中小企业合同金额占服务支出金额的</w:t>
      </w:r>
      <w:r>
        <w:rPr>
          <w:rFonts w:hint="eastAsia" w:ascii="仿宋_GB2312" w:eastAsia="仿宋_GB2312"/>
          <w:szCs w:val="32"/>
          <w:lang w:val="en-US" w:eastAsia="zh-CN"/>
        </w:rPr>
        <w:t>44.8</w:t>
      </w:r>
      <w:r>
        <w:rPr>
          <w:rFonts w:hint="eastAsia" w:ascii="仿宋_GB2312" w:eastAsia="仿宋_GB2312"/>
          <w:szCs w:val="32"/>
        </w:rPr>
        <w:t>%。</w:t>
      </w:r>
    </w:p>
    <w:p>
      <w:pPr>
        <w:spacing w:line="580" w:lineRule="exact"/>
        <w:ind w:firstLine="640" w:firstLineChars="200"/>
        <w:rPr>
          <w:rFonts w:ascii="楷体_GB2312" w:eastAsia="楷体_GB2312"/>
          <w:szCs w:val="32"/>
        </w:rPr>
      </w:pPr>
      <w:r>
        <w:rPr>
          <w:rFonts w:hint="eastAsia" w:ascii="楷体_GB2312" w:eastAsia="楷体_GB2312"/>
          <w:szCs w:val="32"/>
        </w:rPr>
        <w:t>（三）国有资产占用情况</w:t>
      </w:r>
    </w:p>
    <w:p>
      <w:pPr>
        <w:spacing w:line="580" w:lineRule="exact"/>
        <w:ind w:firstLine="640" w:firstLineChars="200"/>
        <w:rPr>
          <w:rFonts w:ascii="仿宋_GB2312" w:eastAsia="仿宋_GB2312"/>
          <w:szCs w:val="32"/>
        </w:rPr>
      </w:pPr>
      <w:r>
        <w:rPr>
          <w:rFonts w:hint="eastAsia" w:ascii="仿宋_GB2312" w:eastAsia="仿宋_GB2312"/>
          <w:szCs w:val="32"/>
        </w:rPr>
        <w:t>截至 202</w:t>
      </w:r>
      <w:r>
        <w:rPr>
          <w:rFonts w:hint="eastAsia" w:ascii="仿宋_GB2312" w:eastAsia="仿宋_GB2312"/>
          <w:szCs w:val="32"/>
          <w:lang w:val="en-US" w:eastAsia="zh-CN"/>
        </w:rPr>
        <w:t>2</w:t>
      </w:r>
      <w:r>
        <w:rPr>
          <w:rFonts w:hint="eastAsia" w:ascii="仿宋_GB2312" w:eastAsia="仿宋_GB2312"/>
          <w:szCs w:val="32"/>
        </w:rPr>
        <w:t xml:space="preserve"> 年 12 月 31 日，本</w:t>
      </w:r>
      <w:r>
        <w:rPr>
          <w:rFonts w:hint="eastAsia" w:ascii="仿宋_GB2312" w:eastAsia="仿宋_GB2312"/>
          <w:szCs w:val="32"/>
          <w:lang w:eastAsia="zh-CN"/>
        </w:rPr>
        <w:t>单位</w:t>
      </w:r>
      <w:r>
        <w:rPr>
          <w:rFonts w:hint="eastAsia" w:ascii="仿宋_GB2312" w:eastAsia="仿宋_GB2312"/>
          <w:szCs w:val="32"/>
        </w:rPr>
        <w:t>共有车辆</w:t>
      </w:r>
      <w:r>
        <w:rPr>
          <w:rFonts w:hint="eastAsia" w:ascii="仿宋_GB2312" w:eastAsia="仿宋_GB2312"/>
          <w:szCs w:val="32"/>
          <w:lang w:val="en-US" w:eastAsia="zh-CN"/>
        </w:rPr>
        <w:t>1</w:t>
      </w:r>
      <w:r>
        <w:rPr>
          <w:rFonts w:hint="eastAsia" w:ascii="仿宋_GB2312" w:eastAsia="仿宋_GB2312"/>
          <w:szCs w:val="32"/>
        </w:rPr>
        <w:t>辆，其中，机要通信用车1辆、其他用车</w:t>
      </w:r>
      <w:r>
        <w:rPr>
          <w:rFonts w:hint="eastAsia" w:ascii="仿宋_GB2312" w:eastAsia="仿宋_GB2312"/>
          <w:szCs w:val="32"/>
          <w:lang w:val="en-US" w:eastAsia="zh-CN"/>
        </w:rPr>
        <w:t>0</w:t>
      </w:r>
      <w:r>
        <w:rPr>
          <w:rFonts w:hint="eastAsia" w:ascii="仿宋_GB2312" w:eastAsia="仿宋_GB2312"/>
          <w:szCs w:val="32"/>
        </w:rPr>
        <w:t>辆，其他用车主要是公务用车；单位价值 50 万元以上通用设备0台（套）；单位价值 100 万元以上专用设备0台（套）。</w:t>
      </w:r>
    </w:p>
    <w:p>
      <w:pPr>
        <w:spacing w:line="580" w:lineRule="exact"/>
        <w:ind w:firstLine="640" w:firstLineChars="200"/>
        <w:rPr>
          <w:rFonts w:ascii="黑体" w:hAnsi="黑体" w:eastAsia="黑体"/>
          <w:szCs w:val="32"/>
        </w:rPr>
      </w:pPr>
      <w:r>
        <w:rPr>
          <w:rFonts w:hint="eastAsia" w:ascii="黑体" w:hAnsi="黑体" w:eastAsia="黑体"/>
          <w:szCs w:val="32"/>
        </w:rPr>
        <w:t>十一、预算绩效情况说明</w:t>
      </w:r>
    </w:p>
    <w:p>
      <w:pPr>
        <w:spacing w:line="580" w:lineRule="exact"/>
        <w:ind w:firstLine="640" w:firstLineChars="200"/>
        <w:rPr>
          <w:rFonts w:ascii="楷体_GB2312" w:eastAsia="楷体_GB2312"/>
          <w:bCs/>
          <w:kern w:val="0"/>
          <w:szCs w:val="32"/>
        </w:rPr>
      </w:pPr>
      <w:r>
        <w:rPr>
          <w:rFonts w:hint="eastAsia" w:ascii="楷体_GB2312" w:eastAsia="楷体_GB2312"/>
          <w:bCs/>
          <w:kern w:val="0"/>
          <w:szCs w:val="32"/>
        </w:rPr>
        <w:t>（一）预算绩效管理工作开展情况</w:t>
      </w:r>
    </w:p>
    <w:p>
      <w:pPr>
        <w:pStyle w:val="10"/>
        <w:spacing w:line="580" w:lineRule="exact"/>
        <w:ind w:firstLine="515" w:firstLineChars="161"/>
        <w:jc w:val="both"/>
        <w:rPr>
          <w:rFonts w:ascii="仿宋_GB2312" w:eastAsia="仿宋_GB2312"/>
          <w:color w:val="000000"/>
          <w:kern w:val="0"/>
          <w:szCs w:val="32"/>
        </w:rPr>
      </w:pPr>
      <w:r>
        <w:rPr>
          <w:rFonts w:hint="eastAsia" w:ascii="仿宋_GB2312" w:eastAsia="仿宋_GB2312"/>
          <w:kern w:val="0"/>
          <w:szCs w:val="32"/>
        </w:rPr>
        <w:t>根据预算绩效管理要求，</w:t>
      </w:r>
      <w:r>
        <w:rPr>
          <w:rFonts w:hint="eastAsia" w:ascii="仿宋_GB2312" w:eastAsia="仿宋_GB2312"/>
          <w:kern w:val="0"/>
          <w:szCs w:val="32"/>
          <w:lang w:eastAsia="zh-CN"/>
        </w:rPr>
        <w:t>本单位</w:t>
      </w:r>
      <w:r>
        <w:rPr>
          <w:rFonts w:hint="eastAsia" w:ascii="仿宋_GB2312" w:eastAsia="仿宋_GB2312"/>
          <w:kern w:val="0"/>
          <w:szCs w:val="32"/>
        </w:rPr>
        <w:t>组织对202</w:t>
      </w:r>
      <w:r>
        <w:rPr>
          <w:rFonts w:hint="eastAsia" w:ascii="仿宋_GB2312" w:eastAsia="仿宋_GB2312"/>
          <w:kern w:val="0"/>
          <w:szCs w:val="32"/>
          <w:lang w:val="en-US" w:eastAsia="zh-CN"/>
        </w:rPr>
        <w:t>2</w:t>
      </w:r>
      <w:r>
        <w:rPr>
          <w:rFonts w:hint="eastAsia" w:ascii="仿宋_GB2312" w:eastAsia="仿宋_GB2312"/>
          <w:kern w:val="0"/>
          <w:szCs w:val="32"/>
        </w:rPr>
        <w:t>年度区级预算项目全面开展绩效自评，</w:t>
      </w:r>
      <w:r>
        <w:rPr>
          <w:rFonts w:hint="eastAsia" w:ascii="仿宋_GB2312" w:eastAsia="仿宋_GB2312"/>
          <w:kern w:val="0"/>
          <w:szCs w:val="32"/>
          <w:lang w:eastAsia="zh-CN"/>
        </w:rPr>
        <w:t>涵盖</w:t>
      </w:r>
      <w:r>
        <w:rPr>
          <w:rFonts w:hint="eastAsia" w:ascii="仿宋_GB2312" w:eastAsia="仿宋_GB2312"/>
          <w:kern w:val="0"/>
          <w:szCs w:val="32"/>
        </w:rPr>
        <w:t>项目</w:t>
      </w:r>
      <w:r>
        <w:rPr>
          <w:rFonts w:hint="eastAsia" w:ascii="仿宋_GB2312" w:eastAsia="仿宋_GB2312"/>
          <w:kern w:val="0"/>
          <w:szCs w:val="32"/>
          <w:lang w:val="en-US" w:eastAsia="zh-CN"/>
        </w:rPr>
        <w:t>3</w:t>
      </w:r>
      <w:r>
        <w:rPr>
          <w:rFonts w:hint="eastAsia" w:ascii="仿宋_GB2312" w:eastAsia="仿宋_GB2312"/>
          <w:kern w:val="0"/>
          <w:szCs w:val="32"/>
        </w:rPr>
        <w:t>个，涉及预算资金</w:t>
      </w:r>
      <w:r>
        <w:rPr>
          <w:rFonts w:hint="eastAsia" w:ascii="仿宋_GB2312" w:eastAsia="仿宋_GB2312"/>
          <w:kern w:val="0"/>
          <w:szCs w:val="32"/>
          <w:lang w:val="en-US" w:eastAsia="zh-CN"/>
        </w:rPr>
        <w:t>15319.77</w:t>
      </w:r>
      <w:r>
        <w:rPr>
          <w:rFonts w:hint="eastAsia" w:ascii="仿宋_GB2312" w:eastAsia="仿宋_GB2312"/>
          <w:kern w:val="0"/>
          <w:szCs w:val="32"/>
        </w:rPr>
        <w:t>万元，占</w:t>
      </w:r>
      <w:r>
        <w:rPr>
          <w:rFonts w:hint="eastAsia" w:ascii="仿宋_GB2312" w:eastAsia="仿宋_GB2312"/>
          <w:kern w:val="0"/>
          <w:szCs w:val="32"/>
          <w:lang w:eastAsia="zh-CN"/>
        </w:rPr>
        <w:t>单位</w:t>
      </w:r>
      <w:r>
        <w:rPr>
          <w:rFonts w:hint="eastAsia" w:ascii="仿宋_GB2312" w:eastAsia="仿宋_GB2312"/>
          <w:kern w:val="0"/>
          <w:szCs w:val="32"/>
        </w:rPr>
        <w:t>区级预算项目支出总额的</w:t>
      </w:r>
      <w:r>
        <w:rPr>
          <w:rFonts w:hint="eastAsia" w:ascii="仿宋_GB2312" w:eastAsia="仿宋_GB2312"/>
          <w:kern w:val="0"/>
          <w:szCs w:val="32"/>
          <w:lang w:val="en-US" w:eastAsia="zh-CN"/>
        </w:rPr>
        <w:t>100</w:t>
      </w:r>
      <w:r>
        <w:rPr>
          <w:rFonts w:hint="eastAsia" w:ascii="仿宋_GB2312" w:eastAsia="仿宋_GB2312"/>
          <w:kern w:val="0"/>
          <w:szCs w:val="32"/>
        </w:rPr>
        <w:t>%</w:t>
      </w:r>
      <w:r>
        <w:rPr>
          <w:rFonts w:hint="eastAsia" w:ascii="仿宋_GB2312" w:eastAsia="仿宋_GB2312"/>
          <w:color w:val="000000"/>
          <w:kern w:val="0"/>
          <w:szCs w:val="32"/>
        </w:rPr>
        <w:t>。</w:t>
      </w:r>
    </w:p>
    <w:p>
      <w:pPr>
        <w:spacing w:line="600" w:lineRule="exact"/>
        <w:ind w:firstLine="640" w:firstLineChars="200"/>
        <w:rPr>
          <w:rFonts w:ascii="仿宋_GB2312" w:eastAsia="仿宋_GB2312"/>
          <w:szCs w:val="32"/>
        </w:rPr>
      </w:pPr>
      <w:r>
        <w:rPr>
          <w:rFonts w:hint="eastAsia" w:ascii="仿宋_GB2312" w:eastAsia="仿宋_GB2312"/>
          <w:szCs w:val="32"/>
        </w:rPr>
        <w:t>组织对“</w:t>
      </w:r>
      <w:r>
        <w:rPr>
          <w:rFonts w:hint="eastAsia" w:ascii="仿宋_GB2312" w:eastAsia="仿宋_GB2312"/>
          <w:szCs w:val="32"/>
          <w:lang w:val="en-US" w:eastAsia="zh-CN"/>
        </w:rPr>
        <w:t>2号邻里中心项目</w:t>
      </w:r>
      <w:r>
        <w:rPr>
          <w:rFonts w:hint="eastAsia" w:ascii="仿宋_GB2312" w:eastAsia="仿宋_GB2312"/>
          <w:szCs w:val="32"/>
        </w:rPr>
        <w:t>”</w:t>
      </w:r>
      <w:r>
        <w:rPr>
          <w:rFonts w:hint="eastAsia" w:ascii="仿宋_GB2312" w:eastAsia="仿宋_GB2312"/>
          <w:szCs w:val="32"/>
          <w:lang w:val="en-US" w:eastAsia="zh-CN"/>
        </w:rPr>
        <w:t>1</w:t>
      </w:r>
      <w:r>
        <w:rPr>
          <w:rFonts w:hint="eastAsia" w:ascii="仿宋_GB2312" w:eastAsia="仿宋_GB2312"/>
          <w:szCs w:val="32"/>
        </w:rPr>
        <w:t>个项目开展了重点绩效评价，涉及预算资金</w:t>
      </w:r>
      <w:r>
        <w:rPr>
          <w:rFonts w:hint="eastAsia" w:ascii="仿宋_GB2312" w:hAnsi="仿宋" w:cs="Times New Roman"/>
          <w:bCs/>
          <w:kern w:val="0"/>
          <w:sz w:val="32"/>
          <w:szCs w:val="32"/>
          <w:lang w:val="en-US" w:eastAsia="zh-CN"/>
        </w:rPr>
        <w:t>6325.75</w:t>
      </w:r>
      <w:r>
        <w:rPr>
          <w:rFonts w:hint="eastAsia" w:ascii="仿宋_GB2312" w:eastAsia="仿宋_GB2312"/>
          <w:szCs w:val="32"/>
        </w:rPr>
        <w:t>万元。</w:t>
      </w:r>
    </w:p>
    <w:p>
      <w:pPr>
        <w:spacing w:line="580" w:lineRule="exact"/>
        <w:ind w:firstLine="640" w:firstLineChars="200"/>
        <w:rPr>
          <w:rFonts w:ascii="楷体_GB2312" w:eastAsia="楷体_GB2312"/>
          <w:bCs/>
          <w:kern w:val="0"/>
          <w:szCs w:val="32"/>
        </w:rPr>
      </w:pPr>
      <w:r>
        <w:rPr>
          <w:rFonts w:hint="eastAsia" w:ascii="楷体_GB2312" w:eastAsia="楷体_GB2312"/>
          <w:bCs/>
          <w:kern w:val="0"/>
          <w:szCs w:val="32"/>
        </w:rPr>
        <w:t>（二）区级预算项目绩效自评结果</w:t>
      </w:r>
    </w:p>
    <w:p>
      <w:pPr>
        <w:spacing w:line="580" w:lineRule="exact"/>
        <w:ind w:firstLine="640" w:firstLineChars="200"/>
        <w:rPr>
          <w:rFonts w:ascii="仿宋_GB2312" w:eastAsia="仿宋_GB2312" w:cs="仿宋_GB2312"/>
          <w:szCs w:val="32"/>
        </w:rPr>
      </w:pPr>
      <w:r>
        <w:rPr>
          <w:rFonts w:hint="eastAsia" w:ascii="仿宋_GB2312" w:eastAsia="仿宋_GB2312"/>
          <w:szCs w:val="32"/>
          <w:lang w:eastAsia="zh-CN"/>
        </w:rPr>
        <w:t>本单位</w:t>
      </w:r>
      <w:r>
        <w:rPr>
          <w:rFonts w:hint="eastAsia" w:ascii="仿宋_GB2312" w:eastAsia="仿宋_GB2312"/>
          <w:szCs w:val="32"/>
        </w:rPr>
        <w:t>202</w:t>
      </w:r>
      <w:r>
        <w:rPr>
          <w:rFonts w:hint="eastAsia" w:ascii="仿宋_GB2312" w:eastAsia="仿宋_GB2312"/>
          <w:szCs w:val="32"/>
          <w:lang w:val="en-US" w:eastAsia="zh-CN"/>
        </w:rPr>
        <w:t>2</w:t>
      </w:r>
      <w:r>
        <w:rPr>
          <w:rFonts w:hint="eastAsia" w:ascii="仿宋_GB2312" w:eastAsia="仿宋_GB2312"/>
          <w:szCs w:val="32"/>
        </w:rPr>
        <w:t>年度区级预算绩效自评的3个项目中，3个项目自评等级为优。</w:t>
      </w:r>
      <w:r>
        <w:rPr>
          <w:rFonts w:hint="eastAsia" w:ascii="仿宋_GB2312" w:eastAsia="仿宋_GB2312" w:cs="仿宋_GB2312"/>
          <w:szCs w:val="32"/>
        </w:rPr>
        <w:t>从自评情况看，项目支出绩效管理的重视程度进一步提升，项目有序开展，执行和完成情况较好，资金使用比较规范。</w:t>
      </w:r>
    </w:p>
    <w:p>
      <w:pPr>
        <w:spacing w:line="580" w:lineRule="exact"/>
        <w:ind w:firstLine="640" w:firstLineChars="200"/>
        <w:rPr>
          <w:rFonts w:hint="eastAsia" w:ascii="仿宋_GB2312" w:eastAsia="仿宋_GB2312"/>
          <w:szCs w:val="32"/>
          <w:lang w:val="en-US" w:eastAsia="zh-CN"/>
        </w:rPr>
      </w:pPr>
      <w:r>
        <w:rPr>
          <w:rFonts w:hint="eastAsia" w:ascii="仿宋_GB2312" w:eastAsia="仿宋_GB2312"/>
          <w:szCs w:val="32"/>
        </w:rPr>
        <w:t>今年在</w:t>
      </w:r>
      <w:r>
        <w:rPr>
          <w:rFonts w:hint="eastAsia" w:ascii="仿宋_GB2312" w:eastAsia="仿宋_GB2312"/>
          <w:szCs w:val="32"/>
          <w:lang w:eastAsia="zh-CN"/>
        </w:rPr>
        <w:t>单位</w:t>
      </w:r>
      <w:r>
        <w:rPr>
          <w:rFonts w:hint="eastAsia" w:ascii="仿宋_GB2312" w:eastAsia="仿宋_GB2312"/>
          <w:szCs w:val="32"/>
        </w:rPr>
        <w:t>决算中反映了2022年度全部区级预算项目绩效自评结果，以及“开发区核心区城市建设及运维管理项目”、“开发区产业扶持及产业配套项目”、“开发区教育专项资金项目”3个项目的绩效自评结果。</w:t>
      </w:r>
    </w:p>
    <w:p>
      <w:pPr>
        <w:spacing w:line="580" w:lineRule="exact"/>
        <w:ind w:firstLine="640" w:firstLineChars="200"/>
        <w:rPr>
          <w:rFonts w:ascii="仿宋_GB2312" w:eastAsia="仿宋_GB2312"/>
          <w:szCs w:val="32"/>
        </w:rPr>
      </w:pPr>
      <w:r>
        <w:rPr>
          <w:rFonts w:hint="eastAsia" w:ascii="仿宋_GB2312" w:eastAsia="仿宋_GB2312"/>
          <w:szCs w:val="32"/>
        </w:rPr>
        <w:t>1.开发区核心区城市建设及运维管理项目绩效自评综述：根据年初设定的绩效目标，项目自评得分为100分。全年预算数为</w:t>
      </w:r>
      <w:r>
        <w:rPr>
          <w:rFonts w:hint="eastAsia" w:ascii="仿宋_GB2312" w:eastAsia="仿宋_GB2312"/>
          <w:szCs w:val="32"/>
          <w:lang w:val="en-US" w:eastAsia="zh-CN"/>
        </w:rPr>
        <w:t xml:space="preserve">        10369.61</w:t>
      </w:r>
      <w:r>
        <w:rPr>
          <w:rFonts w:hint="eastAsia" w:ascii="仿宋_GB2312" w:eastAsia="仿宋_GB2312"/>
          <w:szCs w:val="32"/>
        </w:rPr>
        <w:t>万元，执行数为</w:t>
      </w:r>
      <w:r>
        <w:rPr>
          <w:rFonts w:hint="eastAsia" w:ascii="仿宋_GB2312" w:eastAsia="仿宋_GB2312"/>
          <w:szCs w:val="32"/>
          <w:lang w:val="en-US" w:eastAsia="zh-CN"/>
        </w:rPr>
        <w:t>10367.73</w:t>
      </w:r>
      <w:r>
        <w:rPr>
          <w:rFonts w:hint="eastAsia" w:ascii="仿宋_GB2312" w:eastAsia="仿宋_GB2312"/>
          <w:szCs w:val="32"/>
        </w:rPr>
        <w:t>万元，完成预算的</w:t>
      </w:r>
      <w:r>
        <w:rPr>
          <w:rFonts w:hint="eastAsia" w:ascii="仿宋_GB2312" w:eastAsia="仿宋_GB2312"/>
          <w:szCs w:val="32"/>
          <w:lang w:val="en-US" w:eastAsia="zh-CN"/>
        </w:rPr>
        <w:t>99.98</w:t>
      </w:r>
      <w:r>
        <w:rPr>
          <w:rFonts w:hint="eastAsia" w:ascii="仿宋_GB2312" w:eastAsia="仿宋_GB2312"/>
          <w:szCs w:val="32"/>
        </w:rPr>
        <w:t>%。项目绩效目标完成情况：一是重点项目按计划开工，及时竣工验收；二是有效改善区域交通状况，提高环境品质，完善城市基础设施建设；三是城市运维管理工作有序开展。</w:t>
      </w:r>
    </w:p>
    <w:p>
      <w:pPr>
        <w:spacing w:line="580" w:lineRule="exact"/>
        <w:ind w:firstLine="640" w:firstLineChars="200"/>
        <w:rPr>
          <w:rFonts w:ascii="仿宋_GB2312" w:eastAsia="仿宋_GB2312"/>
          <w:szCs w:val="32"/>
        </w:rPr>
      </w:pPr>
      <w:r>
        <w:rPr>
          <w:rFonts w:hint="eastAsia" w:ascii="仿宋_GB2312" w:eastAsia="仿宋_GB2312"/>
          <w:szCs w:val="32"/>
        </w:rPr>
        <w:t>2.开发区产业扶持及产业配套项目绩效自评综述：根据年初设定的绩效目标，项目自评得分为100分。全年预算数为</w:t>
      </w:r>
      <w:r>
        <w:rPr>
          <w:rFonts w:hint="eastAsia" w:ascii="仿宋_GB2312" w:eastAsia="仿宋_GB2312"/>
          <w:szCs w:val="32"/>
          <w:lang w:val="en-US" w:eastAsia="zh-CN"/>
        </w:rPr>
        <w:t>2796.6</w:t>
      </w:r>
      <w:r>
        <w:rPr>
          <w:rFonts w:hint="eastAsia" w:ascii="仿宋_GB2312" w:eastAsia="仿宋_GB2312"/>
          <w:szCs w:val="32"/>
        </w:rPr>
        <w:t>万元，执行数为</w:t>
      </w:r>
      <w:r>
        <w:rPr>
          <w:rFonts w:hint="eastAsia" w:ascii="仿宋_GB2312" w:eastAsia="仿宋_GB2312"/>
          <w:szCs w:val="32"/>
          <w:lang w:val="en-US" w:eastAsia="zh-CN"/>
        </w:rPr>
        <w:t>4041.55</w:t>
      </w:r>
      <w:r>
        <w:rPr>
          <w:rFonts w:hint="eastAsia" w:ascii="仿宋_GB2312" w:eastAsia="仿宋_GB2312"/>
          <w:szCs w:val="32"/>
        </w:rPr>
        <w:t>万元，完成预算的</w:t>
      </w:r>
      <w:r>
        <w:rPr>
          <w:rFonts w:hint="eastAsia" w:ascii="仿宋_GB2312" w:eastAsia="仿宋_GB2312"/>
          <w:szCs w:val="32"/>
          <w:lang w:val="en-US" w:eastAsia="zh-CN"/>
        </w:rPr>
        <w:t>144.5</w:t>
      </w:r>
      <w:r>
        <w:rPr>
          <w:rFonts w:hint="eastAsia" w:ascii="仿宋_GB2312" w:eastAsia="仿宋_GB2312"/>
          <w:szCs w:val="32"/>
        </w:rPr>
        <w:t>%。项目绩效目标完成情况：一是扶持企业完成税收贡献；二是人才引进、科技创新完成既定目标；三是优化辖区产业布局。</w:t>
      </w:r>
    </w:p>
    <w:p>
      <w:pPr>
        <w:spacing w:line="580" w:lineRule="exact"/>
        <w:ind w:firstLine="640" w:firstLineChars="200"/>
        <w:rPr>
          <w:rFonts w:hint="eastAsia" w:ascii="仿宋_GB2312" w:eastAsia="仿宋_GB2312"/>
          <w:szCs w:val="32"/>
        </w:rPr>
      </w:pPr>
      <w:r>
        <w:rPr>
          <w:rFonts w:hint="eastAsia" w:ascii="仿宋_GB2312" w:eastAsia="仿宋_GB2312"/>
          <w:szCs w:val="32"/>
        </w:rPr>
        <w:t>3.开发区教育专项资金项目绩效自评综述：根据年初设定的绩效目标，项目自评得分为100分。全年预算数为</w:t>
      </w:r>
      <w:r>
        <w:rPr>
          <w:rFonts w:hint="eastAsia" w:ascii="仿宋_GB2312" w:eastAsia="仿宋_GB2312"/>
          <w:szCs w:val="32"/>
          <w:lang w:val="en-US" w:eastAsia="zh-CN"/>
        </w:rPr>
        <w:t>580.8</w:t>
      </w:r>
      <w:r>
        <w:rPr>
          <w:rFonts w:hint="eastAsia" w:ascii="仿宋_GB2312" w:eastAsia="仿宋_GB2312"/>
          <w:szCs w:val="32"/>
        </w:rPr>
        <w:t>万元，执行数为</w:t>
      </w:r>
      <w:r>
        <w:rPr>
          <w:rFonts w:hint="eastAsia" w:ascii="仿宋_GB2312" w:eastAsia="仿宋_GB2312"/>
          <w:szCs w:val="32"/>
          <w:lang w:val="en-US" w:eastAsia="zh-CN"/>
        </w:rPr>
        <w:t>910.49</w:t>
      </w:r>
      <w:r>
        <w:rPr>
          <w:rFonts w:hint="eastAsia" w:ascii="仿宋_GB2312" w:eastAsia="仿宋_GB2312"/>
          <w:szCs w:val="32"/>
        </w:rPr>
        <w:t>万元，完成预算的</w:t>
      </w:r>
      <w:r>
        <w:rPr>
          <w:rFonts w:hint="eastAsia" w:ascii="仿宋_GB2312" w:eastAsia="仿宋_GB2312"/>
          <w:szCs w:val="32"/>
          <w:lang w:val="en-US" w:eastAsia="zh-CN"/>
        </w:rPr>
        <w:t>156.8</w:t>
      </w:r>
      <w:r>
        <w:rPr>
          <w:rFonts w:hint="eastAsia" w:ascii="仿宋_GB2312" w:eastAsia="仿宋_GB2312"/>
          <w:szCs w:val="32"/>
        </w:rPr>
        <w:t>%。项目绩效目标完成情况：一是保障辖区学校正常运转；二是完善辖区教育体系；三是提高辖区学校教育质量与教学水平。</w:t>
      </w:r>
    </w:p>
    <w:p>
      <w:pPr>
        <w:spacing w:line="580" w:lineRule="exact"/>
        <w:ind w:firstLine="640" w:firstLineChars="200"/>
        <w:rPr>
          <w:rFonts w:hint="eastAsia" w:ascii="仿宋_GB2312" w:eastAsia="仿宋_GB2312"/>
          <w:szCs w:val="32"/>
        </w:rPr>
      </w:pPr>
      <w:r>
        <w:rPr>
          <w:rFonts w:hint="eastAsia" w:ascii="仿宋_GB2312" w:eastAsia="仿宋_GB2312"/>
          <w:kern w:val="0"/>
          <w:szCs w:val="32"/>
        </w:rPr>
        <w:t>2022年度区级预算项目绩效自评情况汇总表和</w:t>
      </w:r>
      <w:r>
        <w:rPr>
          <w:rFonts w:hint="eastAsia" w:ascii="仿宋_GB2312" w:eastAsia="仿宋_GB2312"/>
          <w:kern w:val="0"/>
          <w:szCs w:val="32"/>
          <w:lang w:bidi="ar"/>
        </w:rPr>
        <w:t>区级预算项目绩效自评表</w:t>
      </w:r>
      <w:r>
        <w:rPr>
          <w:rFonts w:hint="eastAsia" w:ascii="仿宋_GB2312" w:eastAsia="仿宋_GB2312"/>
          <w:szCs w:val="32"/>
        </w:rPr>
        <w:t>详见</w:t>
      </w:r>
      <w:r>
        <w:rPr>
          <w:rFonts w:hint="eastAsia" w:ascii="仿宋_GB2312" w:eastAsia="仿宋_GB2312"/>
          <w:kern w:val="0"/>
          <w:szCs w:val="32"/>
        </w:rPr>
        <w:t>“第五部分 附件”</w:t>
      </w:r>
      <w:r>
        <w:rPr>
          <w:rFonts w:hint="eastAsia" w:ascii="仿宋_GB2312" w:eastAsia="仿宋_GB231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_GB2312" w:eastAsia="楷体_GB2312"/>
          <w:bCs/>
          <w:kern w:val="0"/>
          <w:szCs w:val="32"/>
        </w:rPr>
      </w:pPr>
      <w:r>
        <w:rPr>
          <w:rFonts w:hint="eastAsia" w:ascii="楷体_GB2312" w:eastAsia="楷体_GB2312"/>
          <w:bCs/>
          <w:kern w:val="0"/>
          <w:szCs w:val="32"/>
        </w:rPr>
        <w:t>（三）重点绩效评价结果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kern w:val="0"/>
          <w:szCs w:val="32"/>
          <w:lang w:eastAsia="zh-CN"/>
        </w:rPr>
      </w:pPr>
      <w:r>
        <w:rPr>
          <w:rFonts w:hint="eastAsia" w:ascii="仿宋_GB2312" w:hAnsi="Times New Roman" w:eastAsia="仿宋_GB2312" w:cs="Times New Roman"/>
          <w:kern w:val="0"/>
          <w:szCs w:val="32"/>
        </w:rPr>
        <w:t>“</w:t>
      </w:r>
      <w:r>
        <w:rPr>
          <w:rFonts w:hint="eastAsia" w:ascii="仿宋_GB2312" w:hAnsi="Times New Roman" w:eastAsia="仿宋_GB2312" w:cs="Times New Roman"/>
          <w:kern w:val="0"/>
          <w:szCs w:val="32"/>
          <w:lang w:val="en-US" w:eastAsia="zh-CN"/>
        </w:rPr>
        <w:t>2号邻里中心项目</w:t>
      </w:r>
      <w:r>
        <w:rPr>
          <w:rFonts w:hint="eastAsia" w:ascii="仿宋_GB2312" w:hAnsi="Times New Roman" w:eastAsia="仿宋_GB2312" w:cs="Times New Roman"/>
          <w:kern w:val="0"/>
          <w:szCs w:val="32"/>
        </w:rPr>
        <w:t>”</w:t>
      </w:r>
      <w:r>
        <w:rPr>
          <w:rFonts w:hint="eastAsia" w:ascii="仿宋_GB2312" w:hAnsi="Times New Roman" w:eastAsia="仿宋_GB2312" w:cs="Times New Roman"/>
          <w:kern w:val="0"/>
          <w:szCs w:val="32"/>
          <w:lang w:eastAsia="zh-CN"/>
        </w:rPr>
        <w:t>，绩效评价得分“</w:t>
      </w:r>
      <w:r>
        <w:rPr>
          <w:rFonts w:hint="eastAsia" w:ascii="仿宋_GB2312" w:hAnsi="Times New Roman" w:eastAsia="仿宋_GB2312" w:cs="Times New Roman"/>
          <w:kern w:val="0"/>
          <w:szCs w:val="32"/>
          <w:lang w:val="en-US" w:eastAsia="zh-CN"/>
        </w:rPr>
        <w:t>91.7</w:t>
      </w:r>
      <w:r>
        <w:rPr>
          <w:rFonts w:hint="eastAsia" w:ascii="仿宋_GB2312" w:hAnsi="Times New Roman" w:eastAsia="仿宋_GB2312" w:cs="Times New Roman"/>
          <w:kern w:val="0"/>
          <w:szCs w:val="32"/>
          <w:lang w:eastAsia="zh-CN"/>
        </w:rPr>
        <w:t>”分，等级为“优”。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Cs w:val="32"/>
          <w:lang w:eastAsia="zh-CN"/>
        </w:rPr>
      </w:pPr>
      <w:r>
        <w:rPr>
          <w:rFonts w:hint="eastAsia" w:ascii="仿宋_GB2312" w:hAnsi="Times New Roman" w:eastAsia="仿宋_GB2312" w:cs="Times New Roman"/>
          <w:szCs w:val="32"/>
        </w:rPr>
        <w:t>重点绩效评价报告详见“第五部分 附件</w:t>
      </w:r>
      <w:r>
        <w:rPr>
          <w:rFonts w:hint="eastAsia" w:ascii="仿宋_GB2312" w:hAnsi="Times New Roman" w:eastAsia="仿宋_GB2312" w:cs="Times New Roman"/>
          <w:szCs w:val="32"/>
          <w:lang w:eastAsia="zh-CN"/>
        </w:rPr>
        <w:t>”。</w:t>
      </w: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rPr>
          <w:rFonts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hint="eastAsia" w:ascii="方正小标宋简体" w:eastAsia="方正小标宋简体"/>
          <w:spacing w:val="60"/>
          <w:sz w:val="42"/>
        </w:rPr>
      </w:pPr>
    </w:p>
    <w:p>
      <w:pPr>
        <w:ind w:firstLine="540" w:firstLineChars="100"/>
        <w:rPr>
          <w:rFonts w:ascii="方正小标宋简体" w:eastAsia="方正小标宋简体"/>
          <w:spacing w:val="60"/>
          <w:sz w:val="42"/>
        </w:rPr>
      </w:pPr>
      <w:r>
        <w:rPr>
          <w:rFonts w:hint="eastAsia" w:ascii="方正小标宋简体" w:eastAsia="方正小标宋简体"/>
          <w:spacing w:val="60"/>
          <w:sz w:val="42"/>
        </w:rPr>
        <w:t>第四部分</w:t>
      </w:r>
    </w:p>
    <w:p>
      <w:pPr>
        <w:jc w:val="center"/>
        <w:rPr>
          <w:rFonts w:ascii="方正小标宋简体" w:eastAsia="方正小标宋简体"/>
          <w:spacing w:val="60"/>
          <w:sz w:val="42"/>
        </w:rPr>
      </w:pPr>
    </w:p>
    <w:p>
      <w:pPr>
        <w:jc w:val="center"/>
        <w:rPr>
          <w:rFonts w:ascii="方正小标宋简体" w:eastAsia="方正小标宋简体"/>
          <w:spacing w:val="60"/>
          <w:sz w:val="42"/>
        </w:rPr>
      </w:pPr>
    </w:p>
    <w:p>
      <w:pPr>
        <w:jc w:val="center"/>
        <w:rPr>
          <w:rFonts w:ascii="方正小标宋简体" w:eastAsia="方正小标宋简体"/>
          <w:spacing w:val="60"/>
          <w:sz w:val="48"/>
        </w:rPr>
      </w:pPr>
      <w:r>
        <w:rPr>
          <w:rFonts w:hint="eastAsia" w:ascii="方正小标宋简体" w:eastAsia="方正小标宋简体"/>
          <w:spacing w:val="60"/>
          <w:sz w:val="48"/>
        </w:rPr>
        <w:t>名词解释</w:t>
      </w:r>
    </w:p>
    <w:p>
      <w:pPr>
        <w:rPr>
          <w:rFonts w:ascii="方正小标宋简体" w:eastAsia="方正小标宋简体"/>
          <w:spacing w:val="60"/>
          <w:sz w:val="48"/>
        </w:rPr>
      </w:pPr>
    </w:p>
    <w:p>
      <w:pPr>
        <w:rPr>
          <w:rFonts w:ascii="方正小标宋简体" w:eastAsia="方正小标宋简体"/>
          <w:spacing w:val="60"/>
          <w:sz w:val="48"/>
        </w:rPr>
      </w:pPr>
    </w:p>
    <w:p>
      <w:pPr>
        <w:rPr>
          <w:rFonts w:ascii="方正小标宋简体" w:eastAsia="方正小标宋简体"/>
          <w:spacing w:val="60"/>
          <w:sz w:val="48"/>
        </w:rPr>
      </w:pPr>
    </w:p>
    <w:p>
      <w:pPr>
        <w:rPr>
          <w:rFonts w:ascii="方正小标宋简体" w:eastAsia="方正小标宋简体"/>
          <w:spacing w:val="60"/>
          <w:sz w:val="48"/>
        </w:rPr>
      </w:pPr>
    </w:p>
    <w:p>
      <w:pPr>
        <w:rPr>
          <w:rFonts w:ascii="方正小标宋简体" w:eastAsia="方正小标宋简体"/>
          <w:spacing w:val="60"/>
          <w:sz w:val="48"/>
        </w:rPr>
      </w:pPr>
    </w:p>
    <w:p>
      <w:pPr>
        <w:rPr>
          <w:rFonts w:ascii="方正小标宋简体" w:eastAsia="方正小标宋简体"/>
          <w:spacing w:val="60"/>
          <w:sz w:val="48"/>
        </w:rPr>
      </w:pPr>
    </w:p>
    <w:p>
      <w:pPr>
        <w:rPr>
          <w:rFonts w:ascii="方正小标宋简体" w:eastAsia="方正小标宋简体"/>
          <w:spacing w:val="60"/>
          <w:sz w:val="48"/>
        </w:rPr>
      </w:pPr>
    </w:p>
    <w:p>
      <w:pPr>
        <w:spacing w:line="580" w:lineRule="exact"/>
        <w:ind w:firstLine="640" w:firstLineChars="200"/>
        <w:rPr>
          <w:rFonts w:ascii="黑体" w:hAnsi="黑体" w:eastAsia="黑体"/>
          <w:color w:val="000000"/>
          <w:szCs w:val="32"/>
        </w:rPr>
      </w:pPr>
    </w:p>
    <w:p>
      <w:pPr>
        <w:spacing w:line="580" w:lineRule="exact"/>
        <w:ind w:firstLine="640" w:firstLineChars="200"/>
        <w:rPr>
          <w:rFonts w:ascii="仿宋_GB2312" w:eastAsia="仿宋_GB2312"/>
          <w:szCs w:val="32"/>
        </w:rPr>
      </w:pPr>
      <w:r>
        <w:rPr>
          <w:rFonts w:hint="eastAsia" w:ascii="黑体" w:hAnsi="黑体" w:eastAsia="黑体"/>
          <w:color w:val="000000"/>
          <w:szCs w:val="32"/>
        </w:rPr>
        <w:t>一、财政拨款收入：</w:t>
      </w:r>
      <w:r>
        <w:rPr>
          <w:rFonts w:hint="eastAsia" w:ascii="仿宋_GB2312" w:eastAsia="仿宋_GB2312"/>
          <w:szCs w:val="32"/>
        </w:rPr>
        <w:t>指单位本年度从本级财政单位取得的财政拨款，包括一般公共预算财政拨款、政府性基金预算财政拨款和国有资本经营预算财政拨款。</w:t>
      </w:r>
    </w:p>
    <w:p>
      <w:pPr>
        <w:spacing w:line="580" w:lineRule="exact"/>
        <w:ind w:firstLine="640" w:firstLineChars="200"/>
        <w:rPr>
          <w:rFonts w:ascii="仿宋_GB2312" w:hAnsi="仿宋" w:eastAsia="仿宋_GB2312"/>
          <w:szCs w:val="32"/>
        </w:rPr>
      </w:pPr>
      <w:r>
        <w:rPr>
          <w:rFonts w:hint="eastAsia" w:ascii="黑体" w:hAnsi="黑体" w:eastAsia="黑体"/>
          <w:szCs w:val="32"/>
        </w:rPr>
        <w:t>二、上级补助收入：</w:t>
      </w:r>
      <w:r>
        <w:rPr>
          <w:rFonts w:hint="eastAsia" w:ascii="仿宋_GB2312" w:hAnsi="仿宋" w:eastAsia="仿宋_GB2312"/>
          <w:szCs w:val="32"/>
        </w:rPr>
        <w:t>指事业单位从主管单位和上级单位取得的非财政补助收入。</w:t>
      </w:r>
    </w:p>
    <w:p>
      <w:pPr>
        <w:spacing w:line="580" w:lineRule="exact"/>
        <w:ind w:firstLine="640" w:firstLineChars="200"/>
        <w:rPr>
          <w:rFonts w:ascii="仿宋_GB2312" w:hAnsi="仿宋" w:eastAsia="仿宋_GB2312"/>
          <w:szCs w:val="32"/>
        </w:rPr>
      </w:pPr>
      <w:r>
        <w:rPr>
          <w:rFonts w:hint="eastAsia" w:ascii="黑体" w:hAnsi="黑体" w:eastAsia="黑体"/>
          <w:szCs w:val="32"/>
        </w:rPr>
        <w:t>三、事业收入：</w:t>
      </w:r>
      <w:r>
        <w:rPr>
          <w:rFonts w:hint="eastAsia" w:ascii="仿宋_GB2312" w:hAnsi="仿宋" w:eastAsia="仿宋_GB2312"/>
          <w:szCs w:val="32"/>
        </w:rPr>
        <w:t>指事业单位开展专业业务活动及其辅助活动取得的收入；包括事业单位收到的财政专户实际核拨的教育收费等。</w:t>
      </w:r>
    </w:p>
    <w:p>
      <w:pPr>
        <w:spacing w:line="580" w:lineRule="exact"/>
        <w:ind w:firstLine="640" w:firstLineChars="200"/>
        <w:rPr>
          <w:rFonts w:ascii="仿宋_GB2312" w:hAnsi="仿宋" w:eastAsia="仿宋_GB2312"/>
          <w:szCs w:val="32"/>
        </w:rPr>
      </w:pPr>
      <w:r>
        <w:rPr>
          <w:rFonts w:hint="eastAsia" w:ascii="黑体" w:hAnsi="黑体" w:eastAsia="黑体"/>
          <w:szCs w:val="32"/>
        </w:rPr>
        <w:t>四、经营收入：</w:t>
      </w:r>
      <w:r>
        <w:rPr>
          <w:rFonts w:hint="eastAsia" w:ascii="仿宋_GB2312" w:hAnsi="仿宋" w:eastAsia="仿宋_GB2312"/>
          <w:szCs w:val="32"/>
        </w:rPr>
        <w:t>指事业单位在专业业务活动及其辅助活动之外开展非独立核算经营活动取得的收入。</w:t>
      </w:r>
    </w:p>
    <w:p>
      <w:pPr>
        <w:spacing w:line="580" w:lineRule="exact"/>
        <w:ind w:firstLine="640" w:firstLineChars="200"/>
        <w:rPr>
          <w:rFonts w:ascii="仿宋_GB2312" w:hAnsi="仿宋" w:eastAsia="仿宋_GB2312"/>
          <w:szCs w:val="32"/>
        </w:rPr>
      </w:pPr>
      <w:r>
        <w:rPr>
          <w:rFonts w:hint="eastAsia" w:ascii="黑体" w:hAnsi="黑体" w:eastAsia="黑体"/>
          <w:szCs w:val="32"/>
        </w:rPr>
        <w:t>五、附属单位上缴收入：</w:t>
      </w:r>
      <w:r>
        <w:rPr>
          <w:rFonts w:hint="eastAsia" w:ascii="仿宋_GB2312" w:hAnsi="仿宋" w:eastAsia="仿宋_GB2312"/>
          <w:szCs w:val="32"/>
        </w:rPr>
        <w:t>指事业单位附属独立核算单位按照有关规定上缴的收入。</w:t>
      </w:r>
    </w:p>
    <w:p>
      <w:pPr>
        <w:spacing w:line="580" w:lineRule="exact"/>
        <w:ind w:firstLine="640" w:firstLineChars="200"/>
        <w:rPr>
          <w:rFonts w:ascii="仿宋_GB2312" w:hAnsi="仿宋" w:eastAsia="仿宋_GB2312"/>
          <w:szCs w:val="32"/>
        </w:rPr>
      </w:pPr>
      <w:r>
        <w:rPr>
          <w:rFonts w:hint="eastAsia" w:ascii="黑体" w:hAnsi="黑体" w:eastAsia="黑体"/>
          <w:szCs w:val="32"/>
        </w:rPr>
        <w:t>六、其他收入：</w:t>
      </w:r>
      <w:r>
        <w:rPr>
          <w:rFonts w:hint="eastAsia" w:ascii="仿宋_GB2312" w:hAnsi="仿宋" w:eastAsia="仿宋_GB2312"/>
          <w:szCs w:val="32"/>
        </w:rPr>
        <w:t>指单位取得的除上述“</w:t>
      </w:r>
      <w:r>
        <w:rPr>
          <w:rFonts w:hint="eastAsia" w:ascii="仿宋_GB2312" w:eastAsia="仿宋_GB2312"/>
          <w:szCs w:val="32"/>
        </w:rPr>
        <w:t>财政拨款收入</w:t>
      </w:r>
      <w:r>
        <w:rPr>
          <w:rFonts w:hint="eastAsia" w:ascii="仿宋_GB2312" w:hAnsi="仿宋" w:eastAsia="仿宋_GB2312"/>
          <w:szCs w:val="32"/>
        </w:rPr>
        <w:t>”“上级补助收入”“事业收入”“经营收入”“附属单位上缴收入”等以外的各项收入。</w:t>
      </w:r>
    </w:p>
    <w:p>
      <w:pPr>
        <w:spacing w:line="580" w:lineRule="exact"/>
        <w:ind w:firstLine="640" w:firstLineChars="200"/>
        <w:rPr>
          <w:rFonts w:ascii="仿宋_GB2312" w:hAnsi="仿宋" w:eastAsia="仿宋_GB2312"/>
          <w:szCs w:val="32"/>
        </w:rPr>
      </w:pPr>
      <w:r>
        <w:rPr>
          <w:rFonts w:hint="eastAsia" w:ascii="黑体" w:hAnsi="黑体" w:eastAsia="黑体"/>
          <w:szCs w:val="32"/>
        </w:rPr>
        <w:t>七、使用非财政拨款结余：</w:t>
      </w:r>
      <w:r>
        <w:rPr>
          <w:rFonts w:hint="eastAsia" w:ascii="仿宋_GB2312" w:hAnsi="仿宋" w:eastAsia="仿宋_GB2312"/>
          <w:szCs w:val="32"/>
        </w:rPr>
        <w:t>指事业单位按照预算管理要求使用非财政拨款结余弥补收支差额的金额。</w:t>
      </w:r>
    </w:p>
    <w:p>
      <w:pPr>
        <w:spacing w:line="580" w:lineRule="exact"/>
        <w:ind w:firstLine="640" w:firstLineChars="200"/>
        <w:rPr>
          <w:rFonts w:ascii="仿宋_GB2312" w:eastAsia="仿宋_GB2312"/>
          <w:szCs w:val="32"/>
        </w:rPr>
      </w:pPr>
      <w:r>
        <w:rPr>
          <w:rFonts w:hint="eastAsia" w:ascii="黑体" w:hAnsi="黑体" w:eastAsia="黑体"/>
          <w:szCs w:val="32"/>
        </w:rPr>
        <w:t>八、年初结转和结余：</w:t>
      </w:r>
      <w:r>
        <w:rPr>
          <w:rFonts w:hint="eastAsia" w:ascii="仿宋_GB2312" w:eastAsia="仿宋_GB2312"/>
          <w:szCs w:val="32"/>
        </w:rPr>
        <w:t>指单位以前年度尚未完成、结转到本年仍按原规定用途继续使用的资金，或项目已完成等产生的结余资金。</w:t>
      </w:r>
    </w:p>
    <w:p>
      <w:pPr>
        <w:spacing w:line="580" w:lineRule="exact"/>
        <w:ind w:firstLine="640" w:firstLineChars="200"/>
        <w:rPr>
          <w:rFonts w:ascii="仿宋_GB2312" w:eastAsia="仿宋_GB2312"/>
          <w:szCs w:val="32"/>
        </w:rPr>
      </w:pPr>
      <w:r>
        <w:rPr>
          <w:rFonts w:hint="eastAsia" w:ascii="黑体" w:hAnsi="黑体" w:eastAsia="黑体"/>
          <w:szCs w:val="32"/>
        </w:rPr>
        <w:t>九、结余分配：</w:t>
      </w:r>
      <w:r>
        <w:rPr>
          <w:rFonts w:hint="eastAsia" w:ascii="仿宋_GB2312" w:eastAsia="仿宋_GB2312"/>
          <w:szCs w:val="32"/>
        </w:rPr>
        <w:t>指事业单位缴纳的所得税以及从非财政拨款结余或经营结余中提取的各类结余。</w:t>
      </w:r>
    </w:p>
    <w:p>
      <w:pPr>
        <w:spacing w:line="580" w:lineRule="exact"/>
        <w:ind w:firstLine="640" w:firstLineChars="200"/>
        <w:rPr>
          <w:rFonts w:ascii="仿宋_GB2312" w:hAnsi="仿宋" w:eastAsia="仿宋_GB2312"/>
          <w:szCs w:val="32"/>
        </w:rPr>
      </w:pPr>
      <w:r>
        <w:rPr>
          <w:rFonts w:hint="eastAsia" w:ascii="黑体" w:hAnsi="黑体" w:eastAsia="黑体"/>
          <w:szCs w:val="32"/>
        </w:rPr>
        <w:t>十、年末结转和结余：</w:t>
      </w:r>
      <w:r>
        <w:rPr>
          <w:rFonts w:hint="eastAsia" w:ascii="仿宋_GB2312" w:hAnsi="仿宋" w:eastAsia="仿宋_GB2312"/>
          <w:szCs w:val="32"/>
        </w:rPr>
        <w:t>指单位本年度或以前年度预算安排、因客观条件发生变化未全部执行或未执行，结转到以后年度继续使用的资金，或项目已完成等产生的结余资金。</w:t>
      </w:r>
    </w:p>
    <w:p>
      <w:pPr>
        <w:spacing w:line="580" w:lineRule="exact"/>
        <w:ind w:firstLine="640" w:firstLineChars="200"/>
        <w:rPr>
          <w:rFonts w:ascii="仿宋_GB2312" w:eastAsia="仿宋_GB2312"/>
          <w:szCs w:val="32"/>
        </w:rPr>
      </w:pPr>
      <w:r>
        <w:rPr>
          <w:rFonts w:hint="eastAsia" w:ascii="黑体" w:hAnsi="黑体" w:eastAsia="黑体"/>
          <w:szCs w:val="32"/>
        </w:rPr>
        <w:t>十一、基本支出：</w:t>
      </w:r>
      <w:r>
        <w:rPr>
          <w:rFonts w:hint="eastAsia" w:ascii="仿宋_GB2312" w:eastAsia="仿宋_GB2312"/>
          <w:szCs w:val="32"/>
        </w:rPr>
        <w:t>指单位为保障机构正常运转、完成日常工作任务而发生的各项支出。</w:t>
      </w:r>
    </w:p>
    <w:p>
      <w:pPr>
        <w:spacing w:line="580" w:lineRule="exact"/>
        <w:ind w:firstLine="640" w:firstLineChars="200"/>
        <w:rPr>
          <w:rFonts w:ascii="仿宋_GB2312" w:eastAsia="仿宋_GB2312"/>
          <w:szCs w:val="32"/>
        </w:rPr>
      </w:pPr>
      <w:r>
        <w:rPr>
          <w:rFonts w:hint="eastAsia" w:ascii="黑体" w:hAnsi="黑体" w:eastAsia="黑体"/>
          <w:szCs w:val="32"/>
        </w:rPr>
        <w:t>十二、项目支出：</w:t>
      </w:r>
      <w:r>
        <w:rPr>
          <w:rFonts w:hint="eastAsia" w:ascii="仿宋_GB2312" w:eastAsia="仿宋_GB2312"/>
          <w:szCs w:val="32"/>
        </w:rPr>
        <w:t>指单位为完成特定的行政工作任务或事业发展目标，在基本支出之外发生的各项支出。</w:t>
      </w:r>
    </w:p>
    <w:p>
      <w:pPr>
        <w:spacing w:line="580" w:lineRule="exact"/>
        <w:ind w:firstLine="640" w:firstLineChars="200"/>
        <w:rPr>
          <w:rFonts w:ascii="仿宋_GB2312" w:eastAsia="仿宋_GB2312"/>
          <w:szCs w:val="32"/>
        </w:rPr>
      </w:pPr>
      <w:r>
        <w:rPr>
          <w:rFonts w:hint="eastAsia" w:ascii="黑体" w:hAnsi="黑体" w:eastAsia="黑体"/>
          <w:szCs w:val="32"/>
        </w:rPr>
        <w:t>十三、经营支出：</w:t>
      </w:r>
      <w:r>
        <w:rPr>
          <w:rFonts w:hint="eastAsia" w:ascii="仿宋_GB2312" w:eastAsia="仿宋_GB2312"/>
          <w:szCs w:val="32"/>
        </w:rPr>
        <w:t>指事业单位在专业业务活动及其辅助活动之外开展非独立核算经营活动发生的支出。</w:t>
      </w:r>
    </w:p>
    <w:p>
      <w:pPr>
        <w:spacing w:line="580" w:lineRule="exact"/>
        <w:ind w:firstLine="640" w:firstLineChars="200"/>
        <w:rPr>
          <w:rFonts w:ascii="仿宋_GB2312" w:eastAsia="仿宋_GB2312"/>
          <w:szCs w:val="32"/>
        </w:rPr>
      </w:pPr>
      <w:r>
        <w:rPr>
          <w:rFonts w:hint="eastAsia" w:ascii="黑体" w:hAnsi="黑体" w:eastAsia="黑体"/>
          <w:szCs w:val="32"/>
        </w:rPr>
        <w:t>十四、“三公”经费：</w:t>
      </w:r>
      <w:r>
        <w:rPr>
          <w:rFonts w:hint="eastAsia" w:ascii="仿宋_GB2312" w:eastAsia="仿宋_GB2312"/>
          <w:szCs w:val="32"/>
        </w:rPr>
        <w:t>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按规定保留的公务用车燃料费、维修费、过桥过路费、保险费、安全奖励费用等支出；公务接待费反映单位按规定开支的各类公务接待（含外宾接待）支出。</w:t>
      </w:r>
    </w:p>
    <w:p>
      <w:pPr>
        <w:spacing w:line="580" w:lineRule="exact"/>
        <w:ind w:firstLine="640" w:firstLineChars="200"/>
        <w:rPr>
          <w:rFonts w:ascii="仿宋_GB2312" w:eastAsia="仿宋_GB2312"/>
          <w:szCs w:val="32"/>
        </w:rPr>
      </w:pPr>
      <w:r>
        <w:rPr>
          <w:rFonts w:hint="eastAsia" w:ascii="黑体" w:hAnsi="黑体" w:eastAsia="黑体"/>
          <w:szCs w:val="32"/>
        </w:rPr>
        <w:t>十五、机关运行经费：</w:t>
      </w:r>
      <w:r>
        <w:rPr>
          <w:rFonts w:hint="eastAsia" w:ascii="仿宋_GB2312" w:eastAsia="仿宋_GB2312"/>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80" w:lineRule="exact"/>
        <w:ind w:firstLine="640" w:firstLineChars="200"/>
        <w:rPr>
          <w:rFonts w:hint="eastAsia" w:ascii="仿宋_GB2312" w:hAnsi="黑体" w:eastAsia="仿宋_GB2312"/>
          <w:szCs w:val="32"/>
        </w:rPr>
      </w:pPr>
      <w:r>
        <w:rPr>
          <w:rFonts w:hint="eastAsia" w:ascii="黑体" w:hAnsi="黑体" w:eastAsia="黑体"/>
          <w:szCs w:val="32"/>
        </w:rPr>
        <w:t>十六、一般公共服务支出（类）</w:t>
      </w:r>
      <w:r>
        <w:rPr>
          <w:rFonts w:hint="eastAsia" w:ascii="黑体" w:hAnsi="黑体" w:eastAsia="黑体"/>
          <w:szCs w:val="32"/>
          <w:lang w:eastAsia="zh-CN"/>
        </w:rPr>
        <w:t>政府办公厅（室）及相关机构职务</w:t>
      </w:r>
      <w:r>
        <w:rPr>
          <w:rFonts w:hint="eastAsia" w:ascii="黑体" w:hAnsi="黑体" w:eastAsia="黑体"/>
          <w:szCs w:val="32"/>
        </w:rPr>
        <w:t>（款）行政运行（项）：</w:t>
      </w:r>
      <w:r>
        <w:rPr>
          <w:rFonts w:hint="eastAsia" w:ascii="仿宋_GB2312" w:eastAsia="仿宋_GB2312"/>
          <w:szCs w:val="32"/>
        </w:rPr>
        <w:t>反映行政单位（包括实行公务员管理的事业单位）的基本支出。</w:t>
      </w:r>
    </w:p>
    <w:p>
      <w:pPr>
        <w:spacing w:line="580" w:lineRule="exact"/>
        <w:ind w:firstLine="640" w:firstLineChars="200"/>
        <w:rPr>
          <w:rFonts w:ascii="仿宋_GB2312" w:eastAsia="仿宋_GB2312"/>
          <w:szCs w:val="32"/>
        </w:rPr>
      </w:pPr>
      <w:r>
        <w:rPr>
          <w:rFonts w:hint="eastAsia" w:ascii="黑体" w:hAnsi="黑体" w:eastAsia="黑体"/>
          <w:szCs w:val="32"/>
          <w:lang w:eastAsia="zh-CN"/>
        </w:rPr>
        <w:t>十七、</w:t>
      </w:r>
      <w:r>
        <w:rPr>
          <w:rFonts w:hint="eastAsia" w:ascii="黑体" w:hAnsi="黑体" w:eastAsia="黑体"/>
          <w:szCs w:val="32"/>
        </w:rPr>
        <w:t>公共安全支出（类</w:t>
      </w:r>
      <w:r>
        <w:rPr>
          <w:rFonts w:hint="eastAsia" w:ascii="黑体" w:hAnsi="黑体" w:eastAsia="黑体"/>
          <w:szCs w:val="32"/>
          <w:lang w:eastAsia="zh-CN"/>
        </w:rPr>
        <w:t>）</w:t>
      </w:r>
      <w:r>
        <w:rPr>
          <w:rFonts w:hint="eastAsia" w:ascii="黑体" w:hAnsi="黑体" w:eastAsia="黑体"/>
          <w:szCs w:val="32"/>
        </w:rPr>
        <w:t>公安（款</w:t>
      </w:r>
      <w:r>
        <w:rPr>
          <w:rFonts w:hint="eastAsia" w:ascii="黑体" w:hAnsi="黑体" w:eastAsia="黑体"/>
          <w:szCs w:val="32"/>
          <w:lang w:eastAsia="zh-CN"/>
        </w:rPr>
        <w:t>）</w:t>
      </w:r>
      <w:r>
        <w:rPr>
          <w:rFonts w:hint="eastAsia" w:ascii="黑体" w:hAnsi="黑体" w:eastAsia="黑体"/>
          <w:szCs w:val="32"/>
        </w:rPr>
        <w:t>其他公安支出（项</w:t>
      </w:r>
      <w:r>
        <w:rPr>
          <w:rFonts w:hint="eastAsia" w:ascii="黑体" w:hAnsi="黑体" w:eastAsia="黑体"/>
          <w:szCs w:val="32"/>
          <w:lang w:eastAsia="zh-CN"/>
        </w:rPr>
        <w:t>）：</w:t>
      </w:r>
      <w:r>
        <w:rPr>
          <w:rFonts w:hint="eastAsia" w:ascii="仿宋_GB2312" w:eastAsia="仿宋_GB2312"/>
          <w:szCs w:val="32"/>
        </w:rPr>
        <w:t>反映除上述项目以外其他用于公安方面的支出）</w:t>
      </w:r>
    </w:p>
    <w:p>
      <w:pPr>
        <w:spacing w:line="580" w:lineRule="exact"/>
        <w:ind w:firstLine="640" w:firstLineChars="200"/>
        <w:rPr>
          <w:rFonts w:hint="eastAsia" w:ascii="仿宋_GB2312" w:eastAsia="仿宋_GB2312"/>
          <w:szCs w:val="32"/>
          <w:lang w:eastAsia="zh-CN"/>
        </w:rPr>
      </w:pPr>
      <w:r>
        <w:rPr>
          <w:rFonts w:hint="eastAsia" w:ascii="黑体" w:hAnsi="黑体" w:eastAsia="黑体" w:cs="Times New Roman"/>
          <w:szCs w:val="32"/>
          <w:lang w:eastAsia="zh-CN"/>
        </w:rPr>
        <w:t>十八、教育支出（类）普通教育（款）学前教育（项）：</w:t>
      </w:r>
      <w:r>
        <w:rPr>
          <w:rFonts w:hint="eastAsia" w:ascii="仿宋_GB2312" w:eastAsia="仿宋_GB2312"/>
          <w:szCs w:val="32"/>
          <w:lang w:eastAsia="zh-CN"/>
        </w:rPr>
        <w:t>反映各部门举办的学前教育支出。政府各部门对社会组织等举办的幼儿园的资助，如捐赠、补贴等，也在本科目中反映。</w:t>
      </w:r>
    </w:p>
    <w:p>
      <w:pPr>
        <w:spacing w:line="580" w:lineRule="exact"/>
        <w:ind w:firstLine="640" w:firstLineChars="200"/>
        <w:rPr>
          <w:rFonts w:hint="eastAsia" w:ascii="仿宋_GB2312" w:eastAsia="仿宋_GB2312"/>
          <w:szCs w:val="32"/>
          <w:lang w:eastAsia="zh-CN"/>
        </w:rPr>
      </w:pPr>
      <w:r>
        <w:rPr>
          <w:rFonts w:hint="eastAsia" w:ascii="黑体" w:hAnsi="黑体" w:eastAsia="黑体" w:cs="Times New Roman"/>
          <w:szCs w:val="32"/>
          <w:lang w:eastAsia="zh-CN"/>
        </w:rPr>
        <w:t>十九、教育支出（类）普通教育（款）小学教育（项）：</w:t>
      </w:r>
      <w:r>
        <w:rPr>
          <w:rFonts w:hint="eastAsia" w:ascii="仿宋_GB2312" w:eastAsia="仿宋_GB2312"/>
          <w:szCs w:val="32"/>
          <w:lang w:eastAsia="zh-CN"/>
        </w:rPr>
        <w:t>反映各部门举办的小学教育支出。政府各部门对社会组织等举办的幼儿园的资助，如捐赠、补贴等，也在本科目中反映。</w:t>
      </w:r>
    </w:p>
    <w:p>
      <w:pPr>
        <w:spacing w:line="580" w:lineRule="exact"/>
        <w:ind w:firstLine="640" w:firstLineChars="200"/>
        <w:rPr>
          <w:rFonts w:hint="eastAsia" w:ascii="仿宋_GB2312" w:eastAsia="仿宋_GB2312"/>
          <w:szCs w:val="32"/>
          <w:lang w:eastAsia="zh-CN"/>
        </w:rPr>
      </w:pPr>
      <w:r>
        <w:rPr>
          <w:rFonts w:hint="eastAsia" w:ascii="黑体" w:hAnsi="黑体" w:eastAsia="黑体" w:cs="黑体"/>
          <w:szCs w:val="32"/>
          <w:lang w:eastAsia="zh-CN"/>
        </w:rPr>
        <w:t>二十、</w:t>
      </w:r>
      <w:r>
        <w:rPr>
          <w:rFonts w:hint="eastAsia" w:ascii="黑体" w:hAnsi="黑体" w:eastAsia="黑体" w:cs="黑体"/>
          <w:szCs w:val="32"/>
        </w:rPr>
        <w:t>科学技术支出（类</w:t>
      </w:r>
      <w:r>
        <w:rPr>
          <w:rFonts w:hint="eastAsia" w:ascii="黑体" w:hAnsi="黑体" w:eastAsia="黑体" w:cs="黑体"/>
          <w:szCs w:val="32"/>
          <w:lang w:eastAsia="zh-CN"/>
        </w:rPr>
        <w:t>）</w:t>
      </w:r>
      <w:r>
        <w:rPr>
          <w:rFonts w:hint="eastAsia" w:ascii="黑体" w:hAnsi="黑体" w:eastAsia="黑体" w:cs="黑体"/>
          <w:szCs w:val="32"/>
        </w:rPr>
        <w:t>其他科学技术支出（款</w:t>
      </w:r>
      <w:r>
        <w:rPr>
          <w:rFonts w:hint="eastAsia" w:ascii="黑体" w:hAnsi="黑体" w:eastAsia="黑体" w:cs="黑体"/>
          <w:szCs w:val="32"/>
          <w:lang w:eastAsia="zh-CN"/>
        </w:rPr>
        <w:t>）</w:t>
      </w:r>
      <w:r>
        <w:rPr>
          <w:rFonts w:hint="eastAsia" w:ascii="黑体" w:hAnsi="黑体" w:eastAsia="黑体" w:cs="黑体"/>
          <w:szCs w:val="32"/>
        </w:rPr>
        <w:t>其他科学技术支出（项</w:t>
      </w:r>
      <w:r>
        <w:rPr>
          <w:rFonts w:hint="eastAsia" w:ascii="黑体" w:hAnsi="黑体" w:eastAsia="黑体" w:cs="黑体"/>
          <w:szCs w:val="32"/>
          <w:lang w:eastAsia="zh-CN"/>
        </w:rPr>
        <w:t>）：</w:t>
      </w:r>
      <w:r>
        <w:rPr>
          <w:rFonts w:hint="eastAsia" w:ascii="仿宋_GB2312" w:eastAsia="仿宋_GB2312"/>
          <w:szCs w:val="32"/>
        </w:rPr>
        <w:t>反映其他科学技术支出中除以上各项外用于科技方面的支出</w:t>
      </w:r>
      <w:r>
        <w:rPr>
          <w:rFonts w:hint="eastAsia" w:ascii="仿宋_GB2312" w:eastAsia="仿宋_GB2312"/>
          <w:szCs w:val="32"/>
          <w:lang w:eastAsia="zh-CN"/>
        </w:rPr>
        <w:t>。</w:t>
      </w:r>
    </w:p>
    <w:p>
      <w:pPr>
        <w:spacing w:line="560" w:lineRule="exact"/>
        <w:ind w:firstLine="600"/>
        <w:rPr>
          <w:rFonts w:hint="eastAsia" w:ascii="仿宋_GB2312" w:eastAsia="仿宋_GB2312"/>
          <w:szCs w:val="32"/>
          <w:lang w:eastAsia="zh-CN"/>
        </w:rPr>
      </w:pPr>
      <w:r>
        <w:rPr>
          <w:rFonts w:hint="eastAsia" w:ascii="黑体" w:hAnsi="黑体" w:eastAsia="黑体" w:cs="黑体"/>
          <w:szCs w:val="32"/>
          <w:lang w:eastAsia="zh-CN"/>
        </w:rPr>
        <w:t>二十一、</w:t>
      </w:r>
      <w:r>
        <w:rPr>
          <w:rFonts w:hint="eastAsia" w:ascii="黑体" w:hAnsi="黑体" w:eastAsia="黑体" w:cs="黑体"/>
          <w:szCs w:val="32"/>
        </w:rPr>
        <w:t>文化旅游体育与传媒支出（类</w:t>
      </w:r>
      <w:r>
        <w:rPr>
          <w:rFonts w:hint="eastAsia" w:ascii="黑体" w:hAnsi="黑体" w:eastAsia="黑体" w:cs="黑体"/>
          <w:szCs w:val="32"/>
          <w:lang w:eastAsia="zh-CN"/>
        </w:rPr>
        <w:t>）</w:t>
      </w:r>
      <w:r>
        <w:rPr>
          <w:rFonts w:hint="eastAsia" w:ascii="黑体" w:hAnsi="黑体" w:eastAsia="黑体" w:cs="黑体"/>
          <w:szCs w:val="32"/>
        </w:rPr>
        <w:t>其他文化旅游体育与传媒支出（款</w:t>
      </w:r>
      <w:r>
        <w:rPr>
          <w:rFonts w:hint="eastAsia" w:ascii="黑体" w:hAnsi="黑体" w:eastAsia="黑体" w:cs="黑体"/>
          <w:szCs w:val="32"/>
          <w:lang w:eastAsia="zh-CN"/>
        </w:rPr>
        <w:t>）</w:t>
      </w:r>
      <w:r>
        <w:rPr>
          <w:rFonts w:hint="eastAsia" w:ascii="黑体" w:hAnsi="黑体" w:eastAsia="黑体" w:cs="黑体"/>
          <w:szCs w:val="32"/>
        </w:rPr>
        <w:t>其他文化旅游体育与传媒支出（项</w:t>
      </w:r>
      <w:r>
        <w:rPr>
          <w:rFonts w:hint="eastAsia" w:ascii="黑体" w:hAnsi="黑体" w:eastAsia="黑体" w:cs="黑体"/>
          <w:szCs w:val="32"/>
          <w:lang w:eastAsia="zh-CN"/>
        </w:rPr>
        <w:t>）：</w:t>
      </w:r>
      <w:r>
        <w:rPr>
          <w:rFonts w:hint="eastAsia" w:ascii="仿宋_GB2312" w:eastAsia="仿宋_GB2312"/>
          <w:szCs w:val="32"/>
        </w:rPr>
        <w:t>反映除上述项目以外其他用于文化旅游体育与传媒方面的支出</w:t>
      </w:r>
      <w:r>
        <w:rPr>
          <w:rFonts w:hint="eastAsia" w:ascii="仿宋_GB2312" w:eastAsia="仿宋_GB2312"/>
          <w:szCs w:val="32"/>
          <w:lang w:eastAsia="zh-CN"/>
        </w:rPr>
        <w:t>。</w:t>
      </w:r>
    </w:p>
    <w:p>
      <w:pPr>
        <w:spacing w:line="580" w:lineRule="exact"/>
        <w:ind w:firstLine="640" w:firstLineChars="200"/>
        <w:rPr>
          <w:rFonts w:hint="eastAsia" w:ascii="仿宋_GB2312" w:eastAsia="仿宋_GB2312"/>
          <w:szCs w:val="32"/>
          <w:lang w:eastAsia="zh-CN"/>
        </w:rPr>
      </w:pPr>
      <w:r>
        <w:rPr>
          <w:rFonts w:hint="eastAsia" w:ascii="黑体" w:hAnsi="黑体" w:eastAsia="黑体" w:cs="Times New Roman"/>
          <w:szCs w:val="32"/>
          <w:lang w:eastAsia="zh-CN"/>
        </w:rPr>
        <w:t>二十二、城乡社区（类）国有土地使用权出让收入安排的支出（款）城市建设支出（项）：</w:t>
      </w:r>
      <w:r>
        <w:rPr>
          <w:rFonts w:hint="eastAsia" w:ascii="仿宋_GB2312" w:eastAsia="仿宋_GB2312"/>
          <w:szCs w:val="32"/>
          <w:lang w:eastAsia="zh-CN"/>
        </w:rPr>
        <w:t>反映土地出让收入用于完善国有土地使用功能的配套设施建设和城市基础设施建设支出。</w:t>
      </w:r>
    </w:p>
    <w:p>
      <w:pPr>
        <w:spacing w:line="580" w:lineRule="exact"/>
        <w:ind w:firstLine="640" w:firstLineChars="200"/>
        <w:rPr>
          <w:rFonts w:hint="eastAsia" w:ascii="仿宋_GB2312" w:eastAsia="仿宋_GB2312"/>
          <w:szCs w:val="32"/>
          <w:lang w:eastAsia="zh-CN"/>
        </w:rPr>
      </w:pPr>
      <w:r>
        <w:rPr>
          <w:rFonts w:hint="eastAsia" w:ascii="黑体" w:hAnsi="黑体" w:eastAsia="黑体" w:cs="黑体"/>
          <w:szCs w:val="32"/>
          <w:lang w:eastAsia="zh-CN"/>
        </w:rPr>
        <w:t>二十三、城乡社区（类）</w:t>
      </w:r>
      <w:r>
        <w:rPr>
          <w:rFonts w:hint="eastAsia" w:ascii="黑体" w:hAnsi="黑体" w:eastAsia="黑体" w:cs="黑体"/>
          <w:szCs w:val="32"/>
        </w:rPr>
        <w:t>城市基础设施配套费安排的支出（款</w:t>
      </w:r>
      <w:r>
        <w:rPr>
          <w:rFonts w:hint="eastAsia" w:ascii="黑体" w:hAnsi="黑体" w:eastAsia="黑体" w:cs="黑体"/>
          <w:szCs w:val="32"/>
          <w:lang w:eastAsia="zh-CN"/>
        </w:rPr>
        <w:t>）</w:t>
      </w:r>
      <w:r>
        <w:rPr>
          <w:rFonts w:hint="eastAsia" w:ascii="黑体" w:hAnsi="黑体" w:eastAsia="黑体" w:cs="黑体"/>
          <w:szCs w:val="32"/>
        </w:rPr>
        <w:t>其他城市基础设施配套费安排的支出（项</w:t>
      </w:r>
      <w:r>
        <w:rPr>
          <w:rFonts w:hint="eastAsia" w:ascii="黑体" w:hAnsi="黑体" w:eastAsia="黑体" w:cs="黑体"/>
          <w:szCs w:val="32"/>
          <w:lang w:eastAsia="zh-CN"/>
        </w:rPr>
        <w:t>）</w:t>
      </w:r>
      <w:r>
        <w:rPr>
          <w:rFonts w:hint="eastAsia" w:ascii="仿宋_GB2312" w:eastAsia="仿宋_GB2312"/>
          <w:szCs w:val="32"/>
          <w:lang w:eastAsia="zh-CN"/>
        </w:rPr>
        <w:t>：</w:t>
      </w:r>
      <w:r>
        <w:rPr>
          <w:rFonts w:hint="eastAsia" w:ascii="仿宋_GB2312" w:eastAsia="仿宋_GB2312"/>
          <w:szCs w:val="32"/>
        </w:rPr>
        <w:t>反映上述项目以外的城市基础设施配套费的支出</w:t>
      </w:r>
      <w:r>
        <w:rPr>
          <w:rFonts w:hint="eastAsia" w:ascii="仿宋_GB2312" w:eastAsia="仿宋_GB2312"/>
          <w:szCs w:val="32"/>
          <w:lang w:eastAsia="zh-CN"/>
        </w:rPr>
        <w:t>。</w:t>
      </w:r>
    </w:p>
    <w:p>
      <w:pPr>
        <w:spacing w:line="580" w:lineRule="exact"/>
        <w:ind w:firstLine="640" w:firstLineChars="200"/>
        <w:rPr>
          <w:rFonts w:hint="eastAsia" w:ascii="仿宋_GB2312" w:eastAsia="仿宋_GB2312"/>
          <w:szCs w:val="32"/>
          <w:lang w:eastAsia="zh-CN"/>
        </w:rPr>
      </w:pPr>
      <w:r>
        <w:rPr>
          <w:rFonts w:hint="eastAsia" w:ascii="黑体" w:hAnsi="黑体" w:eastAsia="黑体" w:cs="Times New Roman"/>
          <w:szCs w:val="32"/>
          <w:lang w:eastAsia="zh-CN"/>
        </w:rPr>
        <w:t>二十四、城乡社区（类）其他城乡社区支出（款）其他城乡社区支出（项）：</w:t>
      </w:r>
      <w:r>
        <w:rPr>
          <w:rFonts w:hint="eastAsia" w:ascii="仿宋_GB2312" w:eastAsia="仿宋_GB2312"/>
          <w:szCs w:val="32"/>
          <w:lang w:eastAsia="zh-CN"/>
        </w:rPr>
        <w:t>反映上述项目以外其他用于城乡社区方面的支出。</w:t>
      </w: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r>
        <w:rPr>
          <w:rFonts w:hint="eastAsia" w:ascii="方正小标宋简体" w:eastAsia="方正小标宋简体"/>
          <w:spacing w:val="60"/>
          <w:sz w:val="42"/>
        </w:rPr>
        <w:t>第五部分</w:t>
      </w:r>
    </w:p>
    <w:p>
      <w:pPr>
        <w:jc w:val="center"/>
        <w:rPr>
          <w:rFonts w:ascii="方正小标宋简体" w:eastAsia="方正小标宋简体"/>
          <w:spacing w:val="60"/>
          <w:sz w:val="48"/>
        </w:rPr>
      </w:pPr>
    </w:p>
    <w:p>
      <w:pPr>
        <w:jc w:val="center"/>
        <w:rPr>
          <w:rFonts w:ascii="方正小标宋简体" w:eastAsia="方正小标宋简体"/>
          <w:spacing w:val="60"/>
          <w:sz w:val="48"/>
        </w:rPr>
      </w:pPr>
    </w:p>
    <w:p>
      <w:pPr>
        <w:jc w:val="center"/>
        <w:rPr>
          <w:rFonts w:ascii="方正小标宋简体" w:eastAsia="方正小标宋简体"/>
          <w:spacing w:val="60"/>
          <w:sz w:val="48"/>
        </w:rPr>
      </w:pPr>
      <w:r>
        <w:rPr>
          <w:rFonts w:hint="eastAsia" w:ascii="方正小标宋简体" w:eastAsia="方正小标宋简体"/>
          <w:spacing w:val="60"/>
          <w:sz w:val="48"/>
        </w:rPr>
        <w:t>附件</w:t>
      </w:r>
    </w:p>
    <w:p>
      <w:pPr>
        <w:rPr>
          <w:rFonts w:ascii="仿宋_GB2312" w:eastAsia="仿宋_GB2312"/>
          <w:b/>
          <w:szCs w:val="3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pPr>
    </w:p>
    <w:p>
      <w:pPr>
        <w:ind w:firstLine="540" w:firstLineChars="100"/>
        <w:rPr>
          <w:rFonts w:ascii="方正小标宋简体" w:eastAsia="方正小标宋简体"/>
          <w:spacing w:val="60"/>
          <w:sz w:val="42"/>
        </w:rPr>
        <w:sectPr>
          <w:pgSz w:w="11906" w:h="16838"/>
          <w:pgMar w:top="2098" w:right="1418" w:bottom="1871" w:left="1531" w:header="851" w:footer="992" w:gutter="0"/>
          <w:cols w:space="720" w:num="1"/>
          <w:docGrid w:type="lines" w:linePitch="435" w:charSpace="0"/>
        </w:sectPr>
      </w:pPr>
    </w:p>
    <w:p>
      <w:pPr>
        <w:spacing w:afterLines="50"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年度区级预算项目支出绩效自评情况汇总表</w:t>
      </w:r>
    </w:p>
    <w:p>
      <w:pPr>
        <w:spacing w:beforeLines="100" w:line="400" w:lineRule="exact"/>
        <w:ind w:firstLine="700" w:firstLineChars="250"/>
        <w:jc w:val="left"/>
        <w:rPr>
          <w:rFonts w:ascii="楷体_GB2312" w:eastAsia="楷体_GB2312"/>
          <w:sz w:val="28"/>
          <w:szCs w:val="28"/>
        </w:rPr>
      </w:pPr>
      <w:r>
        <w:rPr>
          <w:rFonts w:hint="eastAsia" w:ascii="楷体_GB2312" w:eastAsia="楷体_GB2312"/>
          <w:sz w:val="28"/>
          <w:szCs w:val="28"/>
          <w:lang w:eastAsia="zh-CN"/>
        </w:rPr>
        <w:t>单位</w:t>
      </w:r>
      <w:r>
        <w:rPr>
          <w:rFonts w:hint="eastAsia" w:ascii="楷体_GB2312" w:eastAsia="楷体_GB2312"/>
          <w:sz w:val="28"/>
          <w:szCs w:val="28"/>
        </w:rPr>
        <w:t>：山东省即墨经济开发区管理委员会</w:t>
      </w:r>
    </w:p>
    <w:tbl>
      <w:tblPr>
        <w:tblStyle w:val="7"/>
        <w:tblW w:w="0" w:type="auto"/>
        <w:jc w:val="center"/>
        <w:tblLayout w:type="fixed"/>
        <w:tblCellMar>
          <w:top w:w="15" w:type="dxa"/>
          <w:left w:w="15" w:type="dxa"/>
          <w:bottom w:w="15" w:type="dxa"/>
          <w:right w:w="15" w:type="dxa"/>
        </w:tblCellMar>
      </w:tblPr>
      <w:tblGrid>
        <w:gridCol w:w="1702"/>
        <w:gridCol w:w="6166"/>
        <w:gridCol w:w="2644"/>
        <w:gridCol w:w="2302"/>
      </w:tblGrid>
      <w:tr>
        <w:trPr>
          <w:trHeight w:val="570" w:hRule="atLeast"/>
          <w:jc w:val="center"/>
        </w:trPr>
        <w:tc>
          <w:tcPr>
            <w:tcW w:w="17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rPr>
              <w:t>序号</w:t>
            </w:r>
          </w:p>
        </w:tc>
        <w:tc>
          <w:tcPr>
            <w:tcW w:w="616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rPr>
              <w:t>项目名称</w:t>
            </w:r>
          </w:p>
        </w:tc>
        <w:tc>
          <w:tcPr>
            <w:tcW w:w="2644" w:type="dxa"/>
            <w:tcBorders>
              <w:top w:val="single" w:color="000000" w:sz="4" w:space="0"/>
              <w:left w:val="single" w:color="000000" w:sz="4" w:space="0"/>
              <w:right w:val="single" w:color="000000" w:sz="4" w:space="0"/>
            </w:tcBorders>
            <w:noWrap/>
            <w:vAlign w:val="center"/>
          </w:tcPr>
          <w:p>
            <w:pPr>
              <w:widowControl/>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rPr>
              <w:t>自评得分</w:t>
            </w:r>
          </w:p>
        </w:tc>
        <w:tc>
          <w:tcPr>
            <w:tcW w:w="2302" w:type="dxa"/>
            <w:tcBorders>
              <w:top w:val="single" w:color="000000" w:sz="4" w:space="0"/>
              <w:left w:val="single" w:color="000000" w:sz="4" w:space="0"/>
              <w:right w:val="single" w:color="000000" w:sz="4" w:space="0"/>
            </w:tcBorders>
            <w:noWrap/>
            <w:vAlign w:val="center"/>
          </w:tcPr>
          <w:p>
            <w:pPr>
              <w:widowControl/>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rPr>
              <w:t>自评等级</w:t>
            </w:r>
          </w:p>
        </w:tc>
      </w:tr>
      <w:tr>
        <w:tblPrEx>
          <w:tblCellMar>
            <w:top w:w="15" w:type="dxa"/>
            <w:left w:w="15" w:type="dxa"/>
            <w:bottom w:w="15" w:type="dxa"/>
            <w:right w:w="15" w:type="dxa"/>
          </w:tblCellMar>
        </w:tblPrEx>
        <w:trPr>
          <w:trHeight w:val="450" w:hRule="atLeast"/>
          <w:jc w:val="center"/>
        </w:trPr>
        <w:tc>
          <w:tcPr>
            <w:tcW w:w="17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1</w:t>
            </w:r>
          </w:p>
        </w:tc>
        <w:tc>
          <w:tcPr>
            <w:tcW w:w="616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8"/>
                <w:szCs w:val="28"/>
              </w:rPr>
            </w:pPr>
            <w:r>
              <w:rPr>
                <w:rFonts w:hint="eastAsia" w:ascii="仿宋_GB2312" w:eastAsia="仿宋_GB2312"/>
                <w:szCs w:val="32"/>
              </w:rPr>
              <w:t>开发区核心区城市建设及运维管理项目</w:t>
            </w:r>
          </w:p>
        </w:tc>
        <w:tc>
          <w:tcPr>
            <w:tcW w:w="264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8"/>
                <w:szCs w:val="28"/>
              </w:rPr>
            </w:pPr>
            <w:r>
              <w:rPr>
                <w:rFonts w:hint="eastAsia" w:ascii="仿宋_GB2312" w:hAnsi="宋体" w:eastAsia="仿宋_GB2312" w:cs="仿宋_GB2312"/>
                <w:color w:val="000000"/>
                <w:sz w:val="28"/>
                <w:szCs w:val="28"/>
              </w:rPr>
              <w:t>100</w:t>
            </w:r>
          </w:p>
        </w:tc>
        <w:tc>
          <w:tcPr>
            <w:tcW w:w="230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8"/>
                <w:szCs w:val="28"/>
              </w:rPr>
            </w:pPr>
            <w:r>
              <w:rPr>
                <w:rFonts w:hint="eastAsia" w:ascii="仿宋_GB2312" w:hAnsi="宋体" w:eastAsia="仿宋_GB2312" w:cs="仿宋_GB2312"/>
                <w:color w:val="000000"/>
                <w:sz w:val="28"/>
                <w:szCs w:val="28"/>
              </w:rPr>
              <w:t>优</w:t>
            </w:r>
          </w:p>
        </w:tc>
      </w:tr>
      <w:tr>
        <w:tblPrEx>
          <w:tblCellMar>
            <w:top w:w="15" w:type="dxa"/>
            <w:left w:w="15" w:type="dxa"/>
            <w:bottom w:w="15" w:type="dxa"/>
            <w:right w:w="15" w:type="dxa"/>
          </w:tblCellMar>
        </w:tblPrEx>
        <w:trPr>
          <w:trHeight w:val="450" w:hRule="atLeast"/>
          <w:jc w:val="center"/>
        </w:trPr>
        <w:tc>
          <w:tcPr>
            <w:tcW w:w="17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2</w:t>
            </w:r>
          </w:p>
        </w:tc>
        <w:tc>
          <w:tcPr>
            <w:tcW w:w="616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8"/>
                <w:szCs w:val="28"/>
              </w:rPr>
            </w:pPr>
            <w:r>
              <w:rPr>
                <w:rFonts w:hint="eastAsia" w:ascii="仿宋_GB2312" w:eastAsia="仿宋_GB2312"/>
                <w:szCs w:val="32"/>
              </w:rPr>
              <w:t>开发区产业扶持及产业配套项目</w:t>
            </w:r>
          </w:p>
        </w:tc>
        <w:tc>
          <w:tcPr>
            <w:tcW w:w="264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8"/>
                <w:szCs w:val="28"/>
              </w:rPr>
            </w:pPr>
            <w:r>
              <w:rPr>
                <w:rFonts w:hint="eastAsia" w:ascii="仿宋_GB2312" w:hAnsi="宋体" w:eastAsia="仿宋_GB2312" w:cs="仿宋_GB2312"/>
                <w:color w:val="000000"/>
                <w:sz w:val="28"/>
                <w:szCs w:val="28"/>
              </w:rPr>
              <w:t>100</w:t>
            </w:r>
          </w:p>
        </w:tc>
        <w:tc>
          <w:tcPr>
            <w:tcW w:w="230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8"/>
                <w:szCs w:val="28"/>
              </w:rPr>
            </w:pPr>
            <w:r>
              <w:rPr>
                <w:rFonts w:hint="eastAsia" w:ascii="仿宋_GB2312" w:hAnsi="宋体" w:eastAsia="仿宋_GB2312" w:cs="仿宋_GB2312"/>
                <w:color w:val="000000"/>
                <w:sz w:val="28"/>
                <w:szCs w:val="28"/>
              </w:rPr>
              <w:t>优</w:t>
            </w:r>
          </w:p>
        </w:tc>
      </w:tr>
      <w:tr>
        <w:tblPrEx>
          <w:tblCellMar>
            <w:top w:w="15" w:type="dxa"/>
            <w:left w:w="15" w:type="dxa"/>
            <w:bottom w:w="15" w:type="dxa"/>
            <w:right w:w="15" w:type="dxa"/>
          </w:tblCellMar>
        </w:tblPrEx>
        <w:trPr>
          <w:trHeight w:val="450" w:hRule="atLeast"/>
          <w:jc w:val="center"/>
        </w:trPr>
        <w:tc>
          <w:tcPr>
            <w:tcW w:w="17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3</w:t>
            </w:r>
          </w:p>
        </w:tc>
        <w:tc>
          <w:tcPr>
            <w:tcW w:w="616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8"/>
                <w:szCs w:val="28"/>
              </w:rPr>
            </w:pPr>
            <w:r>
              <w:rPr>
                <w:rFonts w:hint="eastAsia" w:ascii="仿宋_GB2312" w:eastAsia="仿宋_GB2312"/>
                <w:szCs w:val="32"/>
              </w:rPr>
              <w:t>开发区教育专项资金项目</w:t>
            </w:r>
          </w:p>
        </w:tc>
        <w:tc>
          <w:tcPr>
            <w:tcW w:w="264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8"/>
                <w:szCs w:val="28"/>
              </w:rPr>
            </w:pPr>
            <w:r>
              <w:rPr>
                <w:rFonts w:hint="eastAsia" w:ascii="仿宋_GB2312" w:hAnsi="宋体" w:eastAsia="仿宋_GB2312" w:cs="仿宋_GB2312"/>
                <w:color w:val="000000"/>
                <w:sz w:val="28"/>
                <w:szCs w:val="28"/>
              </w:rPr>
              <w:t>100</w:t>
            </w:r>
          </w:p>
        </w:tc>
        <w:tc>
          <w:tcPr>
            <w:tcW w:w="230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8"/>
                <w:szCs w:val="28"/>
              </w:rPr>
            </w:pPr>
            <w:r>
              <w:rPr>
                <w:rFonts w:hint="eastAsia" w:ascii="仿宋_GB2312" w:hAnsi="宋体" w:eastAsia="仿宋_GB2312" w:cs="仿宋_GB2312"/>
                <w:color w:val="000000"/>
                <w:sz w:val="28"/>
                <w:szCs w:val="28"/>
              </w:rPr>
              <w:t>优</w:t>
            </w:r>
          </w:p>
        </w:tc>
      </w:tr>
    </w:tbl>
    <w:p>
      <w:pPr>
        <w:spacing w:line="580" w:lineRule="exact"/>
        <w:ind w:firstLine="560" w:firstLineChars="200"/>
        <w:rPr>
          <w:rFonts w:hint="eastAsia" w:ascii="仿宋_GB2312" w:hAnsi="宋体" w:eastAsia="仿宋_GB2312"/>
          <w:sz w:val="28"/>
          <w:szCs w:val="28"/>
        </w:rPr>
        <w:sectPr>
          <w:pgSz w:w="16838" w:h="11906" w:orient="landscape"/>
          <w:pgMar w:top="1531" w:right="2098" w:bottom="1418" w:left="1871" w:header="851" w:footer="992" w:gutter="0"/>
          <w:cols w:space="720" w:num="1"/>
          <w:docGrid w:type="lines" w:linePitch="435" w:charSpace="0"/>
        </w:sectPr>
      </w:pPr>
      <w:r>
        <w:rPr>
          <w:rFonts w:hint="eastAsia" w:ascii="仿宋_GB2312" w:hAnsi="宋体" w:eastAsia="仿宋_GB2312"/>
          <w:sz w:val="28"/>
          <w:szCs w:val="28"/>
          <w:lang w:val="zh-CN"/>
        </w:rPr>
        <w:t xml:space="preserve">    注：</w:t>
      </w:r>
      <w:r>
        <w:rPr>
          <w:rFonts w:hint="eastAsia" w:ascii="仿宋_GB2312" w:hAnsi="宋体" w:eastAsia="仿宋_GB2312"/>
          <w:sz w:val="28"/>
          <w:szCs w:val="28"/>
        </w:rPr>
        <w:t>1.</w:t>
      </w:r>
      <w:r>
        <w:rPr>
          <w:rFonts w:hint="eastAsia" w:ascii="仿宋_GB2312" w:hAnsi="宋体" w:eastAsia="仿宋_GB2312"/>
          <w:sz w:val="28"/>
          <w:szCs w:val="28"/>
          <w:lang w:val="zh-CN"/>
        </w:rPr>
        <w:t>自评等级：自评得分在</w:t>
      </w:r>
      <w:r>
        <w:rPr>
          <w:rFonts w:hint="eastAsia" w:ascii="仿宋_GB2312" w:hAnsi="宋体" w:eastAsia="仿宋_GB2312"/>
          <w:sz w:val="28"/>
          <w:szCs w:val="28"/>
        </w:rPr>
        <w:t>90</w:t>
      </w:r>
      <w:r>
        <w:rPr>
          <w:rFonts w:hint="eastAsia" w:ascii="仿宋_GB2312" w:hAnsi="宋体" w:eastAsia="仿宋_GB2312"/>
          <w:sz w:val="28"/>
          <w:szCs w:val="28"/>
          <w:lang w:val="zh-CN"/>
        </w:rPr>
        <w:t>（含）</w:t>
      </w:r>
      <w:r>
        <w:rPr>
          <w:rFonts w:hint="eastAsia" w:ascii="仿宋_GB2312" w:hAnsi="宋体" w:eastAsia="仿宋_GB2312"/>
          <w:sz w:val="28"/>
          <w:szCs w:val="28"/>
        </w:rPr>
        <w:t>-100</w:t>
      </w:r>
      <w:r>
        <w:rPr>
          <w:rFonts w:hint="eastAsia" w:ascii="仿宋_GB2312" w:hAnsi="宋体" w:eastAsia="仿宋_GB2312"/>
          <w:sz w:val="28"/>
          <w:szCs w:val="28"/>
          <w:lang w:val="zh-CN"/>
        </w:rPr>
        <w:t>为“优”，</w:t>
      </w:r>
      <w:r>
        <w:rPr>
          <w:rFonts w:hint="eastAsia" w:ascii="仿宋_GB2312" w:hAnsi="宋体" w:eastAsia="仿宋_GB2312"/>
          <w:sz w:val="28"/>
          <w:szCs w:val="28"/>
        </w:rPr>
        <w:t>80（含）-90为“良”，60（含）-80为“中”，60分以下为</w:t>
      </w:r>
      <w:r>
        <w:rPr>
          <w:rFonts w:hint="eastAsia" w:ascii="仿宋_GB2312" w:hAnsi="宋体" w:eastAsia="仿宋_GB2312"/>
          <w:sz w:val="28"/>
          <w:szCs w:val="28"/>
          <w:lang w:val="zh-CN"/>
        </w:rPr>
        <w:t>“</w:t>
      </w:r>
      <w:r>
        <w:rPr>
          <w:rFonts w:hint="eastAsia" w:ascii="仿宋_GB2312" w:hAnsi="宋体" w:eastAsia="仿宋_GB2312"/>
          <w:sz w:val="28"/>
          <w:szCs w:val="28"/>
        </w:rPr>
        <w:t>差</w:t>
      </w:r>
      <w:r>
        <w:rPr>
          <w:rFonts w:hint="eastAsia" w:ascii="仿宋_GB2312" w:hAnsi="宋体" w:eastAsia="仿宋_GB2312"/>
          <w:sz w:val="28"/>
          <w:szCs w:val="28"/>
          <w:lang w:val="zh-CN"/>
        </w:rPr>
        <w:t xml:space="preserve">”； </w:t>
      </w:r>
      <w:r>
        <w:rPr>
          <w:rFonts w:hint="eastAsia" w:ascii="仿宋_GB2312" w:hAnsi="宋体" w:eastAsia="仿宋_GB2312"/>
          <w:sz w:val="28"/>
          <w:szCs w:val="28"/>
        </w:rPr>
        <w:t>2.表格中两部分的项目总数应与“（一）预算绩效管理工作开展情况”“（二）项目绩效自评结果”中表述的自评项目数量保持一致。如因项目涉密等原因造成项目数量不一致，需说明。</w:t>
      </w:r>
    </w:p>
    <w:tbl>
      <w:tblPr>
        <w:tblStyle w:val="7"/>
        <w:tblW w:w="112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0"/>
        <w:gridCol w:w="521"/>
        <w:gridCol w:w="1135"/>
        <w:gridCol w:w="2206"/>
        <w:gridCol w:w="1750"/>
        <w:gridCol w:w="1429"/>
        <w:gridCol w:w="1405"/>
        <w:gridCol w:w="18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9" w:hRule="atLeast"/>
          <w:jc w:val="center"/>
        </w:trPr>
        <w:tc>
          <w:tcPr>
            <w:tcW w:w="11260"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 xml:space="preserve">区级转移支付项目绩效目标自评表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jc w:val="center"/>
        </w:trPr>
        <w:tc>
          <w:tcPr>
            <w:tcW w:w="11260" w:type="dxa"/>
            <w:gridSpan w:val="8"/>
            <w:tcBorders>
              <w:top w:val="nil"/>
              <w:left w:val="nil"/>
              <w:bottom w:val="single" w:color="000000" w:sz="4" w:space="0"/>
              <w:right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jc w:val="center"/>
        </w:trPr>
        <w:tc>
          <w:tcPr>
            <w:tcW w:w="25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867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开发区核心区城市建设及产业配套项目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jc w:val="center"/>
        </w:trPr>
        <w:tc>
          <w:tcPr>
            <w:tcW w:w="25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中央主管部门</w:t>
            </w:r>
          </w:p>
        </w:tc>
        <w:tc>
          <w:tcPr>
            <w:tcW w:w="867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7" w:hRule="atLeast"/>
          <w:jc w:val="center"/>
        </w:trPr>
        <w:tc>
          <w:tcPr>
            <w:tcW w:w="25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地方主管部门</w:t>
            </w: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青岛市即墨区财政局</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2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山东省即墨经济开发区管理委员会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7" w:hRule="atLeast"/>
          <w:jc w:val="center"/>
        </w:trPr>
        <w:tc>
          <w:tcPr>
            <w:tcW w:w="258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2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8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jc w:val="center"/>
        </w:trPr>
        <w:tc>
          <w:tcPr>
            <w:tcW w:w="258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10369.61</w:t>
            </w:r>
          </w:p>
        </w:tc>
        <w:tc>
          <w:tcPr>
            <w:tcW w:w="28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10367.73</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7" w:hRule="atLeast"/>
          <w:jc w:val="center"/>
        </w:trPr>
        <w:tc>
          <w:tcPr>
            <w:tcW w:w="258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jc w:val="center"/>
        </w:trPr>
        <w:tc>
          <w:tcPr>
            <w:tcW w:w="258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10369.61</w:t>
            </w:r>
          </w:p>
        </w:tc>
        <w:tc>
          <w:tcPr>
            <w:tcW w:w="28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10367.73</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jc w:val="center"/>
        </w:trPr>
        <w:tc>
          <w:tcPr>
            <w:tcW w:w="258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其他资金</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jc w:val="center"/>
        </w:trPr>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6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7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9"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目标1：完善公共基础设施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目标2：提升城市环境品质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目标3：提高城市治理水平</w:t>
            </w:r>
          </w:p>
        </w:tc>
        <w:tc>
          <w:tcPr>
            <w:tcW w:w="47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目标1：开工重点工程项目8个</w:t>
            </w:r>
            <w:r>
              <w:rPr>
                <w:rStyle w:val="11"/>
                <w:lang w:val="en-US" w:eastAsia="zh-CN" w:bidi="ar"/>
              </w:rPr>
              <w:br w:type="textWrapping"/>
            </w:r>
            <w:r>
              <w:rPr>
                <w:rStyle w:val="11"/>
                <w:lang w:val="en-US" w:eastAsia="zh-CN" w:bidi="ar"/>
              </w:rPr>
              <w:t>目标2：竣工验收重点工程项目5个</w:t>
            </w:r>
            <w:r>
              <w:rPr>
                <w:rStyle w:val="11"/>
                <w:lang w:val="en-US" w:eastAsia="zh-CN" w:bidi="ar"/>
              </w:rPr>
              <w:br w:type="textWrapping"/>
            </w:r>
            <w:r>
              <w:rPr>
                <w:rStyle w:val="11"/>
                <w:lang w:val="en-US" w:eastAsia="zh-CN" w:bidi="ar"/>
              </w:rPr>
              <w:t>目标3：改善道路交通环境</w:t>
            </w:r>
            <w:r>
              <w:rPr>
                <w:rStyle w:val="11"/>
                <w:lang w:val="en-US" w:eastAsia="zh-CN" w:bidi="ar"/>
              </w:rPr>
              <w:br w:type="textWrapping"/>
            </w:r>
            <w:r>
              <w:rPr>
                <w:rStyle w:val="11"/>
                <w:lang w:val="en-US" w:eastAsia="zh-CN" w:bidi="ar"/>
              </w:rPr>
              <w:t>目标4：做好基础设施运维管理工作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9" w:hRule="atLeast"/>
          <w:jc w:val="center"/>
        </w:trPr>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1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开工数量</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完工数量</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4个</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项目设计功能实现率</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验收合格率</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项目进度达标率</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项目按计划开工率</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7"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10369.61万元</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10367.73万元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影响道路通行</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造成环境污染</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5"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促进经济发展</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5"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改善道路交通安全状况</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5"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生态效益指标</w:t>
            </w: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提升城市环境品质</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2" w:hRule="atLeast"/>
          <w:jc w:val="center"/>
        </w:trPr>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1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9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w:t>
            </w:r>
          </w:p>
        </w:tc>
        <w:tc>
          <w:tcPr>
            <w:tcW w:w="1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3" w:hRule="atLeast"/>
          <w:jc w:val="center"/>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说明</w:t>
            </w:r>
          </w:p>
        </w:tc>
        <w:tc>
          <w:tcPr>
            <w:tcW w:w="10330" w:type="dxa"/>
            <w:gridSpan w:val="7"/>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r>
    </w:tbl>
    <w:p>
      <w:pPr>
        <w:spacing w:line="580" w:lineRule="exact"/>
        <w:ind w:firstLine="560" w:firstLineChars="200"/>
        <w:rPr>
          <w:rFonts w:hint="eastAsia" w:ascii="仿宋_GB2312" w:hAnsi="宋体" w:eastAsia="仿宋_GB2312"/>
          <w:sz w:val="28"/>
          <w:szCs w:val="28"/>
        </w:rPr>
        <w:sectPr>
          <w:pgSz w:w="11906" w:h="16838"/>
          <w:pgMar w:top="2098" w:right="1418" w:bottom="1871" w:left="1531" w:header="851" w:footer="992" w:gutter="0"/>
          <w:cols w:space="720" w:num="1"/>
          <w:docGrid w:type="lines" w:linePitch="435" w:charSpace="0"/>
        </w:sectPr>
      </w:pPr>
    </w:p>
    <w:p>
      <w:pPr>
        <w:spacing w:line="580" w:lineRule="exact"/>
        <w:ind w:firstLine="560" w:firstLineChars="200"/>
        <w:rPr>
          <w:rFonts w:hint="eastAsia" w:ascii="仿宋_GB2312" w:hAnsi="宋体" w:eastAsia="仿宋_GB2312"/>
          <w:sz w:val="28"/>
          <w:szCs w:val="28"/>
        </w:rPr>
      </w:pPr>
    </w:p>
    <w:tbl>
      <w:tblPr>
        <w:tblStyle w:val="7"/>
        <w:tblW w:w="112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538"/>
        <w:gridCol w:w="1114"/>
        <w:gridCol w:w="2153"/>
        <w:gridCol w:w="1712"/>
        <w:gridCol w:w="1418"/>
        <w:gridCol w:w="1394"/>
        <w:gridCol w:w="1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jc w:val="center"/>
        </w:trPr>
        <w:tc>
          <w:tcPr>
            <w:tcW w:w="112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 xml:space="preserve">区级转移支付项目绩效目标自评表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jc w:val="center"/>
        </w:trPr>
        <w:tc>
          <w:tcPr>
            <w:tcW w:w="11280" w:type="dxa"/>
            <w:gridSpan w:val="8"/>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jc w:val="center"/>
        </w:trPr>
        <w:tc>
          <w:tcPr>
            <w:tcW w:w="27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85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开发区产业扶持及产业配套项目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 w:hRule="atLeast"/>
          <w:jc w:val="center"/>
        </w:trPr>
        <w:tc>
          <w:tcPr>
            <w:tcW w:w="27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中央主管部门</w:t>
            </w:r>
          </w:p>
        </w:tc>
        <w:tc>
          <w:tcPr>
            <w:tcW w:w="85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jc w:val="center"/>
        </w:trPr>
        <w:tc>
          <w:tcPr>
            <w:tcW w:w="27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地方主管部门</w:t>
            </w: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青岛市即墨区财政局</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山东省即墨经济开发区管理委员会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jc w:val="center"/>
        </w:trPr>
        <w:tc>
          <w:tcPr>
            <w:tcW w:w="273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jc w:val="center"/>
        </w:trPr>
        <w:tc>
          <w:tcPr>
            <w:tcW w:w="27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2796.6</w:t>
            </w:r>
          </w:p>
        </w:tc>
        <w:tc>
          <w:tcPr>
            <w:tcW w:w="2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4041.55</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jc w:val="center"/>
        </w:trPr>
        <w:tc>
          <w:tcPr>
            <w:tcW w:w="27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jc w:val="center"/>
        </w:trPr>
        <w:tc>
          <w:tcPr>
            <w:tcW w:w="27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2796.6</w:t>
            </w:r>
          </w:p>
        </w:tc>
        <w:tc>
          <w:tcPr>
            <w:tcW w:w="2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4041.55</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jc w:val="center"/>
        </w:trPr>
        <w:tc>
          <w:tcPr>
            <w:tcW w:w="27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其他资金</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5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6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4"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目标1：推动产业提质升级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目标2：完善产业配套服务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目标3：加快人才引进培育</w:t>
            </w:r>
          </w:p>
        </w:tc>
        <w:tc>
          <w:tcPr>
            <w:tcW w:w="46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目标1：完成1家企业上市，1家企业总部迁移。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目标2：完成人才引入不少于20人。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目标3：申报专利数不少于</w:t>
            </w:r>
            <w:r>
              <w:rPr>
                <w:rFonts w:hint="eastAsia" w:ascii="宋体" w:hAnsi="宋体" w:cs="宋体"/>
                <w:i w:val="0"/>
                <w:iCs w:val="0"/>
                <w:color w:val="000000"/>
                <w:kern w:val="0"/>
                <w:sz w:val="20"/>
                <w:szCs w:val="20"/>
                <w:u w:val="none"/>
                <w:lang w:val="en-US" w:eastAsia="zh-CN" w:bidi="ar"/>
              </w:rPr>
              <w:t>100</w:t>
            </w:r>
            <w:r>
              <w:rPr>
                <w:rFonts w:hint="eastAsia" w:ascii="宋体" w:hAnsi="宋体" w:eastAsia="宋体" w:cs="宋体"/>
                <w:i w:val="0"/>
                <w:iCs w:val="0"/>
                <w:color w:val="000000"/>
                <w:kern w:val="0"/>
                <w:sz w:val="20"/>
                <w:szCs w:val="20"/>
                <w:u w:val="none"/>
                <w:lang w:val="en-US" w:eastAsia="zh-CN" w:bidi="ar"/>
              </w:rPr>
              <w:t>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目标4：扶持企业缴纳税收不低于</w:t>
            </w:r>
            <w:r>
              <w:rPr>
                <w:rFonts w:hint="eastAsia" w:ascii="宋体" w:hAnsi="宋体" w:cs="宋体"/>
                <w:i w:val="0"/>
                <w:iCs w:val="0"/>
                <w:color w:val="000000"/>
                <w:kern w:val="0"/>
                <w:sz w:val="20"/>
                <w:szCs w:val="20"/>
                <w:u w:val="none"/>
                <w:lang w:val="en-US" w:eastAsia="zh-CN" w:bidi="ar"/>
              </w:rPr>
              <w:t>8000</w:t>
            </w:r>
            <w:r>
              <w:rPr>
                <w:rFonts w:hint="eastAsia" w:ascii="宋体" w:hAnsi="宋体" w:eastAsia="宋体" w:cs="宋体"/>
                <w:i w:val="0"/>
                <w:iCs w:val="0"/>
                <w:color w:val="000000"/>
                <w:kern w:val="0"/>
                <w:sz w:val="20"/>
                <w:szCs w:val="20"/>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7"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8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1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营业收入</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10亿元</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15亿元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税收收入</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8000</w:t>
            </w:r>
            <w:r>
              <w:rPr>
                <w:rFonts w:hint="eastAsia" w:ascii="宋体" w:hAnsi="宋体" w:eastAsia="宋体" w:cs="宋体"/>
                <w:i w:val="0"/>
                <w:iCs w:val="0"/>
                <w:color w:val="000000"/>
                <w:kern w:val="0"/>
                <w:sz w:val="20"/>
                <w:szCs w:val="20"/>
                <w:u w:val="none"/>
                <w:lang w:val="en-US" w:eastAsia="zh-CN" w:bidi="ar"/>
              </w:rPr>
              <w:t>万元</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8824</w:t>
            </w:r>
            <w:r>
              <w:rPr>
                <w:rFonts w:hint="eastAsia" w:ascii="宋体" w:hAnsi="宋体" w:eastAsia="宋体" w:cs="宋体"/>
                <w:i w:val="0"/>
                <w:iCs w:val="0"/>
                <w:color w:val="000000"/>
                <w:kern w:val="0"/>
                <w:sz w:val="20"/>
                <w:szCs w:val="20"/>
                <w:u w:val="none"/>
                <w:lang w:val="en-US" w:eastAsia="zh-CN" w:bidi="ar"/>
              </w:rPr>
              <w:t>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引入关联体企业</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5家</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人才引入</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20人</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科技成果</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100</w:t>
            </w:r>
            <w:r>
              <w:rPr>
                <w:rFonts w:hint="eastAsia" w:ascii="宋体" w:hAnsi="宋体" w:eastAsia="宋体" w:cs="宋体"/>
                <w:i w:val="0"/>
                <w:iCs w:val="0"/>
                <w:color w:val="000000"/>
                <w:kern w:val="0"/>
                <w:sz w:val="20"/>
                <w:szCs w:val="20"/>
                <w:u w:val="none"/>
                <w:lang w:val="en-US" w:eastAsia="zh-CN" w:bidi="ar"/>
              </w:rPr>
              <w:t>项</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122</w:t>
            </w:r>
            <w:r>
              <w:rPr>
                <w:rFonts w:hint="eastAsia" w:ascii="宋体" w:hAnsi="宋体" w:eastAsia="宋体" w:cs="宋体"/>
                <w:i w:val="0"/>
                <w:iCs w:val="0"/>
                <w:color w:val="000000"/>
                <w:kern w:val="0"/>
                <w:sz w:val="20"/>
                <w:szCs w:val="20"/>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总部迁移</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1家</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企业上市</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1家</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履约效率</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扶持资金</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2796.6万元</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4046.41万元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7"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产业发展</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4"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说明</w:t>
            </w:r>
          </w:p>
        </w:tc>
        <w:tc>
          <w:tcPr>
            <w:tcW w:w="1020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r>
    </w:tbl>
    <w:p>
      <w:pPr>
        <w:spacing w:line="400" w:lineRule="exact"/>
        <w:jc w:val="left"/>
        <w:rPr>
          <w:rFonts w:ascii="仿宋_GB2312" w:hAnsi="宋体" w:eastAsia="仿宋_GB2312"/>
          <w:sz w:val="28"/>
          <w:szCs w:val="28"/>
          <w:lang w:val="zh-CN"/>
        </w:rPr>
        <w:sectPr>
          <w:pgSz w:w="11906" w:h="16838"/>
          <w:pgMar w:top="2098" w:right="1418" w:bottom="1871" w:left="1531" w:header="851" w:footer="992" w:gutter="0"/>
          <w:cols w:space="720" w:num="1"/>
          <w:docGrid w:type="lines" w:linePitch="435" w:charSpace="0"/>
        </w:sectPr>
      </w:pPr>
    </w:p>
    <w:tbl>
      <w:tblPr>
        <w:tblStyle w:val="7"/>
        <w:tblW w:w="113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25"/>
        <w:gridCol w:w="523"/>
        <w:gridCol w:w="1151"/>
        <w:gridCol w:w="2238"/>
        <w:gridCol w:w="1751"/>
        <w:gridCol w:w="1423"/>
        <w:gridCol w:w="1401"/>
        <w:gridCol w:w="19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7" w:hRule="atLeast"/>
          <w:jc w:val="center"/>
        </w:trPr>
        <w:tc>
          <w:tcPr>
            <w:tcW w:w="11320"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 xml:space="preserve">区级转移支付项目绩效目标自评表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jc w:val="center"/>
        </w:trPr>
        <w:tc>
          <w:tcPr>
            <w:tcW w:w="11320" w:type="dxa"/>
            <w:gridSpan w:val="8"/>
            <w:tcBorders>
              <w:top w:val="nil"/>
              <w:left w:val="nil"/>
              <w:bottom w:val="single" w:color="000000" w:sz="4" w:space="0"/>
              <w:right w:val="nil"/>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2" w:hRule="atLeast"/>
          <w:jc w:val="center"/>
        </w:trPr>
        <w:tc>
          <w:tcPr>
            <w:tcW w:w="25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转移支付（项目）名称</w:t>
            </w:r>
          </w:p>
        </w:tc>
        <w:tc>
          <w:tcPr>
            <w:tcW w:w="872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开发区教育专项资金项目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jc w:val="center"/>
        </w:trPr>
        <w:tc>
          <w:tcPr>
            <w:tcW w:w="25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中央主管部门</w:t>
            </w:r>
          </w:p>
        </w:tc>
        <w:tc>
          <w:tcPr>
            <w:tcW w:w="872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jc w:val="center"/>
        </w:trPr>
        <w:tc>
          <w:tcPr>
            <w:tcW w:w="25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地方主管部门</w:t>
            </w: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青岛市即墨区财政局</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33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山东省即墨经济开发区管理委员会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 w:hRule="atLeast"/>
          <w:jc w:val="center"/>
        </w:trPr>
        <w:tc>
          <w:tcPr>
            <w:tcW w:w="259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 w:hRule="atLeast"/>
          <w:jc w:val="center"/>
        </w:trPr>
        <w:tc>
          <w:tcPr>
            <w:tcW w:w="25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580.8</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910.49</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 w:hRule="atLeast"/>
          <w:jc w:val="center"/>
        </w:trPr>
        <w:tc>
          <w:tcPr>
            <w:tcW w:w="25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其中：中央财政资金</w:t>
            </w: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 w:hRule="atLeast"/>
          <w:jc w:val="center"/>
        </w:trPr>
        <w:tc>
          <w:tcPr>
            <w:tcW w:w="25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580.8</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910.49</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 w:hRule="atLeast"/>
          <w:jc w:val="center"/>
        </w:trPr>
        <w:tc>
          <w:tcPr>
            <w:tcW w:w="25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其他资金</w:t>
            </w:r>
          </w:p>
        </w:tc>
        <w:tc>
          <w:tcPr>
            <w:tcW w:w="17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 w:hRule="atLeast"/>
          <w:jc w:val="center"/>
        </w:trPr>
        <w:tc>
          <w:tcPr>
            <w:tcW w:w="9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56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7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4"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6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目标1：保障学校正常运转</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目标2：完善区域教育体系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目标3：提高学校教育质量与教学水平</w:t>
            </w:r>
          </w:p>
        </w:tc>
        <w:tc>
          <w:tcPr>
            <w:tcW w:w="47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目标1：保障创智实验学校、山师实验学校、皋虞路幼儿园、盟旺路幼儿园正常运转</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目标2：新开办棠邑路幼儿园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目标3：学校教育教学成绩提高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4" w:hRule="atLeast"/>
          <w:jc w:val="center"/>
        </w:trPr>
        <w:tc>
          <w:tcPr>
            <w:tcW w:w="92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绩效指标</w:t>
            </w: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1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学校数量</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5所</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学生数量</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5800人</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6000人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教师数量</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480人</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专款专用率</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管理制度落实</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实施期限</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12月</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补助资金</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580.8万元</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910.49万元</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教育教学成绩</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提高</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教师待遇落实</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8" w:hRule="atLeast"/>
          <w:jc w:val="center"/>
        </w:trPr>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0"/>
                <w:szCs w:val="20"/>
                <w:u w:val="none"/>
              </w:rPr>
            </w:pPr>
          </w:p>
        </w:tc>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39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说明</w:t>
            </w:r>
          </w:p>
        </w:tc>
        <w:tc>
          <w:tcPr>
            <w:tcW w:w="10395" w:type="dxa"/>
            <w:gridSpan w:val="7"/>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w:t>
            </w:r>
          </w:p>
        </w:tc>
      </w:tr>
    </w:tbl>
    <w:p>
      <w:pPr>
        <w:spacing w:line="400" w:lineRule="exact"/>
        <w:jc w:val="left"/>
        <w:rPr>
          <w:rFonts w:ascii="仿宋_GB2312" w:hAnsi="宋体" w:eastAsia="仿宋_GB2312"/>
          <w:sz w:val="28"/>
          <w:szCs w:val="28"/>
          <w:lang w:val="zh-CN"/>
        </w:rPr>
        <w:sectPr>
          <w:pgSz w:w="11906" w:h="16838"/>
          <w:pgMar w:top="2098" w:right="1418" w:bottom="1871" w:left="1531" w:header="851" w:footer="992" w:gutter="0"/>
          <w:cols w:space="720" w:num="1"/>
          <w:docGrid w:type="lines" w:linePitch="435" w:charSpace="0"/>
        </w:sectPr>
      </w:pPr>
    </w:p>
    <w:p>
      <w:pPr>
        <w:keepNext w:val="0"/>
        <w:keepLines w:val="0"/>
        <w:pageBreakBefore w:val="0"/>
        <w:widowControl w:val="0"/>
        <w:kinsoku/>
        <w:wordWrap/>
        <w:overflowPunct/>
        <w:topLinePunct w:val="0"/>
        <w:autoSpaceDE/>
        <w:autoSpaceDN/>
        <w:bidi w:val="0"/>
        <w:adjustRightInd/>
        <w:snapToGrid w:val="0"/>
        <w:spacing w:line="480" w:lineRule="auto"/>
        <w:ind w:left="879" w:hanging="879"/>
        <w:jc w:val="center"/>
        <w:textAlignment w:val="auto"/>
        <w:rPr>
          <w:rFonts w:hint="eastAsia" w:ascii="方正小标宋_GBK" w:hAnsi="方正小标宋_GBK" w:eastAsia="方正小标宋_GBK" w:cs="方正小标宋_GBK"/>
          <w:bCs/>
          <w:sz w:val="44"/>
          <w:szCs w:val="44"/>
          <w:lang w:val="en-US" w:eastAsia="zh-CN"/>
        </w:rPr>
      </w:pPr>
      <w:r>
        <w:rPr>
          <w:rFonts w:hint="eastAsia" w:ascii="方正小标宋_GBK" w:hAnsi="方正小标宋_GBK" w:eastAsia="方正小标宋_GBK" w:cs="方正小标宋_GBK"/>
          <w:bCs/>
          <w:sz w:val="44"/>
          <w:szCs w:val="44"/>
          <w:lang w:val="en-US" w:eastAsia="zh-CN"/>
        </w:rPr>
        <w:t>2号邻里中心项目</w:t>
      </w:r>
    </w:p>
    <w:p>
      <w:pPr>
        <w:keepNext w:val="0"/>
        <w:keepLines w:val="0"/>
        <w:pageBreakBefore w:val="0"/>
        <w:widowControl w:val="0"/>
        <w:kinsoku/>
        <w:wordWrap/>
        <w:overflowPunct/>
        <w:topLinePunct w:val="0"/>
        <w:autoSpaceDE/>
        <w:autoSpaceDN/>
        <w:bidi w:val="0"/>
        <w:adjustRightInd/>
        <w:snapToGrid w:val="0"/>
        <w:spacing w:line="480" w:lineRule="auto"/>
        <w:ind w:left="879" w:hanging="879"/>
        <w:jc w:val="center"/>
        <w:textAlignment w:val="auto"/>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绩效评价报告</w:t>
      </w:r>
    </w:p>
    <w:p>
      <w:pPr>
        <w:spacing w:line="520" w:lineRule="exact"/>
        <w:ind w:left="1040" w:hanging="1040"/>
        <w:jc w:val="right"/>
        <w:rPr>
          <w:rFonts w:ascii="文星简黑体" w:eastAsia="文星简黑体"/>
          <w:sz w:val="52"/>
          <w:szCs w:val="52"/>
        </w:rPr>
      </w:pPr>
    </w:p>
    <w:p>
      <w:pPr>
        <w:spacing w:line="520" w:lineRule="exact"/>
        <w:ind w:left="1040" w:hanging="1040"/>
        <w:jc w:val="center"/>
        <w:rPr>
          <w:rFonts w:ascii="文星简黑体" w:eastAsia="文星简黑体"/>
          <w:sz w:val="52"/>
          <w:szCs w:val="52"/>
        </w:rPr>
      </w:pPr>
    </w:p>
    <w:p>
      <w:pPr>
        <w:pStyle w:val="5"/>
        <w:rPr>
          <w:rFonts w:ascii="文星简黑体" w:eastAsia="文星简黑体"/>
          <w:sz w:val="52"/>
          <w:szCs w:val="52"/>
        </w:rPr>
      </w:pPr>
    </w:p>
    <w:p>
      <w:pPr>
        <w:rPr>
          <w:rFonts w:ascii="文星简黑体" w:eastAsia="文星简黑体"/>
          <w:sz w:val="52"/>
          <w:szCs w:val="52"/>
        </w:rPr>
      </w:pPr>
    </w:p>
    <w:p>
      <w:pPr>
        <w:pStyle w:val="5"/>
        <w:rPr>
          <w:rFonts w:ascii="文星简黑体" w:eastAsia="文星简黑体"/>
          <w:sz w:val="52"/>
          <w:szCs w:val="52"/>
        </w:rPr>
      </w:pPr>
    </w:p>
    <w:p/>
    <w:p>
      <w:pPr>
        <w:pStyle w:val="6"/>
        <w:ind w:left="600" w:firstLine="480"/>
        <w:rPr>
          <w:rFonts w:eastAsia="文星简黑体"/>
        </w:rPr>
      </w:pPr>
    </w:p>
    <w:p>
      <w:pPr>
        <w:spacing w:before="258" w:line="227" w:lineRule="auto"/>
        <w:rPr>
          <w:rFonts w:ascii="黑体" w:hAnsi="黑体" w:eastAsia="黑体" w:cs="黑体"/>
          <w:sz w:val="31"/>
          <w:szCs w:val="31"/>
        </w:rPr>
      </w:pPr>
      <w:r>
        <w:rPr>
          <w:rFonts w:ascii="黑体" w:hAnsi="黑体" w:eastAsia="黑体" w:cs="黑体"/>
          <w:spacing w:val="18"/>
          <w:sz w:val="31"/>
          <w:szCs w:val="31"/>
        </w:rPr>
        <w:t>被</w:t>
      </w:r>
      <w:r>
        <w:rPr>
          <w:rFonts w:ascii="黑体" w:hAnsi="黑体" w:eastAsia="黑体" w:cs="黑体"/>
          <w:spacing w:val="10"/>
          <w:sz w:val="31"/>
          <w:szCs w:val="31"/>
        </w:rPr>
        <w:t>评</w:t>
      </w:r>
      <w:r>
        <w:rPr>
          <w:rFonts w:ascii="黑体" w:hAnsi="黑体" w:eastAsia="黑体" w:cs="黑体"/>
          <w:spacing w:val="9"/>
          <w:sz w:val="31"/>
          <w:szCs w:val="31"/>
        </w:rPr>
        <w:t>价单位：</w:t>
      </w:r>
      <w:r>
        <w:rPr>
          <w:rFonts w:hint="eastAsia" w:ascii="黑体" w:hAnsi="黑体" w:eastAsia="黑体" w:cs="黑体"/>
          <w:spacing w:val="1"/>
          <w:sz w:val="31"/>
          <w:szCs w:val="31"/>
          <w:lang w:eastAsia="zh-CN"/>
        </w:rPr>
        <w:t>青岛义和钢构集团有限公司等</w:t>
      </w:r>
    </w:p>
    <w:p>
      <w:pPr>
        <w:spacing w:before="260" w:line="227" w:lineRule="auto"/>
        <w:ind w:left="1"/>
        <w:rPr>
          <w:rFonts w:ascii="黑体" w:hAnsi="黑体" w:eastAsia="黑体" w:cs="黑体"/>
          <w:sz w:val="31"/>
          <w:szCs w:val="31"/>
        </w:rPr>
      </w:pPr>
      <w:r>
        <w:rPr>
          <w:rFonts w:ascii="黑体" w:hAnsi="黑体" w:eastAsia="黑体" w:cs="黑体"/>
          <w:spacing w:val="4"/>
          <w:w w:val="95"/>
          <w:sz w:val="31"/>
          <w:szCs w:val="31"/>
        </w:rPr>
        <w:t xml:space="preserve">评 </w:t>
      </w:r>
      <w:r>
        <w:rPr>
          <w:rFonts w:ascii="黑体" w:hAnsi="黑体" w:eastAsia="黑体" w:cs="黑体"/>
          <w:spacing w:val="2"/>
          <w:w w:val="95"/>
          <w:sz w:val="31"/>
          <w:szCs w:val="31"/>
        </w:rPr>
        <w:t>价 机 构：</w:t>
      </w:r>
      <w:r>
        <w:rPr>
          <w:rFonts w:hint="eastAsia" w:ascii="黑体" w:hAnsi="黑体" w:eastAsia="黑体" w:cs="黑体"/>
          <w:spacing w:val="1"/>
          <w:sz w:val="31"/>
          <w:szCs w:val="31"/>
          <w:lang w:eastAsia="zh-CN"/>
        </w:rPr>
        <w:t>山东省即墨经济开发区管委委员会</w:t>
      </w:r>
    </w:p>
    <w:p>
      <w:pPr>
        <w:pStyle w:val="6"/>
        <w:rPr>
          <w:rFonts w:hint="eastAsia" w:ascii="黑体" w:hAnsi="黑体" w:eastAsia="黑体" w:cs="文星简黑体"/>
          <w:kern w:val="0"/>
          <w:sz w:val="32"/>
          <w:szCs w:val="32"/>
          <w:lang w:val="en-US" w:eastAsia="zh-CN"/>
        </w:rPr>
      </w:pPr>
    </w:p>
    <w:p>
      <w:pPr>
        <w:pStyle w:val="6"/>
        <w:rPr>
          <w:rFonts w:hint="default" w:ascii="黑体" w:hAnsi="黑体" w:eastAsia="黑体" w:cs="文星简黑体"/>
          <w:kern w:val="0"/>
          <w:sz w:val="32"/>
          <w:szCs w:val="32"/>
          <w:lang w:val="en-US" w:eastAsia="zh-CN"/>
        </w:rPr>
      </w:pPr>
    </w:p>
    <w:p>
      <w:pPr>
        <w:pStyle w:val="6"/>
        <w:rPr>
          <w:rFonts w:hint="default" w:ascii="黑体" w:hAnsi="黑体" w:eastAsia="黑体" w:cs="文星简黑体"/>
          <w:kern w:val="0"/>
          <w:sz w:val="32"/>
          <w:szCs w:val="32"/>
          <w:lang w:val="en-US" w:eastAsia="zh-CN"/>
        </w:rPr>
      </w:pPr>
    </w:p>
    <w:p>
      <w:pPr>
        <w:spacing w:before="120" w:after="120" w:line="520" w:lineRule="exact"/>
        <w:jc w:val="center"/>
        <w:rPr>
          <w:rFonts w:hint="eastAsia" w:ascii="黑体" w:hAnsi="黑体" w:eastAsia="黑体" w:cs="文星简黑体"/>
          <w:sz w:val="32"/>
          <w:szCs w:val="32"/>
        </w:rPr>
      </w:pPr>
      <w:r>
        <w:rPr>
          <w:rFonts w:hint="eastAsia" w:ascii="黑体" w:hAnsi="黑体" w:eastAsia="黑体" w:cs="文星简黑体"/>
          <w:sz w:val="32"/>
          <w:szCs w:val="32"/>
        </w:rPr>
        <w:t>202</w:t>
      </w:r>
      <w:r>
        <w:rPr>
          <w:rFonts w:hint="eastAsia" w:ascii="黑体" w:hAnsi="黑体" w:eastAsia="黑体" w:cs="文星简黑体"/>
          <w:sz w:val="32"/>
          <w:szCs w:val="32"/>
          <w:lang w:val="en-US" w:eastAsia="zh-CN"/>
        </w:rPr>
        <w:t>3</w:t>
      </w:r>
      <w:r>
        <w:rPr>
          <w:rFonts w:hint="eastAsia" w:ascii="黑体" w:hAnsi="黑体" w:eastAsia="黑体" w:cs="文星简黑体"/>
          <w:sz w:val="32"/>
          <w:szCs w:val="32"/>
        </w:rPr>
        <w:t>年</w:t>
      </w:r>
      <w:r>
        <w:rPr>
          <w:rFonts w:hint="eastAsia" w:ascii="黑体" w:hAnsi="黑体" w:eastAsia="黑体" w:cs="文星简黑体"/>
          <w:sz w:val="32"/>
          <w:szCs w:val="32"/>
          <w:lang w:val="en-US" w:eastAsia="zh-CN"/>
        </w:rPr>
        <w:t>6</w:t>
      </w:r>
      <w:r>
        <w:rPr>
          <w:rFonts w:hint="eastAsia" w:ascii="黑体" w:hAnsi="黑体" w:eastAsia="黑体" w:cs="文星简黑体"/>
          <w:sz w:val="32"/>
          <w:szCs w:val="32"/>
        </w:rPr>
        <w:t>月</w:t>
      </w:r>
    </w:p>
    <w:p>
      <w:pPr>
        <w:pStyle w:val="6"/>
      </w:pPr>
    </w:p>
    <w:p>
      <w:pPr>
        <w:jc w:val="center"/>
        <w:rPr>
          <w:rFonts w:hint="eastAsia" w:ascii="黑体" w:hAnsi="黑体" w:eastAsia="黑体" w:cs="黑体"/>
          <w:sz w:val="36"/>
          <w:szCs w:val="36"/>
        </w:rPr>
      </w:pPr>
      <w:r>
        <w:rPr>
          <w:rFonts w:hint="eastAsia" w:ascii="黑体" w:hAnsi="黑体" w:eastAsia="黑体" w:cs="黑体"/>
          <w:sz w:val="36"/>
          <w:szCs w:val="36"/>
        </w:rPr>
        <w:t xml:space="preserve">目 </w:t>
      </w:r>
      <w:r>
        <w:rPr>
          <w:rFonts w:ascii="黑体" w:hAnsi="黑体" w:eastAsia="黑体" w:cs="黑体"/>
          <w:sz w:val="36"/>
          <w:szCs w:val="36"/>
        </w:rPr>
        <w:t xml:space="preserve"> </w:t>
      </w:r>
      <w:r>
        <w:rPr>
          <w:rFonts w:hint="eastAsia" w:ascii="黑体" w:hAnsi="黑体" w:eastAsia="黑体" w:cs="黑体"/>
          <w:sz w:val="36"/>
          <w:szCs w:val="36"/>
        </w:rPr>
        <w:t>录</w:t>
      </w:r>
    </w:p>
    <w:p>
      <w:pPr>
        <w:pStyle w:val="5"/>
        <w:tabs>
          <w:tab w:val="right" w:leader="dot" w:pos="8306"/>
        </w:tabs>
        <w:adjustRightInd w:val="0"/>
        <w:snapToGrid w:val="0"/>
        <w:spacing w:line="560" w:lineRule="exact"/>
        <w:rPr>
          <w:rFonts w:hint="eastAsia" w:ascii="仿宋_GB2312" w:hAnsi="仿宋_GB2312" w:cs="仿宋_GB2312"/>
          <w:b/>
          <w:bCs/>
          <w:caps/>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TOC \o "1-3" \h \u </w:instrText>
      </w:r>
      <w:r>
        <w:rPr>
          <w:rFonts w:hint="eastAsia" w:ascii="仿宋" w:hAnsi="仿宋" w:eastAsia="仿宋" w:cs="仿宋"/>
          <w:bCs/>
          <w:sz w:val="32"/>
          <w:szCs w:val="32"/>
        </w:rPr>
        <w:fldChar w:fldCharType="separate"/>
      </w:r>
      <w:r>
        <w:rPr>
          <w:rFonts w:hint="eastAsia" w:ascii="仿宋_GB2312" w:hAnsi="仿宋_GB2312" w:cs="仿宋_GB2312"/>
          <w:b/>
          <w:bCs/>
          <w:caps/>
          <w:sz w:val="32"/>
          <w:szCs w:val="32"/>
        </w:rPr>
        <w:fldChar w:fldCharType="begin"/>
      </w:r>
      <w:r>
        <w:rPr>
          <w:rFonts w:hint="eastAsia" w:ascii="仿宋_GB2312" w:hAnsi="仿宋_GB2312" w:cs="仿宋_GB2312"/>
          <w:b/>
          <w:bCs/>
          <w:caps/>
          <w:sz w:val="32"/>
          <w:szCs w:val="32"/>
        </w:rPr>
        <w:instrText xml:space="preserve"> HYPERLINK \l _Toc9968 </w:instrText>
      </w:r>
      <w:r>
        <w:rPr>
          <w:rFonts w:hint="eastAsia" w:ascii="仿宋_GB2312" w:hAnsi="仿宋_GB2312" w:cs="仿宋_GB2312"/>
          <w:b/>
          <w:bCs/>
          <w:caps/>
          <w:sz w:val="32"/>
          <w:szCs w:val="32"/>
        </w:rPr>
        <w:fldChar w:fldCharType="separate"/>
      </w:r>
      <w:r>
        <w:rPr>
          <w:rFonts w:hint="eastAsia" w:ascii="仿宋_GB2312" w:hAnsi="仿宋_GB2312" w:cs="仿宋_GB2312"/>
          <w:b/>
          <w:bCs/>
          <w:caps/>
          <w:sz w:val="32"/>
          <w:szCs w:val="32"/>
        </w:rPr>
        <w:t>一、摘要</w:t>
      </w:r>
      <w:r>
        <w:rPr>
          <w:rFonts w:hint="eastAsia" w:ascii="仿宋_GB2312" w:hAnsi="仿宋_GB2312" w:cs="仿宋_GB2312"/>
          <w:b/>
          <w:bCs/>
          <w:caps/>
          <w:sz w:val="32"/>
          <w:szCs w:val="32"/>
        </w:rPr>
        <w:tab/>
      </w:r>
      <w:r>
        <w:rPr>
          <w:rFonts w:hint="eastAsia" w:ascii="仿宋_GB2312" w:hAnsi="仿宋_GB2312" w:cs="仿宋_GB2312"/>
          <w:b/>
          <w:bCs/>
          <w:caps/>
          <w:sz w:val="32"/>
          <w:szCs w:val="32"/>
        </w:rPr>
        <w:fldChar w:fldCharType="begin"/>
      </w:r>
      <w:r>
        <w:rPr>
          <w:rFonts w:hint="eastAsia" w:ascii="仿宋_GB2312" w:hAnsi="仿宋_GB2312" w:cs="仿宋_GB2312"/>
          <w:b/>
          <w:bCs/>
          <w:caps/>
          <w:sz w:val="32"/>
          <w:szCs w:val="32"/>
        </w:rPr>
        <w:instrText xml:space="preserve"> PAGEREF _Toc9968 \h </w:instrText>
      </w:r>
      <w:r>
        <w:rPr>
          <w:rFonts w:hint="eastAsia" w:ascii="仿宋_GB2312" w:hAnsi="仿宋_GB2312" w:cs="仿宋_GB2312"/>
          <w:b/>
          <w:bCs/>
          <w:caps/>
          <w:sz w:val="32"/>
          <w:szCs w:val="32"/>
        </w:rPr>
        <w:fldChar w:fldCharType="separate"/>
      </w:r>
      <w:r>
        <w:rPr>
          <w:rFonts w:hint="eastAsia" w:ascii="仿宋_GB2312" w:hAnsi="仿宋_GB2312" w:cs="仿宋_GB2312"/>
          <w:b/>
          <w:bCs/>
          <w:caps/>
          <w:sz w:val="32"/>
          <w:szCs w:val="32"/>
        </w:rPr>
        <w:t>3</w:t>
      </w:r>
      <w:r>
        <w:rPr>
          <w:rFonts w:hint="eastAsia" w:ascii="仿宋_GB2312" w:hAnsi="仿宋_GB2312" w:cs="仿宋_GB2312"/>
          <w:b/>
          <w:bCs/>
          <w:caps/>
          <w:sz w:val="32"/>
          <w:szCs w:val="32"/>
        </w:rPr>
        <w:fldChar w:fldCharType="end"/>
      </w:r>
      <w:r>
        <w:rPr>
          <w:rFonts w:hint="eastAsia" w:ascii="仿宋_GB2312" w:hAnsi="仿宋_GB2312" w:cs="仿宋_GB2312"/>
          <w:b/>
          <w:bCs/>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_Toc8376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（一）</w:t>
      </w:r>
      <w:r>
        <w:rPr>
          <w:rFonts w:hint="eastAsia" w:ascii="仿宋_GB2312" w:hAnsi="仿宋_GB2312" w:cs="仿宋_GB2312"/>
          <w:caps/>
          <w:sz w:val="32"/>
          <w:szCs w:val="32"/>
          <w:lang w:eastAsia="zh-CN"/>
        </w:rPr>
        <w:t>项目简介</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_Toc8376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3</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_Toc8499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（二）项目背景</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_Toc8499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3</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_Toc27836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（三）资金安排和使用情况</w:t>
      </w:r>
      <w:r>
        <w:rPr>
          <w:rFonts w:hint="eastAsia" w:ascii="仿宋_GB2312" w:hAnsi="仿宋_GB2312" w:cs="仿宋_GB2312"/>
          <w:caps/>
          <w:sz w:val="32"/>
          <w:szCs w:val="32"/>
        </w:rPr>
        <w:tab/>
      </w:r>
      <w:r>
        <w:rPr>
          <w:rFonts w:hint="eastAsia" w:ascii="仿宋_GB2312" w:hAnsi="仿宋_GB2312" w:cs="仿宋_GB2312"/>
          <w:caps/>
          <w:sz w:val="32"/>
          <w:szCs w:val="32"/>
          <w:lang w:val="en-US" w:eastAsia="zh-CN"/>
        </w:rPr>
        <w:t>4</w:t>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_Toc8170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（四）评价依据和方法</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_Toc8170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4</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_Toc3825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（五）指标分析</w:t>
      </w:r>
      <w:r>
        <w:rPr>
          <w:rFonts w:hint="eastAsia" w:ascii="仿宋_GB2312" w:hAnsi="仿宋_GB2312" w:cs="仿宋_GB2312"/>
          <w:caps/>
          <w:sz w:val="32"/>
          <w:szCs w:val="32"/>
        </w:rPr>
        <w:tab/>
      </w:r>
      <w:r>
        <w:rPr>
          <w:rFonts w:hint="eastAsia" w:ascii="仿宋_GB2312" w:hAnsi="仿宋_GB2312" w:cs="仿宋_GB2312"/>
          <w:caps/>
          <w:sz w:val="32"/>
          <w:szCs w:val="32"/>
          <w:lang w:val="en-US" w:eastAsia="zh-CN"/>
        </w:rPr>
        <w:t>5</w:t>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_Toc2644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（六）问题和建议</w:t>
      </w:r>
      <w:r>
        <w:rPr>
          <w:rFonts w:hint="eastAsia" w:ascii="仿宋_GB2312" w:hAnsi="仿宋_GB2312" w:cs="仿宋_GB2312"/>
          <w:caps/>
          <w:sz w:val="32"/>
          <w:szCs w:val="32"/>
        </w:rPr>
        <w:tab/>
      </w:r>
      <w:r>
        <w:rPr>
          <w:rFonts w:hint="eastAsia" w:ascii="仿宋_GB2312" w:hAnsi="仿宋_GB2312" w:cs="仿宋_GB2312"/>
          <w:caps/>
          <w:sz w:val="32"/>
          <w:szCs w:val="32"/>
          <w:lang w:val="en-US" w:eastAsia="zh-CN"/>
        </w:rPr>
        <w:t>6</w:t>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_Toc22582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（七）结论</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_Toc22582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8</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b/>
          <w:bCs/>
          <w:caps/>
          <w:sz w:val="32"/>
          <w:szCs w:val="32"/>
        </w:rPr>
      </w:pPr>
      <w:r>
        <w:rPr>
          <w:rFonts w:hint="eastAsia" w:ascii="仿宋_GB2312" w:hAnsi="仿宋_GB2312" w:cs="仿宋_GB2312"/>
          <w:b/>
          <w:bCs/>
          <w:caps/>
          <w:sz w:val="32"/>
          <w:szCs w:val="32"/>
        </w:rPr>
        <w:fldChar w:fldCharType="begin"/>
      </w:r>
      <w:r>
        <w:rPr>
          <w:rFonts w:hint="eastAsia" w:ascii="仿宋_GB2312" w:hAnsi="仿宋_GB2312" w:cs="仿宋_GB2312"/>
          <w:b/>
          <w:bCs/>
          <w:caps/>
          <w:sz w:val="32"/>
          <w:szCs w:val="32"/>
        </w:rPr>
        <w:instrText xml:space="preserve"> HYPERLINK \l _Toc8739 </w:instrText>
      </w:r>
      <w:r>
        <w:rPr>
          <w:rFonts w:hint="eastAsia" w:ascii="仿宋_GB2312" w:hAnsi="仿宋_GB2312" w:cs="仿宋_GB2312"/>
          <w:b/>
          <w:bCs/>
          <w:caps/>
          <w:sz w:val="32"/>
          <w:szCs w:val="32"/>
        </w:rPr>
        <w:fldChar w:fldCharType="separate"/>
      </w:r>
      <w:r>
        <w:rPr>
          <w:rFonts w:hint="eastAsia" w:ascii="仿宋_GB2312" w:hAnsi="仿宋_GB2312" w:cs="仿宋_GB2312"/>
          <w:b/>
          <w:bCs/>
          <w:caps/>
          <w:sz w:val="32"/>
          <w:szCs w:val="32"/>
        </w:rPr>
        <w:t>二、项目基本情况</w:t>
      </w:r>
      <w:r>
        <w:rPr>
          <w:rFonts w:hint="eastAsia" w:ascii="仿宋_GB2312" w:hAnsi="仿宋_GB2312" w:cs="仿宋_GB2312"/>
          <w:b/>
          <w:bCs/>
          <w:caps/>
          <w:sz w:val="32"/>
          <w:szCs w:val="32"/>
        </w:rPr>
        <w:tab/>
      </w:r>
      <w:r>
        <w:rPr>
          <w:rFonts w:hint="eastAsia" w:ascii="仿宋_GB2312" w:hAnsi="仿宋_GB2312" w:cs="仿宋_GB2312"/>
          <w:b/>
          <w:bCs/>
          <w:caps/>
          <w:sz w:val="32"/>
          <w:szCs w:val="32"/>
          <w:lang w:val="en-US" w:eastAsia="zh-CN"/>
        </w:rPr>
        <w:t>8</w:t>
      </w:r>
      <w:r>
        <w:rPr>
          <w:rFonts w:hint="eastAsia" w:ascii="仿宋_GB2312" w:hAnsi="仿宋_GB2312" w:cs="仿宋_GB2312"/>
          <w:b/>
          <w:bCs/>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_Toc3727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（一）项目概况</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_Toc3727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8</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_Toc31716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（二）项目绩效目标</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_Toc31716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9</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eastAsia="仿宋_GB2312" w:cs="仿宋_GB2312"/>
          <w:b/>
          <w:bCs/>
          <w:caps/>
          <w:sz w:val="32"/>
          <w:szCs w:val="32"/>
          <w:lang w:val="en-US" w:eastAsia="zh-CN"/>
        </w:rPr>
      </w:pPr>
      <w:r>
        <w:rPr>
          <w:rFonts w:hint="eastAsia" w:ascii="仿宋_GB2312" w:hAnsi="仿宋_GB2312" w:cs="仿宋_GB2312"/>
          <w:b/>
          <w:bCs/>
          <w:caps/>
          <w:sz w:val="32"/>
          <w:szCs w:val="32"/>
        </w:rPr>
        <w:fldChar w:fldCharType="begin"/>
      </w:r>
      <w:r>
        <w:rPr>
          <w:rFonts w:hint="eastAsia" w:ascii="仿宋_GB2312" w:hAnsi="仿宋_GB2312" w:cs="仿宋_GB2312"/>
          <w:b/>
          <w:bCs/>
          <w:caps/>
          <w:sz w:val="32"/>
          <w:szCs w:val="32"/>
        </w:rPr>
        <w:instrText xml:space="preserve"> HYPERLINK \l _Toc10379 </w:instrText>
      </w:r>
      <w:r>
        <w:rPr>
          <w:rFonts w:hint="eastAsia" w:ascii="仿宋_GB2312" w:hAnsi="仿宋_GB2312" w:cs="仿宋_GB2312"/>
          <w:b/>
          <w:bCs/>
          <w:caps/>
          <w:sz w:val="32"/>
          <w:szCs w:val="32"/>
        </w:rPr>
        <w:fldChar w:fldCharType="separate"/>
      </w:r>
      <w:r>
        <w:rPr>
          <w:rFonts w:hint="eastAsia" w:ascii="仿宋_GB2312" w:hAnsi="仿宋_GB2312" w:cs="仿宋_GB2312"/>
          <w:b/>
          <w:bCs/>
          <w:caps/>
          <w:sz w:val="32"/>
          <w:szCs w:val="32"/>
        </w:rPr>
        <w:t>三、评价实施情况</w:t>
      </w:r>
      <w:r>
        <w:rPr>
          <w:rFonts w:hint="eastAsia" w:ascii="仿宋_GB2312" w:hAnsi="仿宋_GB2312" w:cs="仿宋_GB2312"/>
          <w:b/>
          <w:bCs/>
          <w:caps/>
          <w:sz w:val="32"/>
          <w:szCs w:val="32"/>
        </w:rPr>
        <w:tab/>
      </w:r>
      <w:r>
        <w:rPr>
          <w:rFonts w:hint="eastAsia" w:ascii="仿宋_GB2312" w:hAnsi="仿宋_GB2312" w:cs="仿宋_GB2312"/>
          <w:b/>
          <w:bCs/>
          <w:caps/>
          <w:sz w:val="32"/>
          <w:szCs w:val="32"/>
          <w:lang w:val="en-US" w:eastAsia="zh-CN"/>
        </w:rPr>
        <w:t>1</w:t>
      </w:r>
      <w:r>
        <w:rPr>
          <w:rFonts w:hint="eastAsia" w:ascii="仿宋_GB2312" w:hAnsi="仿宋_GB2312" w:cs="仿宋_GB2312"/>
          <w:b/>
          <w:bCs/>
          <w:caps/>
          <w:sz w:val="32"/>
          <w:szCs w:val="32"/>
        </w:rPr>
        <w:fldChar w:fldCharType="end"/>
      </w:r>
      <w:r>
        <w:rPr>
          <w:rFonts w:hint="eastAsia" w:ascii="仿宋_GB2312" w:hAnsi="仿宋_GB2312" w:cs="仿宋_GB2312"/>
          <w:b/>
          <w:bCs/>
          <w:caps/>
          <w:sz w:val="32"/>
          <w:szCs w:val="32"/>
          <w:lang w:val="en-US" w:eastAsia="zh-CN"/>
        </w:rPr>
        <w:t>0</w:t>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_Toc24401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（一）评价目的、对象和范围</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_Toc24401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10</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_Toc29886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（二）评价依据、方法、标准、指标体系等</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_Toc29886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10</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_Toc30573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（三）评价实施程序</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_Toc30573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12</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_Toc5616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（四）指标分析</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_Toc5616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13</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b/>
          <w:bCs/>
          <w:caps/>
          <w:sz w:val="32"/>
          <w:szCs w:val="32"/>
        </w:rPr>
      </w:pPr>
      <w:r>
        <w:rPr>
          <w:rFonts w:hint="eastAsia" w:ascii="仿宋_GB2312" w:hAnsi="仿宋_GB2312" w:cs="仿宋_GB2312"/>
          <w:b/>
          <w:bCs/>
          <w:caps/>
          <w:sz w:val="32"/>
          <w:szCs w:val="32"/>
        </w:rPr>
        <w:fldChar w:fldCharType="begin"/>
      </w:r>
      <w:r>
        <w:rPr>
          <w:rFonts w:hint="eastAsia" w:ascii="仿宋_GB2312" w:hAnsi="仿宋_GB2312" w:cs="仿宋_GB2312"/>
          <w:b/>
          <w:bCs/>
          <w:caps/>
          <w:sz w:val="32"/>
          <w:szCs w:val="32"/>
        </w:rPr>
        <w:instrText xml:space="preserve"> HYPERLINK \l _Toc14437 </w:instrText>
      </w:r>
      <w:r>
        <w:rPr>
          <w:rFonts w:hint="eastAsia" w:ascii="仿宋_GB2312" w:hAnsi="仿宋_GB2312" w:cs="仿宋_GB2312"/>
          <w:b/>
          <w:bCs/>
          <w:caps/>
          <w:sz w:val="32"/>
          <w:szCs w:val="32"/>
        </w:rPr>
        <w:fldChar w:fldCharType="separate"/>
      </w:r>
      <w:r>
        <w:rPr>
          <w:rFonts w:hint="eastAsia" w:ascii="仿宋_GB2312" w:hAnsi="仿宋_GB2312" w:cs="仿宋_GB2312"/>
          <w:b/>
          <w:bCs/>
          <w:caps/>
          <w:sz w:val="32"/>
          <w:szCs w:val="32"/>
        </w:rPr>
        <w:t>四、问题和建议</w:t>
      </w:r>
      <w:r>
        <w:rPr>
          <w:rFonts w:hint="eastAsia" w:ascii="仿宋_GB2312" w:hAnsi="仿宋_GB2312" w:cs="仿宋_GB2312"/>
          <w:b/>
          <w:bCs/>
          <w:caps/>
          <w:sz w:val="32"/>
          <w:szCs w:val="32"/>
        </w:rPr>
        <w:tab/>
      </w:r>
      <w:r>
        <w:rPr>
          <w:rFonts w:hint="eastAsia" w:ascii="仿宋_GB2312" w:hAnsi="仿宋_GB2312" w:cs="仿宋_GB2312"/>
          <w:b/>
          <w:bCs/>
          <w:caps/>
          <w:sz w:val="32"/>
          <w:szCs w:val="32"/>
        </w:rPr>
        <w:fldChar w:fldCharType="begin"/>
      </w:r>
      <w:r>
        <w:rPr>
          <w:rFonts w:hint="eastAsia" w:ascii="仿宋_GB2312" w:hAnsi="仿宋_GB2312" w:cs="仿宋_GB2312"/>
          <w:b/>
          <w:bCs/>
          <w:caps/>
          <w:sz w:val="32"/>
          <w:szCs w:val="32"/>
        </w:rPr>
        <w:instrText xml:space="preserve"> PAGEREF _Toc14437 \h </w:instrText>
      </w:r>
      <w:r>
        <w:rPr>
          <w:rFonts w:hint="eastAsia" w:ascii="仿宋_GB2312" w:hAnsi="仿宋_GB2312" w:cs="仿宋_GB2312"/>
          <w:b/>
          <w:bCs/>
          <w:caps/>
          <w:sz w:val="32"/>
          <w:szCs w:val="32"/>
        </w:rPr>
        <w:fldChar w:fldCharType="separate"/>
      </w:r>
      <w:r>
        <w:rPr>
          <w:rFonts w:hint="eastAsia" w:ascii="仿宋_GB2312" w:hAnsi="仿宋_GB2312" w:cs="仿宋_GB2312"/>
          <w:b/>
          <w:bCs/>
          <w:caps/>
          <w:sz w:val="32"/>
          <w:szCs w:val="32"/>
        </w:rPr>
        <w:t>13</w:t>
      </w:r>
      <w:r>
        <w:rPr>
          <w:rFonts w:hint="eastAsia" w:ascii="仿宋_GB2312" w:hAnsi="仿宋_GB2312" w:cs="仿宋_GB2312"/>
          <w:b/>
          <w:bCs/>
          <w:caps/>
          <w:sz w:val="32"/>
          <w:szCs w:val="32"/>
        </w:rPr>
        <w:fldChar w:fldCharType="end"/>
      </w:r>
      <w:r>
        <w:rPr>
          <w:rFonts w:hint="eastAsia" w:ascii="仿宋_GB2312" w:hAnsi="仿宋_GB2312" w:cs="仿宋_GB2312"/>
          <w:b/>
          <w:bCs/>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_Toc16892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（一）问题</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_Toc16892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17</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caps/>
          <w:sz w:val="32"/>
          <w:szCs w:val="32"/>
        </w:rPr>
      </w:pP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HYPERLINK \l _Toc20867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（二）相关建议</w:t>
      </w:r>
      <w:r>
        <w:rPr>
          <w:rFonts w:hint="eastAsia" w:ascii="仿宋_GB2312" w:hAnsi="仿宋_GB2312" w:cs="仿宋_GB2312"/>
          <w:caps/>
          <w:sz w:val="32"/>
          <w:szCs w:val="32"/>
        </w:rPr>
        <w:tab/>
      </w:r>
      <w:r>
        <w:rPr>
          <w:rFonts w:hint="eastAsia" w:ascii="仿宋_GB2312" w:hAnsi="仿宋_GB2312" w:cs="仿宋_GB2312"/>
          <w:caps/>
          <w:sz w:val="32"/>
          <w:szCs w:val="32"/>
        </w:rPr>
        <w:fldChar w:fldCharType="begin"/>
      </w:r>
      <w:r>
        <w:rPr>
          <w:rFonts w:hint="eastAsia" w:ascii="仿宋_GB2312" w:hAnsi="仿宋_GB2312" w:cs="仿宋_GB2312"/>
          <w:caps/>
          <w:sz w:val="32"/>
          <w:szCs w:val="32"/>
        </w:rPr>
        <w:instrText xml:space="preserve"> PAGEREF _Toc20867 \h </w:instrText>
      </w:r>
      <w:r>
        <w:rPr>
          <w:rFonts w:hint="eastAsia" w:ascii="仿宋_GB2312" w:hAnsi="仿宋_GB2312" w:cs="仿宋_GB2312"/>
          <w:caps/>
          <w:sz w:val="32"/>
          <w:szCs w:val="32"/>
        </w:rPr>
        <w:fldChar w:fldCharType="separate"/>
      </w:r>
      <w:r>
        <w:rPr>
          <w:rFonts w:hint="eastAsia" w:ascii="仿宋_GB2312" w:hAnsi="仿宋_GB2312" w:cs="仿宋_GB2312"/>
          <w:caps/>
          <w:sz w:val="32"/>
          <w:szCs w:val="32"/>
        </w:rPr>
        <w:t>17</w:t>
      </w:r>
      <w:r>
        <w:rPr>
          <w:rFonts w:hint="eastAsia" w:ascii="仿宋_GB2312" w:hAnsi="仿宋_GB2312" w:cs="仿宋_GB2312"/>
          <w:caps/>
          <w:sz w:val="32"/>
          <w:szCs w:val="32"/>
        </w:rPr>
        <w:fldChar w:fldCharType="end"/>
      </w:r>
      <w:r>
        <w:rPr>
          <w:rFonts w:hint="eastAsia" w:ascii="仿宋_GB2312" w:hAnsi="仿宋_GB2312" w:cs="仿宋_GB2312"/>
          <w:caps/>
          <w:sz w:val="32"/>
          <w:szCs w:val="32"/>
        </w:rPr>
        <w:fldChar w:fldCharType="end"/>
      </w:r>
    </w:p>
    <w:p>
      <w:pPr>
        <w:pStyle w:val="5"/>
        <w:tabs>
          <w:tab w:val="right" w:leader="dot" w:pos="8306"/>
        </w:tabs>
        <w:adjustRightInd w:val="0"/>
        <w:snapToGrid w:val="0"/>
        <w:spacing w:line="560" w:lineRule="exact"/>
        <w:rPr>
          <w:rFonts w:hint="eastAsia" w:ascii="仿宋_GB2312" w:hAnsi="仿宋_GB2312" w:cs="仿宋_GB2312"/>
          <w:b/>
          <w:bCs/>
          <w:caps/>
          <w:sz w:val="32"/>
          <w:szCs w:val="32"/>
        </w:rPr>
      </w:pPr>
      <w:r>
        <w:rPr>
          <w:rFonts w:hint="eastAsia" w:ascii="仿宋_GB2312" w:hAnsi="仿宋_GB2312" w:cs="仿宋_GB2312"/>
          <w:b/>
          <w:bCs/>
          <w:caps/>
          <w:sz w:val="32"/>
          <w:szCs w:val="32"/>
        </w:rPr>
        <w:fldChar w:fldCharType="begin"/>
      </w:r>
      <w:r>
        <w:rPr>
          <w:rFonts w:hint="eastAsia" w:ascii="仿宋_GB2312" w:hAnsi="仿宋_GB2312" w:cs="仿宋_GB2312"/>
          <w:b/>
          <w:bCs/>
          <w:caps/>
          <w:sz w:val="32"/>
          <w:szCs w:val="32"/>
        </w:rPr>
        <w:instrText xml:space="preserve"> HYPERLINK \l _Toc24693 </w:instrText>
      </w:r>
      <w:r>
        <w:rPr>
          <w:rFonts w:hint="eastAsia" w:ascii="仿宋_GB2312" w:hAnsi="仿宋_GB2312" w:cs="仿宋_GB2312"/>
          <w:b/>
          <w:bCs/>
          <w:caps/>
          <w:sz w:val="32"/>
          <w:szCs w:val="32"/>
        </w:rPr>
        <w:fldChar w:fldCharType="separate"/>
      </w:r>
      <w:r>
        <w:rPr>
          <w:rFonts w:hint="eastAsia" w:ascii="仿宋_GB2312" w:hAnsi="仿宋_GB2312" w:cs="仿宋_GB2312"/>
          <w:b/>
          <w:bCs/>
          <w:caps/>
          <w:sz w:val="32"/>
          <w:szCs w:val="32"/>
        </w:rPr>
        <w:t>五、评价结论</w:t>
      </w:r>
      <w:r>
        <w:rPr>
          <w:rFonts w:hint="eastAsia" w:ascii="仿宋_GB2312" w:hAnsi="仿宋_GB2312" w:cs="仿宋_GB2312"/>
          <w:b/>
          <w:bCs/>
          <w:caps/>
          <w:sz w:val="32"/>
          <w:szCs w:val="32"/>
        </w:rPr>
        <w:tab/>
      </w:r>
      <w:r>
        <w:rPr>
          <w:rFonts w:hint="eastAsia" w:ascii="仿宋_GB2312" w:hAnsi="仿宋_GB2312" w:cs="仿宋_GB2312"/>
          <w:b/>
          <w:bCs/>
          <w:caps/>
          <w:sz w:val="32"/>
          <w:szCs w:val="32"/>
        </w:rPr>
        <w:fldChar w:fldCharType="begin"/>
      </w:r>
      <w:r>
        <w:rPr>
          <w:rFonts w:hint="eastAsia" w:ascii="仿宋_GB2312" w:hAnsi="仿宋_GB2312" w:cs="仿宋_GB2312"/>
          <w:b/>
          <w:bCs/>
          <w:caps/>
          <w:sz w:val="32"/>
          <w:szCs w:val="32"/>
        </w:rPr>
        <w:instrText xml:space="preserve"> PAGEREF _Toc24693 \h </w:instrText>
      </w:r>
      <w:r>
        <w:rPr>
          <w:rFonts w:hint="eastAsia" w:ascii="仿宋_GB2312" w:hAnsi="仿宋_GB2312" w:cs="仿宋_GB2312"/>
          <w:b/>
          <w:bCs/>
          <w:caps/>
          <w:sz w:val="32"/>
          <w:szCs w:val="32"/>
        </w:rPr>
        <w:fldChar w:fldCharType="separate"/>
      </w:r>
      <w:r>
        <w:rPr>
          <w:rFonts w:hint="eastAsia" w:ascii="仿宋_GB2312" w:hAnsi="仿宋_GB2312" w:cs="仿宋_GB2312"/>
          <w:b/>
          <w:bCs/>
          <w:caps/>
          <w:sz w:val="32"/>
          <w:szCs w:val="32"/>
        </w:rPr>
        <w:t>18</w:t>
      </w:r>
      <w:r>
        <w:rPr>
          <w:rFonts w:hint="eastAsia" w:ascii="仿宋_GB2312" w:hAnsi="仿宋_GB2312" w:cs="仿宋_GB2312"/>
          <w:b/>
          <w:bCs/>
          <w:caps/>
          <w:sz w:val="32"/>
          <w:szCs w:val="32"/>
        </w:rPr>
        <w:fldChar w:fldCharType="end"/>
      </w:r>
      <w:r>
        <w:rPr>
          <w:rFonts w:hint="eastAsia" w:ascii="仿宋_GB2312" w:hAnsi="仿宋_GB2312" w:cs="仿宋_GB2312"/>
          <w:b/>
          <w:bCs/>
          <w:caps/>
          <w:sz w:val="32"/>
          <w:szCs w:val="32"/>
        </w:rPr>
        <w:fldChar w:fldCharType="end"/>
      </w:r>
    </w:p>
    <w:p>
      <w:pPr>
        <w:pStyle w:val="5"/>
        <w:tabs>
          <w:tab w:val="right" w:leader="dot" w:pos="8306"/>
        </w:tabs>
        <w:adjustRightInd w:val="0"/>
        <w:snapToGrid w:val="0"/>
        <w:spacing w:line="560" w:lineRule="exact"/>
        <w:rPr>
          <w:rFonts w:ascii="仿宋" w:hAnsi="仿宋" w:eastAsia="仿宋" w:cs="仿宋"/>
          <w:bCs/>
          <w:sz w:val="32"/>
          <w:szCs w:val="32"/>
        </w:rPr>
      </w:pPr>
      <w:r>
        <w:rPr>
          <w:rFonts w:hint="eastAsia" w:ascii="仿宋_GB2312" w:hAnsi="仿宋_GB2312" w:cs="仿宋_GB2312"/>
          <w:b/>
          <w:bCs/>
          <w:caps/>
          <w:sz w:val="32"/>
          <w:szCs w:val="32"/>
        </w:rPr>
        <w:fldChar w:fldCharType="begin"/>
      </w:r>
      <w:r>
        <w:rPr>
          <w:rFonts w:hint="eastAsia" w:ascii="仿宋_GB2312" w:hAnsi="仿宋_GB2312" w:cs="仿宋_GB2312"/>
          <w:b/>
          <w:bCs/>
          <w:caps/>
          <w:sz w:val="32"/>
          <w:szCs w:val="32"/>
        </w:rPr>
        <w:instrText xml:space="preserve"> HYPERLINK \l _Toc20350 </w:instrText>
      </w:r>
      <w:r>
        <w:rPr>
          <w:rFonts w:hint="eastAsia" w:ascii="仿宋_GB2312" w:hAnsi="仿宋_GB2312" w:cs="仿宋_GB2312"/>
          <w:b/>
          <w:bCs/>
          <w:caps/>
          <w:sz w:val="32"/>
          <w:szCs w:val="32"/>
        </w:rPr>
        <w:fldChar w:fldCharType="separate"/>
      </w:r>
      <w:r>
        <w:rPr>
          <w:rFonts w:hint="eastAsia" w:ascii="仿宋_GB2312" w:hAnsi="仿宋_GB2312" w:cs="仿宋_GB2312"/>
          <w:b/>
          <w:bCs/>
          <w:caps/>
          <w:sz w:val="32"/>
          <w:szCs w:val="32"/>
          <w:lang w:eastAsia="zh-CN"/>
        </w:rPr>
        <w:t>六</w:t>
      </w:r>
      <w:r>
        <w:rPr>
          <w:rFonts w:hint="eastAsia" w:ascii="仿宋_GB2312" w:hAnsi="仿宋_GB2312" w:cs="仿宋_GB2312"/>
          <w:b/>
          <w:bCs/>
          <w:caps/>
          <w:sz w:val="32"/>
          <w:szCs w:val="32"/>
        </w:rPr>
        <w:t>、附件</w:t>
      </w:r>
      <w:r>
        <w:rPr>
          <w:rFonts w:hint="eastAsia" w:ascii="仿宋_GB2312" w:hAnsi="仿宋_GB2312" w:cs="仿宋_GB2312"/>
          <w:b/>
          <w:bCs/>
          <w:caps/>
          <w:sz w:val="32"/>
          <w:szCs w:val="32"/>
        </w:rPr>
        <w:tab/>
      </w:r>
      <w:r>
        <w:rPr>
          <w:rFonts w:hint="eastAsia" w:ascii="仿宋_GB2312" w:hAnsi="仿宋_GB2312" w:cs="仿宋_GB2312"/>
          <w:b/>
          <w:bCs/>
          <w:caps/>
          <w:sz w:val="32"/>
          <w:szCs w:val="32"/>
        </w:rPr>
        <w:fldChar w:fldCharType="begin"/>
      </w:r>
      <w:r>
        <w:rPr>
          <w:rFonts w:hint="eastAsia" w:ascii="仿宋_GB2312" w:hAnsi="仿宋_GB2312" w:cs="仿宋_GB2312"/>
          <w:b/>
          <w:bCs/>
          <w:caps/>
          <w:sz w:val="32"/>
          <w:szCs w:val="32"/>
        </w:rPr>
        <w:instrText xml:space="preserve"> PAGEREF _Toc20350 \h </w:instrText>
      </w:r>
      <w:r>
        <w:rPr>
          <w:rFonts w:hint="eastAsia" w:ascii="仿宋_GB2312" w:hAnsi="仿宋_GB2312" w:cs="仿宋_GB2312"/>
          <w:b/>
          <w:bCs/>
          <w:caps/>
          <w:sz w:val="32"/>
          <w:szCs w:val="32"/>
        </w:rPr>
        <w:fldChar w:fldCharType="separate"/>
      </w:r>
      <w:r>
        <w:rPr>
          <w:rFonts w:hint="eastAsia" w:ascii="仿宋_GB2312" w:hAnsi="仿宋_GB2312" w:cs="仿宋_GB2312"/>
          <w:b/>
          <w:bCs/>
          <w:caps/>
          <w:sz w:val="32"/>
          <w:szCs w:val="32"/>
        </w:rPr>
        <w:t>19</w:t>
      </w:r>
      <w:r>
        <w:rPr>
          <w:rFonts w:hint="eastAsia" w:ascii="仿宋_GB2312" w:hAnsi="仿宋_GB2312" w:cs="仿宋_GB2312"/>
          <w:b/>
          <w:bCs/>
          <w:caps/>
          <w:sz w:val="32"/>
          <w:szCs w:val="32"/>
        </w:rPr>
        <w:fldChar w:fldCharType="end"/>
      </w:r>
      <w:r>
        <w:rPr>
          <w:rFonts w:hint="eastAsia" w:ascii="仿宋_GB2312" w:hAnsi="仿宋_GB2312" w:cs="仿宋_GB2312"/>
          <w:b/>
          <w:bCs/>
          <w:caps/>
          <w:sz w:val="32"/>
          <w:szCs w:val="32"/>
        </w:rPr>
        <w:fldChar w:fldCharType="end"/>
      </w:r>
    </w:p>
    <w:p>
      <w:pPr>
        <w:spacing w:line="560" w:lineRule="exact"/>
        <w:jc w:val="center"/>
        <w:rPr>
          <w:rFonts w:hint="eastAsia" w:ascii="仿宋" w:hAnsi="仿宋" w:eastAsia="仿宋" w:cs="仿宋"/>
          <w:bCs/>
          <w:sz w:val="32"/>
          <w:szCs w:val="32"/>
        </w:rPr>
      </w:pPr>
      <w:r>
        <w:rPr>
          <w:rFonts w:hint="eastAsia" w:ascii="仿宋" w:hAnsi="仿宋" w:eastAsia="仿宋" w:cs="仿宋"/>
          <w:bCs/>
          <w:sz w:val="32"/>
          <w:szCs w:val="32"/>
        </w:rPr>
        <w:fldChar w:fldCharType="end"/>
      </w:r>
    </w:p>
    <w:p>
      <w:pPr>
        <w:pStyle w:val="6"/>
        <w:rPr>
          <w:rFonts w:hint="eastAsia"/>
        </w:rPr>
      </w:pPr>
    </w:p>
    <w:p>
      <w:pPr>
        <w:spacing w:line="560" w:lineRule="exact"/>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val="en-US" w:eastAsia="zh-CN"/>
        </w:rPr>
        <w:t>2号邻里中心项目</w:t>
      </w:r>
    </w:p>
    <w:p>
      <w:pPr>
        <w:spacing w:line="520" w:lineRule="exact"/>
        <w:ind w:left="880" w:hanging="880"/>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绩效评价报告</w:t>
      </w:r>
    </w:p>
    <w:p>
      <w:pPr>
        <w:pStyle w:val="6"/>
        <w:rPr>
          <w:rFonts w:hint="eastAsia"/>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0"/>
        <w:rPr>
          <w:rFonts w:ascii="黑体" w:hAnsi="黑体" w:eastAsia="黑体"/>
          <w:sz w:val="32"/>
          <w:szCs w:val="32"/>
        </w:rPr>
      </w:pPr>
      <w:bookmarkStart w:id="0" w:name="_Toc9968"/>
      <w:r>
        <w:rPr>
          <w:rFonts w:hint="eastAsia" w:ascii="黑体" w:hAnsi="黑体" w:eastAsia="黑体"/>
          <w:sz w:val="32"/>
          <w:szCs w:val="32"/>
        </w:rPr>
        <w:t>一、摘要</w:t>
      </w:r>
      <w:bookmarkEnd w:id="0"/>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楷体_GB2312" w:eastAsia="楷体_GB2312"/>
          <w:sz w:val="32"/>
          <w:szCs w:val="32"/>
          <w:lang w:eastAsia="zh-CN"/>
        </w:rPr>
      </w:pPr>
      <w:bookmarkStart w:id="1" w:name="_Toc8376"/>
      <w:r>
        <w:rPr>
          <w:rFonts w:hint="eastAsia" w:ascii="楷体_GB2312" w:eastAsia="楷体_GB2312"/>
          <w:sz w:val="32"/>
          <w:szCs w:val="32"/>
        </w:rPr>
        <w:t>（一）</w:t>
      </w:r>
      <w:bookmarkEnd w:id="1"/>
      <w:r>
        <w:rPr>
          <w:rFonts w:hint="eastAsia" w:ascii="楷体_GB2312" w:eastAsia="楷体_GB2312"/>
          <w:sz w:val="32"/>
          <w:szCs w:val="32"/>
          <w:lang w:eastAsia="zh-CN"/>
        </w:rPr>
        <w:t>项目简介</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cs="仿宋_GB2312"/>
          <w:sz w:val="32"/>
          <w:szCs w:val="32"/>
          <w:lang w:val="en-US" w:eastAsia="zh-CN"/>
        </w:rPr>
      </w:pPr>
      <w:r>
        <w:rPr>
          <w:rFonts w:hint="eastAsia" w:ascii="仿宋_GB2312" w:hAnsi="仿宋_GB2312" w:eastAsia="仿宋_GB2312" w:cs="仿宋_GB2312"/>
          <w:sz w:val="32"/>
          <w:szCs w:val="32"/>
          <w:lang w:eastAsia="zh-CN"/>
        </w:rPr>
        <w:t>经济开发区2号邻里中心项目，位于明达路以南、文山路以东、</w:t>
      </w:r>
      <w:r>
        <w:rPr>
          <w:rFonts w:hint="eastAsia" w:ascii="仿宋_GB2312" w:hAnsi="仿宋_GB2312" w:eastAsia="仿宋_GB2312" w:cs="仿宋_GB2312"/>
          <w:sz w:val="32"/>
          <w:szCs w:val="32"/>
          <w:lang w:val="en-GB" w:eastAsia="zh-CN"/>
        </w:rPr>
        <w:t>临川路以西、盟旺路以北，</w:t>
      </w:r>
      <w:r>
        <w:rPr>
          <w:rFonts w:hint="eastAsia" w:ascii="仿宋_GB2312" w:hAnsi="仿宋_GB2312" w:eastAsia="仿宋_GB2312" w:cs="仿宋_GB2312"/>
          <w:sz w:val="32"/>
          <w:szCs w:val="32"/>
          <w:lang w:eastAsia="zh-CN"/>
        </w:rPr>
        <w:t>占地面积6500平方米，总建筑面积12592.78平方米，其中地上10348.88平方米、地下2243.9平方米。建设内容包括社区综合服务中心、社区卫生服务中心、社区文化中心、社区办公用房及其他配套设施等。项目于</w:t>
      </w:r>
      <w:r>
        <w:rPr>
          <w:rFonts w:hint="eastAsia" w:ascii="仿宋_GB2312" w:hAnsi="仿宋_GB2312" w:eastAsia="仿宋_GB2312" w:cs="仿宋_GB2312"/>
          <w:sz w:val="32"/>
          <w:szCs w:val="32"/>
          <w:lang w:val="en-US" w:eastAsia="zh-CN"/>
        </w:rPr>
        <w:t>2020年6月22日开工建设，2021年4月19日竣工验收。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楷体_GB2312" w:eastAsia="楷体_GB2312"/>
          <w:sz w:val="32"/>
          <w:szCs w:val="32"/>
        </w:rPr>
      </w:pPr>
      <w:bookmarkStart w:id="2" w:name="_Toc8499"/>
      <w:r>
        <w:rPr>
          <w:rFonts w:hint="eastAsia" w:ascii="楷体_GB2312" w:eastAsia="楷体_GB2312"/>
          <w:sz w:val="32"/>
          <w:szCs w:val="32"/>
        </w:rPr>
        <w:t>（二）项目背景</w:t>
      </w:r>
      <w:bookmarkEnd w:id="2"/>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eastAsia="zh-CN"/>
        </w:rPr>
      </w:pPr>
      <w:bookmarkStart w:id="3" w:name="_Toc27836"/>
      <w:r>
        <w:rPr>
          <w:rFonts w:hint="eastAsia" w:ascii="仿宋_GB2312" w:hAnsi="仿宋_GB2312" w:eastAsia="仿宋_GB2312" w:cs="仿宋_GB2312"/>
          <w:sz w:val="32"/>
          <w:szCs w:val="32"/>
          <w:lang w:eastAsia="zh-CN"/>
        </w:rPr>
        <w:t>随着即墨区城市经济的不断发展，城市社会管理事物不断的增加，社区服务中心作为城市社会生活最基层单位，在城市管理、公共事物、便民服务中的地位和作用明显的越来越突出和重要。即墨经济开发区作为连接市中心城区与东部鳌山湾滨海科技新城的重要战略节点，本着“城市发展新中心、城市中央商务区、现代服务业聚集区、高端生态居住区”的发展定位，坚持以世界眼光和国际标准，按照“统一规划、近远结合、分期实施”的原则，高起点规划，高品位建设，高效能管理，不断完善基础设施配套建设。社区服务中心的建设，将进一步改进即墨经济开发区的办公规模和服务水平，为开发区人民群众提供一个便民服务平台，并且为党的惠民政策顺利实施，促进开发区经济和社会发展服务。</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楷体_GB2312" w:eastAsia="楷体_GB2312"/>
          <w:sz w:val="32"/>
          <w:szCs w:val="32"/>
        </w:rPr>
      </w:pPr>
      <w:r>
        <w:rPr>
          <w:rFonts w:hint="eastAsia" w:ascii="楷体_GB2312" w:eastAsia="楷体_GB2312"/>
          <w:sz w:val="32"/>
          <w:szCs w:val="32"/>
        </w:rPr>
        <w:t>（三）资金安排和使用情况</w:t>
      </w:r>
      <w:bookmarkEnd w:id="3"/>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rPr>
        <w:t>项目</w:t>
      </w:r>
      <w:r>
        <w:rPr>
          <w:rFonts w:hint="eastAsia" w:ascii="仿宋_GB2312" w:hAnsi="仿宋_GB2312" w:eastAsia="仿宋_GB2312" w:cs="仿宋_GB2312"/>
          <w:bCs/>
          <w:kern w:val="0"/>
          <w:sz w:val="32"/>
          <w:szCs w:val="32"/>
          <w:lang w:val="en-US" w:eastAsia="zh-CN"/>
        </w:rPr>
        <w:t>总投资7334.84万元，资金来源为单位自筹。截至2023年6月30日，项目预算资金6325.75万元，到位资金6325.75万元，支出6325.75万元，资金性质为功能区本级资金。</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楷体_GB2312" w:eastAsia="楷体_GB2312"/>
          <w:sz w:val="32"/>
          <w:szCs w:val="32"/>
        </w:rPr>
      </w:pPr>
      <w:bookmarkStart w:id="4" w:name="_Toc8170"/>
      <w:r>
        <w:rPr>
          <w:rFonts w:hint="eastAsia" w:ascii="楷体_GB2312" w:eastAsia="楷体_GB2312"/>
          <w:sz w:val="32"/>
          <w:szCs w:val="32"/>
        </w:rPr>
        <w:t>（四）评价依据和方法</w:t>
      </w:r>
      <w:bookmarkEnd w:id="4"/>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1.评价依据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《财政部关于印发〈项目支出绩效评价管理办法〉的通知》（财预〔2020〕10号）；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《关于委托第三方机构参与预算绩效管理的指导意见》（财预〔2021〕6号）；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《第三方机构预算绩效评价业务监督管理暂行办法》（财监〔2021〕4号）；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《青岛市委市政府关于深化预算管理改革全面推进预算绩效管理的实施意见》（青发〔2019〕6号）；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青岛市即墨区委区政府办公室关于深化预算管理改革全面推进预算绩效管理的实施意见</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即办发</w:t>
      </w:r>
      <w:r>
        <w:rPr>
          <w:rFonts w:hint="eastAsia" w:ascii="仿宋_GB2312" w:hAnsi="仿宋_GB2312" w:eastAsia="仿宋_GB2312" w:cs="仿宋_GB2312"/>
          <w:bCs/>
          <w:kern w:val="0"/>
          <w:sz w:val="32"/>
          <w:szCs w:val="32"/>
        </w:rPr>
        <w:t>〔2</w:t>
      </w:r>
      <w:r>
        <w:rPr>
          <w:rFonts w:hint="eastAsia" w:ascii="仿宋_GB2312" w:hAnsi="仿宋_GB2312" w:eastAsia="仿宋_GB2312" w:cs="仿宋_GB2312"/>
          <w:bCs/>
          <w:kern w:val="0"/>
          <w:sz w:val="32"/>
          <w:szCs w:val="32"/>
          <w:lang w:val="en-US" w:eastAsia="zh-CN"/>
        </w:rPr>
        <w:t>020</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8</w:t>
      </w:r>
      <w:r>
        <w:rPr>
          <w:rFonts w:hint="eastAsia" w:ascii="仿宋_GB2312" w:hAnsi="仿宋_GB2312" w:eastAsia="仿宋_GB2312" w:cs="仿宋_GB2312"/>
          <w:bCs/>
          <w:kern w:val="0"/>
          <w:sz w:val="32"/>
          <w:szCs w:val="32"/>
        </w:rPr>
        <w:t>号）；</w:t>
      </w:r>
      <w:r>
        <w:rPr>
          <w:rFonts w:hint="eastAsia" w:ascii="仿宋_GB2312" w:hAnsi="仿宋_GB2312" w:eastAsia="仿宋_GB2312" w:cs="仿宋_GB2312"/>
          <w:bCs/>
          <w:kern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青岛市即墨区预算绩效管理办法</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项目单位财务管理、业务管理制度及提供的相关资料。</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2.评价方法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本次评价方法主要由标杆管理法、文献法、公众评判法组成，在对比分析时通过文献资料搜索、数据分析来支撑评价的逻辑紧密性与客观性。始终遵循科学规范、全面系统、公正公开和绩效相关的基本原则。</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楷体_GB2312" w:eastAsia="楷体_GB2312"/>
          <w:sz w:val="32"/>
          <w:szCs w:val="32"/>
        </w:rPr>
      </w:pPr>
      <w:bookmarkStart w:id="5" w:name="_Toc3825"/>
      <w:r>
        <w:rPr>
          <w:rFonts w:hint="eastAsia" w:ascii="楷体_GB2312" w:eastAsia="楷体_GB2312"/>
          <w:sz w:val="32"/>
          <w:szCs w:val="32"/>
        </w:rPr>
        <w:t>指标分析</w:t>
      </w:r>
      <w:bookmarkEnd w:id="5"/>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3" w:firstLineChars="200"/>
        <w:textAlignment w:val="auto"/>
        <w:rPr>
          <w:rFonts w:hint="eastAsia" w:ascii="仿宋_GB2312" w:hAnsi="仿宋_GB2312" w:eastAsia="仿宋_GB2312" w:cs="仿宋_GB2312"/>
          <w:b/>
          <w:bCs w:val="0"/>
          <w:kern w:val="0"/>
          <w:sz w:val="32"/>
          <w:szCs w:val="32"/>
          <w:lang w:val="en-US" w:eastAsia="zh-CN" w:bidi="ar-SA"/>
        </w:rPr>
      </w:pPr>
      <w:r>
        <w:rPr>
          <w:rFonts w:hint="eastAsia" w:ascii="仿宋_GB2312" w:hAnsi="仿宋_GB2312" w:eastAsia="仿宋_GB2312" w:cs="仿宋_GB2312"/>
          <w:b/>
          <w:bCs w:val="0"/>
          <w:kern w:val="0"/>
          <w:sz w:val="32"/>
          <w:szCs w:val="32"/>
          <w:lang w:val="en-US" w:eastAsia="zh-CN" w:bidi="ar-SA"/>
        </w:rPr>
        <w:t>1.项目决策情况</w:t>
      </w:r>
    </w:p>
    <w:p>
      <w:pPr>
        <w:pStyle w:val="12"/>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hAnsi="仿宋_GB2312" w:eastAsia="仿宋_GB2312" w:cs="仿宋_GB2312"/>
          <w:bCs/>
          <w:sz w:val="32"/>
          <w:szCs w:val="32"/>
        </w:rPr>
      </w:pPr>
      <w:bookmarkStart w:id="6" w:name="_Toc2644"/>
      <w:r>
        <w:rPr>
          <w:rFonts w:hint="eastAsia" w:ascii="仿宋_GB2312" w:hAnsi="仿宋_GB2312" w:eastAsia="仿宋_GB2312" w:cs="仿宋_GB2312"/>
          <w:bCs/>
          <w:sz w:val="32"/>
          <w:szCs w:val="32"/>
        </w:rPr>
        <w:t>决策指标从项目立项、绩效目标、资金投入等方面来考察。决策类指标分值20分，实际得分</w:t>
      </w:r>
      <w:r>
        <w:rPr>
          <w:rFonts w:hint="eastAsia" w:ascii="仿宋_GB2312" w:hAnsi="仿宋_GB2312" w:eastAsia="仿宋_GB2312" w:cs="仿宋_GB2312"/>
          <w:bCs/>
          <w:sz w:val="32"/>
          <w:szCs w:val="32"/>
          <w:lang w:val="en-US" w:eastAsia="zh-CN"/>
        </w:rPr>
        <w:t>16.5</w:t>
      </w:r>
      <w:r>
        <w:rPr>
          <w:rFonts w:hint="eastAsia" w:ascii="仿宋_GB2312" w:hAnsi="仿宋_GB2312" w:eastAsia="仿宋_GB2312" w:cs="仿宋_GB2312"/>
          <w:bCs/>
          <w:sz w:val="32"/>
          <w:szCs w:val="32"/>
        </w:rPr>
        <w:t>分，得分率为</w:t>
      </w:r>
      <w:r>
        <w:rPr>
          <w:rFonts w:hint="eastAsia" w:ascii="仿宋_GB2312" w:hAnsi="仿宋_GB2312" w:eastAsia="仿宋_GB2312" w:cs="仿宋_GB2312"/>
          <w:bCs/>
          <w:sz w:val="32"/>
          <w:szCs w:val="32"/>
          <w:lang w:val="en-US" w:eastAsia="zh-CN"/>
        </w:rPr>
        <w:t>82.5%</w:t>
      </w:r>
      <w:r>
        <w:rPr>
          <w:rFonts w:hint="eastAsia" w:ascii="仿宋_GB2312" w:hAnsi="仿宋_GB2312" w:eastAsia="仿宋_GB2312" w:cs="仿宋_GB2312"/>
          <w:bCs/>
          <w:sz w:val="32"/>
          <w:szCs w:val="32"/>
        </w:rPr>
        <w:t>。指标得分情况见表1-1。</w:t>
      </w:r>
    </w:p>
    <w:p>
      <w:pPr>
        <w:widowControl/>
        <w:jc w:val="center"/>
        <w:rPr>
          <w:rFonts w:ascii="仿宋" w:hAnsi="仿宋" w:cs="宋体"/>
          <w:b/>
          <w:bCs/>
          <w:kern w:val="0"/>
          <w:sz w:val="24"/>
        </w:rPr>
      </w:pPr>
      <w:r>
        <w:rPr>
          <w:rFonts w:hint="eastAsia" w:ascii="仿宋" w:hAnsi="仿宋" w:cs="宋体"/>
          <w:b/>
          <w:bCs/>
          <w:kern w:val="0"/>
          <w:sz w:val="24"/>
        </w:rPr>
        <w:t>表1-1  决策指标得分情况</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2"/>
        <w:gridCol w:w="845"/>
        <w:gridCol w:w="1369"/>
        <w:gridCol w:w="1285"/>
        <w:gridCol w:w="129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462" w:type="pct"/>
            <w:shd w:val="clear" w:color="000000" w:fill="A6A6A6"/>
            <w:noWrap w:val="0"/>
            <w:vAlign w:val="center"/>
          </w:tcPr>
          <w:p>
            <w:pPr>
              <w:widowControl/>
              <w:jc w:val="center"/>
              <w:rPr>
                <w:rFonts w:ascii="仿宋" w:hAnsi="仿宋" w:cs="宋体"/>
                <w:b/>
                <w:kern w:val="0"/>
                <w:sz w:val="21"/>
                <w:szCs w:val="21"/>
              </w:rPr>
            </w:pPr>
            <w:r>
              <w:rPr>
                <w:rFonts w:ascii="仿宋" w:hAnsi="仿宋" w:cs="宋体"/>
                <w:b/>
                <w:kern w:val="0"/>
                <w:sz w:val="21"/>
                <w:szCs w:val="21"/>
              </w:rPr>
              <w:t>三级指标</w:t>
            </w:r>
          </w:p>
        </w:tc>
        <w:tc>
          <w:tcPr>
            <w:tcW w:w="496"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kern w:val="0"/>
                <w:sz w:val="21"/>
                <w:szCs w:val="21"/>
              </w:rPr>
              <w:t>权重</w:t>
            </w:r>
          </w:p>
        </w:tc>
        <w:tc>
          <w:tcPr>
            <w:tcW w:w="803" w:type="pct"/>
            <w:shd w:val="clear" w:color="000000" w:fill="A6A6A6"/>
            <w:noWrap w:val="0"/>
            <w:vAlign w:val="center"/>
          </w:tcPr>
          <w:p>
            <w:pPr>
              <w:widowControl/>
              <w:jc w:val="center"/>
              <w:rPr>
                <w:rFonts w:ascii="仿宋" w:hAnsi="仿宋" w:cs="宋体"/>
                <w:b/>
                <w:kern w:val="0"/>
                <w:sz w:val="21"/>
                <w:szCs w:val="21"/>
              </w:rPr>
            </w:pPr>
            <w:r>
              <w:rPr>
                <w:rFonts w:ascii="仿宋" w:hAnsi="仿宋" w:cs="宋体"/>
                <w:b/>
                <w:kern w:val="0"/>
                <w:sz w:val="21"/>
                <w:szCs w:val="21"/>
              </w:rPr>
              <w:t>目标值</w:t>
            </w:r>
          </w:p>
        </w:tc>
        <w:tc>
          <w:tcPr>
            <w:tcW w:w="754" w:type="pct"/>
            <w:shd w:val="clear" w:color="000000" w:fill="A6A6A6"/>
            <w:noWrap w:val="0"/>
            <w:vAlign w:val="center"/>
          </w:tcPr>
          <w:p>
            <w:pPr>
              <w:widowControl/>
              <w:jc w:val="center"/>
              <w:rPr>
                <w:rFonts w:ascii="仿宋" w:hAnsi="仿宋" w:cs="宋体"/>
                <w:b/>
                <w:kern w:val="0"/>
                <w:sz w:val="21"/>
                <w:szCs w:val="21"/>
              </w:rPr>
            </w:pPr>
            <w:r>
              <w:rPr>
                <w:rFonts w:ascii="仿宋" w:hAnsi="仿宋" w:cs="宋体"/>
                <w:b/>
                <w:kern w:val="0"/>
                <w:sz w:val="21"/>
                <w:szCs w:val="21"/>
              </w:rPr>
              <w:t>业绩值</w:t>
            </w:r>
          </w:p>
        </w:tc>
        <w:tc>
          <w:tcPr>
            <w:tcW w:w="760"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kern w:val="0"/>
                <w:sz w:val="21"/>
                <w:szCs w:val="21"/>
              </w:rPr>
              <w:t>得分率</w:t>
            </w:r>
          </w:p>
        </w:tc>
        <w:tc>
          <w:tcPr>
            <w:tcW w:w="722"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kern w:val="0"/>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62" w:type="pct"/>
            <w:shd w:val="clear" w:color="auto" w:fill="auto"/>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立项依据充分性</w:t>
            </w:r>
          </w:p>
        </w:tc>
        <w:tc>
          <w:tcPr>
            <w:tcW w:w="496" w:type="pct"/>
            <w:shd w:val="clear" w:color="auto" w:fill="auto"/>
            <w:noWrap w:val="0"/>
            <w:vAlign w:val="center"/>
          </w:tcPr>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w:t>
            </w:r>
          </w:p>
        </w:tc>
        <w:tc>
          <w:tcPr>
            <w:tcW w:w="803" w:type="pct"/>
            <w:shd w:val="clear" w:color="000000" w:fill="FFFFFF"/>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充分</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充分</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100%</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62" w:type="pct"/>
            <w:shd w:val="clear" w:color="auto" w:fill="auto"/>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立项程序规范性</w:t>
            </w:r>
          </w:p>
        </w:tc>
        <w:tc>
          <w:tcPr>
            <w:tcW w:w="496" w:type="pct"/>
            <w:shd w:val="clear" w:color="auto" w:fill="auto"/>
            <w:noWrap w:val="0"/>
            <w:vAlign w:val="center"/>
          </w:tcPr>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w:t>
            </w:r>
          </w:p>
        </w:tc>
        <w:tc>
          <w:tcPr>
            <w:tcW w:w="803" w:type="pct"/>
            <w:shd w:val="clear" w:color="000000" w:fill="FFFFFF"/>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规范</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规范</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100%</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62" w:type="pct"/>
            <w:shd w:val="clear" w:color="auto" w:fill="auto"/>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绩效目标合理性</w:t>
            </w:r>
          </w:p>
        </w:tc>
        <w:tc>
          <w:tcPr>
            <w:tcW w:w="496" w:type="pct"/>
            <w:shd w:val="clear" w:color="auto" w:fill="auto"/>
            <w:noWrap w:val="0"/>
            <w:vAlign w:val="center"/>
          </w:tcPr>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w:t>
            </w:r>
          </w:p>
        </w:tc>
        <w:tc>
          <w:tcPr>
            <w:tcW w:w="803" w:type="pct"/>
            <w:shd w:val="clear" w:color="000000" w:fill="FFFFFF"/>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合理</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cs="仿宋_GB2312"/>
                <w:kern w:val="0"/>
                <w:sz w:val="21"/>
                <w:szCs w:val="21"/>
                <w:lang w:eastAsia="zh-CN"/>
              </w:rPr>
              <w:t>需完善</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50%</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62" w:type="pct"/>
            <w:shd w:val="clear" w:color="auto" w:fill="auto"/>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绩效指标明确性</w:t>
            </w:r>
          </w:p>
        </w:tc>
        <w:tc>
          <w:tcPr>
            <w:tcW w:w="496" w:type="pct"/>
            <w:shd w:val="clear" w:color="auto" w:fill="auto"/>
            <w:noWrap w:val="0"/>
            <w:vAlign w:val="center"/>
          </w:tcPr>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w:t>
            </w:r>
          </w:p>
        </w:tc>
        <w:tc>
          <w:tcPr>
            <w:tcW w:w="803" w:type="pct"/>
            <w:shd w:val="clear" w:color="000000" w:fill="FFFFFF"/>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明确</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cs="仿宋_GB2312"/>
                <w:kern w:val="0"/>
                <w:sz w:val="21"/>
                <w:szCs w:val="21"/>
                <w:lang w:eastAsia="zh-CN"/>
              </w:rPr>
              <w:t>需完善</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sz w:val="21"/>
                <w:szCs w:val="21"/>
              </w:rPr>
            </w:pPr>
            <w:r>
              <w:rPr>
                <w:rFonts w:hint="eastAsia" w:ascii="仿宋_GB2312" w:hAnsi="仿宋_GB2312" w:cs="仿宋_GB2312"/>
                <w:sz w:val="21"/>
                <w:szCs w:val="21"/>
                <w:lang w:val="en-US" w:eastAsia="zh-CN"/>
              </w:rPr>
              <w:t>33.33</w:t>
            </w:r>
            <w:r>
              <w:rPr>
                <w:rFonts w:hint="eastAsia" w:ascii="仿宋_GB2312" w:hAnsi="仿宋_GB2312" w:eastAsia="仿宋_GB2312" w:cs="仿宋_GB2312"/>
                <w:sz w:val="21"/>
                <w:szCs w:val="21"/>
                <w:lang w:val="en-US" w:eastAsia="zh-CN"/>
              </w:rPr>
              <w:t>%</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cs="仿宋_GB2312"/>
                <w:kern w:val="0"/>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62" w:type="pct"/>
            <w:shd w:val="clear" w:color="auto" w:fill="auto"/>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预算编制科学性</w:t>
            </w:r>
          </w:p>
        </w:tc>
        <w:tc>
          <w:tcPr>
            <w:tcW w:w="496" w:type="pct"/>
            <w:shd w:val="clear" w:color="auto" w:fill="auto"/>
            <w:noWrap w:val="0"/>
            <w:vAlign w:val="center"/>
          </w:tcPr>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w:t>
            </w:r>
          </w:p>
        </w:tc>
        <w:tc>
          <w:tcPr>
            <w:tcW w:w="803" w:type="pct"/>
            <w:shd w:val="clear" w:color="000000" w:fill="FFFFFF"/>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科学</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科学</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100%</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62" w:type="pct"/>
            <w:shd w:val="clear" w:color="auto" w:fill="auto"/>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资金分配合理性</w:t>
            </w:r>
          </w:p>
        </w:tc>
        <w:tc>
          <w:tcPr>
            <w:tcW w:w="496" w:type="pct"/>
            <w:shd w:val="clear" w:color="auto" w:fill="auto"/>
            <w:noWrap w:val="0"/>
            <w:vAlign w:val="center"/>
          </w:tcPr>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w:t>
            </w:r>
          </w:p>
        </w:tc>
        <w:tc>
          <w:tcPr>
            <w:tcW w:w="803" w:type="pct"/>
            <w:shd w:val="clear" w:color="000000" w:fill="FFFFFF"/>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合理</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合理</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100%</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462" w:type="pct"/>
            <w:noWrap w:val="0"/>
            <w:vAlign w:val="center"/>
          </w:tcPr>
          <w:p>
            <w:pPr>
              <w:widowControl/>
              <w:jc w:val="center"/>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合计</w:t>
            </w:r>
          </w:p>
        </w:tc>
        <w:tc>
          <w:tcPr>
            <w:tcW w:w="496" w:type="pct"/>
            <w:noWrap w:val="0"/>
            <w:vAlign w:val="center"/>
          </w:tcPr>
          <w:p>
            <w:pPr>
              <w:widowControl/>
              <w:jc w:val="center"/>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20</w:t>
            </w:r>
          </w:p>
        </w:tc>
        <w:tc>
          <w:tcPr>
            <w:tcW w:w="803" w:type="pct"/>
            <w:noWrap w:val="0"/>
            <w:vAlign w:val="center"/>
          </w:tcPr>
          <w:p>
            <w:pPr>
              <w:widowControl/>
              <w:jc w:val="center"/>
              <w:rPr>
                <w:rFonts w:hint="eastAsia" w:ascii="仿宋_GB2312" w:hAnsi="仿宋_GB2312" w:eastAsia="仿宋_GB2312" w:cs="仿宋_GB2312"/>
                <w:b/>
                <w:kern w:val="0"/>
                <w:sz w:val="21"/>
                <w:szCs w:val="21"/>
              </w:rPr>
            </w:pPr>
          </w:p>
        </w:tc>
        <w:tc>
          <w:tcPr>
            <w:tcW w:w="754" w:type="pct"/>
            <w:noWrap w:val="0"/>
            <w:vAlign w:val="center"/>
          </w:tcPr>
          <w:p>
            <w:pPr>
              <w:widowControl/>
              <w:jc w:val="center"/>
              <w:rPr>
                <w:rFonts w:hint="eastAsia" w:ascii="仿宋_GB2312" w:hAnsi="仿宋_GB2312" w:eastAsia="仿宋_GB2312" w:cs="仿宋_GB2312"/>
                <w:b/>
                <w:kern w:val="0"/>
                <w:sz w:val="21"/>
                <w:szCs w:val="21"/>
                <w:lang w:val="en-US" w:eastAsia="zh-CN"/>
              </w:rPr>
            </w:pPr>
          </w:p>
        </w:tc>
        <w:tc>
          <w:tcPr>
            <w:tcW w:w="760" w:type="pct"/>
            <w:noWrap w:val="0"/>
            <w:vAlign w:val="center"/>
          </w:tcPr>
          <w:p>
            <w:pPr>
              <w:widowControl/>
              <w:jc w:val="center"/>
              <w:textAlignment w:val="center"/>
              <w:rPr>
                <w:rFonts w:hint="eastAsia" w:ascii="仿宋_GB2312" w:hAnsi="仿宋_GB2312" w:eastAsia="仿宋_GB2312" w:cs="仿宋_GB2312"/>
                <w:b/>
                <w:kern w:val="0"/>
                <w:sz w:val="21"/>
                <w:szCs w:val="21"/>
              </w:rPr>
            </w:pPr>
          </w:p>
        </w:tc>
        <w:tc>
          <w:tcPr>
            <w:tcW w:w="722" w:type="pct"/>
            <w:noWrap w:val="0"/>
            <w:vAlign w:val="center"/>
          </w:tcPr>
          <w:p>
            <w:pPr>
              <w:widowControl/>
              <w:jc w:val="center"/>
              <w:rPr>
                <w:rFonts w:hint="eastAsia" w:ascii="仿宋_GB2312" w:hAnsi="仿宋_GB2312" w:eastAsia="仿宋_GB2312" w:cs="仿宋_GB2312"/>
                <w:b/>
                <w:kern w:val="0"/>
                <w:sz w:val="21"/>
                <w:szCs w:val="21"/>
                <w:lang w:val="en-US" w:eastAsia="zh-CN" w:bidi="ar-SA"/>
              </w:rPr>
            </w:pPr>
            <w:r>
              <w:rPr>
                <w:rFonts w:hint="eastAsia" w:ascii="仿宋_GB2312" w:hAnsi="仿宋_GB2312" w:eastAsia="仿宋_GB2312" w:cs="仿宋_GB2312"/>
                <w:b/>
                <w:kern w:val="0"/>
                <w:sz w:val="21"/>
                <w:szCs w:val="21"/>
                <w:lang w:val="en-US" w:eastAsia="zh-CN"/>
              </w:rPr>
              <w:t>1</w:t>
            </w:r>
            <w:r>
              <w:rPr>
                <w:rFonts w:hint="eastAsia" w:ascii="仿宋_GB2312" w:hAnsi="仿宋_GB2312" w:cs="仿宋_GB2312"/>
                <w:b/>
                <w:kern w:val="0"/>
                <w:sz w:val="21"/>
                <w:szCs w:val="21"/>
                <w:lang w:val="en-US" w:eastAsia="zh-CN"/>
              </w:rPr>
              <w:t>6</w:t>
            </w:r>
            <w:r>
              <w:rPr>
                <w:rFonts w:hint="eastAsia" w:ascii="仿宋_GB2312" w:hAnsi="仿宋_GB2312" w:eastAsia="仿宋_GB2312" w:cs="仿宋_GB2312"/>
                <w:b/>
                <w:kern w:val="0"/>
                <w:sz w:val="21"/>
                <w:szCs w:val="21"/>
                <w:lang w:val="en-US" w:eastAsia="zh-CN"/>
              </w:rPr>
              <w:t>.5</w:t>
            </w:r>
          </w:p>
        </w:tc>
      </w:tr>
    </w:tbl>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3" w:firstLineChars="200"/>
        <w:textAlignment w:val="auto"/>
        <w:rPr>
          <w:rFonts w:hint="eastAsia" w:ascii="仿宋_GB2312" w:hAnsi="仿宋_GB2312" w:eastAsia="仿宋_GB2312" w:cs="仿宋_GB2312"/>
          <w:b/>
          <w:bCs w:val="0"/>
          <w:kern w:val="0"/>
          <w:sz w:val="32"/>
          <w:szCs w:val="32"/>
          <w:lang w:val="en-US" w:eastAsia="zh-CN" w:bidi="ar-SA"/>
        </w:rPr>
      </w:pPr>
      <w:r>
        <w:rPr>
          <w:rFonts w:hint="eastAsia" w:ascii="仿宋_GB2312" w:hAnsi="仿宋_GB2312" w:eastAsia="仿宋_GB2312" w:cs="仿宋_GB2312"/>
          <w:b/>
          <w:bCs w:val="0"/>
          <w:kern w:val="0"/>
          <w:sz w:val="32"/>
          <w:szCs w:val="32"/>
          <w:lang w:val="en-US" w:eastAsia="zh-CN" w:bidi="ar-SA"/>
        </w:rPr>
        <w:t>2.项目过程情况</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bidi="ar-SA"/>
        </w:rPr>
      </w:pPr>
      <w:r>
        <w:rPr>
          <w:rFonts w:hint="eastAsia" w:ascii="仿宋_GB2312" w:hAnsi="仿宋_GB2312" w:eastAsia="仿宋_GB2312" w:cs="仿宋_GB2312"/>
          <w:bCs/>
          <w:kern w:val="0"/>
          <w:sz w:val="32"/>
          <w:szCs w:val="32"/>
          <w:lang w:val="en-US" w:eastAsia="zh-CN" w:bidi="ar-SA"/>
        </w:rPr>
        <w:t>过程指标从资金管理、组织实施两个方面对项目的过程情况进行考察。过程类指标权重20分，实际得分20分，得分率为100%。指标的得分情况如表1-2所示。</w:t>
      </w:r>
    </w:p>
    <w:p>
      <w:pPr>
        <w:widowControl/>
        <w:spacing w:before="204" w:beforeLines="50"/>
        <w:jc w:val="center"/>
        <w:rPr>
          <w:rFonts w:ascii="仿宋" w:hAnsi="仿宋" w:cs="宋体"/>
          <w:b/>
          <w:bCs/>
          <w:kern w:val="0"/>
          <w:sz w:val="24"/>
        </w:rPr>
      </w:pPr>
      <w:r>
        <w:rPr>
          <w:rFonts w:hint="eastAsia" w:ascii="仿宋" w:hAnsi="仿宋" w:cs="宋体"/>
          <w:b/>
          <w:bCs/>
          <w:kern w:val="0"/>
          <w:sz w:val="24"/>
        </w:rPr>
        <w:t>表1-2  过程指标得分情况</w:t>
      </w:r>
    </w:p>
    <w:tbl>
      <w:tblPr>
        <w:tblStyle w:val="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0"/>
        <w:gridCol w:w="1106"/>
        <w:gridCol w:w="1328"/>
        <w:gridCol w:w="1179"/>
        <w:gridCol w:w="1212"/>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549"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三级指标</w:t>
            </w:r>
          </w:p>
        </w:tc>
        <w:tc>
          <w:tcPr>
            <w:tcW w:w="649"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权重</w:t>
            </w:r>
          </w:p>
        </w:tc>
        <w:tc>
          <w:tcPr>
            <w:tcW w:w="779"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目标值</w:t>
            </w:r>
          </w:p>
        </w:tc>
        <w:tc>
          <w:tcPr>
            <w:tcW w:w="692"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业绩值</w:t>
            </w:r>
          </w:p>
        </w:tc>
        <w:tc>
          <w:tcPr>
            <w:tcW w:w="711"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得分率</w:t>
            </w:r>
          </w:p>
        </w:tc>
        <w:tc>
          <w:tcPr>
            <w:tcW w:w="617"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资金到位率</w:t>
            </w:r>
          </w:p>
        </w:tc>
        <w:tc>
          <w:tcPr>
            <w:tcW w:w="64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bidi="ar"/>
              </w:rPr>
              <w:t>2</w:t>
            </w:r>
          </w:p>
        </w:tc>
        <w:tc>
          <w:tcPr>
            <w:tcW w:w="779" w:type="pct"/>
            <w:noWrap w:val="0"/>
            <w:vAlign w:val="top"/>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100%</w:t>
            </w:r>
          </w:p>
        </w:tc>
        <w:tc>
          <w:tcPr>
            <w:tcW w:w="692" w:type="pct"/>
            <w:noWrap w:val="0"/>
            <w:vAlign w:val="top"/>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100%</w:t>
            </w:r>
          </w:p>
        </w:tc>
        <w:tc>
          <w:tcPr>
            <w:tcW w:w="71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color w:val="000000"/>
                <w:kern w:val="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预算执行率</w:t>
            </w:r>
          </w:p>
        </w:tc>
        <w:tc>
          <w:tcPr>
            <w:tcW w:w="64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bidi="ar"/>
              </w:rPr>
              <w:t>4</w:t>
            </w:r>
          </w:p>
        </w:tc>
        <w:tc>
          <w:tcPr>
            <w:tcW w:w="779" w:type="pct"/>
            <w:noWrap w:val="0"/>
            <w:vAlign w:val="top"/>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100%</w:t>
            </w:r>
          </w:p>
        </w:tc>
        <w:tc>
          <w:tcPr>
            <w:tcW w:w="692" w:type="pct"/>
            <w:noWrap w:val="0"/>
            <w:vAlign w:val="top"/>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100%</w:t>
            </w:r>
          </w:p>
        </w:tc>
        <w:tc>
          <w:tcPr>
            <w:tcW w:w="71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color w:val="000000"/>
                <w:kern w:val="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资金使用合规性</w:t>
            </w:r>
          </w:p>
        </w:tc>
        <w:tc>
          <w:tcPr>
            <w:tcW w:w="64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bidi="ar"/>
              </w:rPr>
              <w:t>2</w:t>
            </w:r>
          </w:p>
        </w:tc>
        <w:tc>
          <w:tcPr>
            <w:tcW w:w="779" w:type="pct"/>
            <w:noWrap w:val="0"/>
            <w:vAlign w:val="top"/>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规范</w:t>
            </w:r>
          </w:p>
        </w:tc>
        <w:tc>
          <w:tcPr>
            <w:tcW w:w="692" w:type="pct"/>
            <w:noWrap w:val="0"/>
            <w:vAlign w:val="top"/>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规范</w:t>
            </w:r>
          </w:p>
        </w:tc>
        <w:tc>
          <w:tcPr>
            <w:tcW w:w="71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color w:val="000000"/>
                <w:kern w:val="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管理制度健全性</w:t>
            </w:r>
          </w:p>
        </w:tc>
        <w:tc>
          <w:tcPr>
            <w:tcW w:w="64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bidi="ar"/>
              </w:rPr>
              <w:t>4</w:t>
            </w:r>
          </w:p>
        </w:tc>
        <w:tc>
          <w:tcPr>
            <w:tcW w:w="779" w:type="pct"/>
            <w:noWrap w:val="0"/>
            <w:vAlign w:val="top"/>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健全</w:t>
            </w:r>
          </w:p>
        </w:tc>
        <w:tc>
          <w:tcPr>
            <w:tcW w:w="692" w:type="pct"/>
            <w:noWrap w:val="0"/>
            <w:vAlign w:val="top"/>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健全</w:t>
            </w:r>
          </w:p>
        </w:tc>
        <w:tc>
          <w:tcPr>
            <w:tcW w:w="71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color w:val="000000"/>
                <w:kern w:val="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bidi="ar"/>
              </w:rPr>
              <w:t>政府采购合规性</w:t>
            </w:r>
          </w:p>
        </w:tc>
        <w:tc>
          <w:tcPr>
            <w:tcW w:w="64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bidi="ar"/>
              </w:rPr>
              <w:t>4</w:t>
            </w:r>
          </w:p>
        </w:tc>
        <w:tc>
          <w:tcPr>
            <w:tcW w:w="77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eastAsia="zh-Hans" w:bidi="ar"/>
              </w:rPr>
              <w:t>规范</w:t>
            </w:r>
          </w:p>
        </w:tc>
        <w:tc>
          <w:tcPr>
            <w:tcW w:w="692"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color w:val="000000"/>
                <w:kern w:val="0"/>
                <w:sz w:val="21"/>
                <w:szCs w:val="21"/>
                <w:lang w:eastAsia="zh-Hans" w:bidi="ar"/>
              </w:rPr>
              <w:t>规范</w:t>
            </w:r>
          </w:p>
        </w:tc>
        <w:tc>
          <w:tcPr>
            <w:tcW w:w="71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color w:val="000000"/>
                <w:kern w:val="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adjustRightInd w:val="0"/>
              <w:snapToGrid w:val="0"/>
              <w:jc w:val="center"/>
              <w:textAlignment w:val="center"/>
              <w:rPr>
                <w:rFonts w:hint="eastAsia" w:ascii="仿宋_GB2312" w:hAnsi="仿宋_GB2312" w:eastAsia="仿宋_GB2312" w:cs="仿宋_GB2312"/>
                <w:b/>
                <w:kern w:val="0"/>
                <w:sz w:val="21"/>
                <w:szCs w:val="21"/>
              </w:rPr>
            </w:pPr>
            <w:r>
              <w:rPr>
                <w:rFonts w:hint="eastAsia" w:ascii="仿宋_GB2312" w:hAnsi="仿宋_GB2312" w:eastAsia="仿宋_GB2312" w:cs="仿宋_GB2312"/>
                <w:color w:val="000000"/>
                <w:kern w:val="0"/>
                <w:sz w:val="21"/>
                <w:szCs w:val="21"/>
                <w:lang w:bidi="ar"/>
              </w:rPr>
              <w:t>合同管理规范性</w:t>
            </w:r>
          </w:p>
        </w:tc>
        <w:tc>
          <w:tcPr>
            <w:tcW w:w="64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bidi="ar"/>
              </w:rPr>
              <w:t>4</w:t>
            </w:r>
          </w:p>
        </w:tc>
        <w:tc>
          <w:tcPr>
            <w:tcW w:w="77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eastAsia="zh-Hans" w:bidi="ar"/>
              </w:rPr>
              <w:t>规范</w:t>
            </w:r>
          </w:p>
        </w:tc>
        <w:tc>
          <w:tcPr>
            <w:tcW w:w="692"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color w:val="000000"/>
                <w:kern w:val="0"/>
                <w:sz w:val="21"/>
                <w:szCs w:val="21"/>
                <w:lang w:eastAsia="zh-Hans" w:bidi="ar"/>
              </w:rPr>
              <w:t>规范</w:t>
            </w:r>
          </w:p>
        </w:tc>
        <w:tc>
          <w:tcPr>
            <w:tcW w:w="71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color w:val="000000"/>
                <w:kern w:val="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jc w:val="center"/>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合计</w:t>
            </w:r>
          </w:p>
        </w:tc>
        <w:tc>
          <w:tcPr>
            <w:tcW w:w="649" w:type="pct"/>
            <w:noWrap w:val="0"/>
            <w:vAlign w:val="center"/>
          </w:tcPr>
          <w:p>
            <w:pPr>
              <w:widowControl/>
              <w:jc w:val="center"/>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20</w:t>
            </w:r>
          </w:p>
        </w:tc>
        <w:tc>
          <w:tcPr>
            <w:tcW w:w="779" w:type="pct"/>
            <w:noWrap w:val="0"/>
            <w:vAlign w:val="center"/>
          </w:tcPr>
          <w:p>
            <w:pPr>
              <w:widowControl/>
              <w:jc w:val="center"/>
              <w:rPr>
                <w:rFonts w:hint="eastAsia" w:ascii="仿宋_GB2312" w:hAnsi="仿宋_GB2312" w:eastAsia="仿宋_GB2312" w:cs="仿宋_GB2312"/>
                <w:b/>
                <w:kern w:val="0"/>
                <w:sz w:val="21"/>
                <w:szCs w:val="21"/>
              </w:rPr>
            </w:pPr>
          </w:p>
        </w:tc>
        <w:tc>
          <w:tcPr>
            <w:tcW w:w="692" w:type="pct"/>
            <w:noWrap w:val="0"/>
            <w:vAlign w:val="center"/>
          </w:tcPr>
          <w:p>
            <w:pPr>
              <w:widowControl/>
              <w:jc w:val="center"/>
              <w:rPr>
                <w:rFonts w:hint="eastAsia" w:ascii="仿宋_GB2312" w:hAnsi="仿宋_GB2312" w:eastAsia="仿宋_GB2312" w:cs="仿宋_GB2312"/>
                <w:b/>
                <w:kern w:val="0"/>
                <w:sz w:val="21"/>
                <w:szCs w:val="21"/>
                <w:lang w:val="en-US" w:eastAsia="zh-CN" w:bidi="ar-SA"/>
              </w:rPr>
            </w:pPr>
          </w:p>
        </w:tc>
        <w:tc>
          <w:tcPr>
            <w:tcW w:w="711" w:type="pct"/>
            <w:noWrap w:val="0"/>
            <w:vAlign w:val="center"/>
          </w:tcPr>
          <w:p>
            <w:pPr>
              <w:widowControl/>
              <w:jc w:val="center"/>
              <w:textAlignment w:val="center"/>
              <w:rPr>
                <w:rFonts w:hint="eastAsia" w:ascii="仿宋_GB2312" w:hAnsi="仿宋_GB2312" w:eastAsia="仿宋_GB2312" w:cs="仿宋_GB2312"/>
                <w:b/>
                <w:bCs/>
                <w:color w:val="000000"/>
                <w:sz w:val="21"/>
                <w:szCs w:val="21"/>
              </w:rPr>
            </w:pPr>
          </w:p>
        </w:tc>
        <w:tc>
          <w:tcPr>
            <w:tcW w:w="617" w:type="pct"/>
            <w:noWrap w:val="0"/>
            <w:vAlign w:val="center"/>
          </w:tcPr>
          <w:p>
            <w:pPr>
              <w:widowControl/>
              <w:jc w:val="center"/>
              <w:rPr>
                <w:rFonts w:hint="eastAsia" w:ascii="仿宋_GB2312" w:hAnsi="仿宋_GB2312" w:eastAsia="仿宋_GB2312" w:cs="仿宋_GB2312"/>
                <w:b/>
                <w:kern w:val="0"/>
                <w:sz w:val="21"/>
                <w:szCs w:val="21"/>
                <w:lang w:val="en-US" w:eastAsia="zh-CN" w:bidi="ar-SA"/>
              </w:rPr>
            </w:pPr>
            <w:r>
              <w:rPr>
                <w:rFonts w:hint="eastAsia" w:ascii="仿宋_GB2312" w:hAnsi="仿宋_GB2312" w:eastAsia="仿宋_GB2312" w:cs="仿宋_GB2312"/>
                <w:b/>
                <w:kern w:val="0"/>
                <w:sz w:val="21"/>
                <w:szCs w:val="21"/>
              </w:rPr>
              <w:t>20</w:t>
            </w:r>
          </w:p>
        </w:tc>
      </w:tr>
    </w:tbl>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3" w:firstLineChars="200"/>
        <w:textAlignment w:val="auto"/>
        <w:rPr>
          <w:rFonts w:hint="eastAsia" w:ascii="仿宋_GB2312" w:hAnsi="仿宋_GB2312" w:eastAsia="仿宋_GB2312" w:cs="仿宋_GB2312"/>
          <w:b/>
          <w:bCs w:val="0"/>
          <w:kern w:val="0"/>
          <w:sz w:val="32"/>
          <w:szCs w:val="32"/>
          <w:lang w:val="en-US" w:eastAsia="zh-CN" w:bidi="ar-SA"/>
        </w:rPr>
      </w:pPr>
      <w:r>
        <w:rPr>
          <w:rFonts w:hint="eastAsia" w:ascii="仿宋_GB2312" w:hAnsi="仿宋_GB2312" w:eastAsia="仿宋_GB2312" w:cs="仿宋_GB2312"/>
          <w:b/>
          <w:bCs w:val="0"/>
          <w:kern w:val="0"/>
          <w:sz w:val="32"/>
          <w:szCs w:val="32"/>
          <w:lang w:val="en-US" w:eastAsia="zh-CN" w:bidi="ar-SA"/>
        </w:rPr>
        <w:t>3.项目产出情况</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bidi="ar-SA"/>
        </w:rPr>
      </w:pPr>
      <w:r>
        <w:rPr>
          <w:rFonts w:hint="eastAsia" w:ascii="仿宋_GB2312" w:hAnsi="仿宋_GB2312" w:eastAsia="仿宋_GB2312" w:cs="仿宋_GB2312"/>
          <w:bCs/>
          <w:kern w:val="0"/>
          <w:sz w:val="32"/>
          <w:szCs w:val="32"/>
          <w:lang w:val="en-US" w:eastAsia="zh-CN" w:bidi="ar-SA"/>
        </w:rPr>
        <w:t>产出指标从数量、质量、时效、成本等方面进行考察。产出类指标权重25分，实际得分25分，得分率为100%。产出指标的得分情况如表1-3所示。</w:t>
      </w:r>
    </w:p>
    <w:p>
      <w:pPr>
        <w:widowControl/>
        <w:jc w:val="center"/>
        <w:rPr>
          <w:rFonts w:ascii="仿宋" w:hAnsi="仿宋" w:cs="宋体"/>
          <w:b/>
          <w:bCs/>
          <w:kern w:val="0"/>
          <w:sz w:val="24"/>
        </w:rPr>
      </w:pPr>
      <w:r>
        <w:rPr>
          <w:rFonts w:hint="eastAsia" w:ascii="仿宋" w:hAnsi="仿宋" w:cs="宋体"/>
          <w:b/>
          <w:bCs/>
          <w:kern w:val="0"/>
          <w:sz w:val="24"/>
        </w:rPr>
        <w:t>表1-3  产出指标得分情况</w:t>
      </w:r>
    </w:p>
    <w:tbl>
      <w:tblPr>
        <w:tblStyle w:val="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7"/>
        <w:gridCol w:w="1233"/>
        <w:gridCol w:w="1212"/>
        <w:gridCol w:w="1328"/>
        <w:gridCol w:w="1187"/>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506" w:type="pct"/>
            <w:shd w:val="clear" w:color="000000" w:fill="A6A6A6"/>
            <w:noWrap w:val="0"/>
            <w:vAlign w:val="center"/>
          </w:tcPr>
          <w:p>
            <w:pPr>
              <w:widowControl/>
              <w:jc w:val="center"/>
              <w:rPr>
                <w:rFonts w:hint="eastAsia" w:ascii="仿宋" w:hAnsi="仿宋" w:cs="宋体"/>
                <w:b/>
                <w:bCs/>
                <w:kern w:val="0"/>
                <w:sz w:val="21"/>
                <w:szCs w:val="21"/>
              </w:rPr>
            </w:pPr>
            <w:r>
              <w:rPr>
                <w:rFonts w:hint="eastAsia" w:ascii="仿宋" w:hAnsi="仿宋" w:cs="宋体"/>
                <w:b/>
                <w:bCs/>
                <w:kern w:val="0"/>
                <w:sz w:val="21"/>
                <w:szCs w:val="21"/>
              </w:rPr>
              <w:t>四级指标</w:t>
            </w:r>
          </w:p>
        </w:tc>
        <w:tc>
          <w:tcPr>
            <w:tcW w:w="723"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权重</w:t>
            </w:r>
          </w:p>
        </w:tc>
        <w:tc>
          <w:tcPr>
            <w:tcW w:w="711"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目标值</w:t>
            </w:r>
          </w:p>
        </w:tc>
        <w:tc>
          <w:tcPr>
            <w:tcW w:w="779"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业绩值</w:t>
            </w:r>
          </w:p>
        </w:tc>
        <w:tc>
          <w:tcPr>
            <w:tcW w:w="696"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得分率</w:t>
            </w:r>
          </w:p>
        </w:tc>
        <w:tc>
          <w:tcPr>
            <w:tcW w:w="581"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506"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项目完成率</w:t>
            </w:r>
          </w:p>
        </w:tc>
        <w:tc>
          <w:tcPr>
            <w:tcW w:w="723"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w:t>
            </w:r>
          </w:p>
        </w:tc>
        <w:tc>
          <w:tcPr>
            <w:tcW w:w="71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77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696"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58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6"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项目验收合格率</w:t>
            </w:r>
          </w:p>
        </w:tc>
        <w:tc>
          <w:tcPr>
            <w:tcW w:w="723"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5</w:t>
            </w:r>
          </w:p>
        </w:tc>
        <w:tc>
          <w:tcPr>
            <w:tcW w:w="71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77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696"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58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6"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Hans"/>
              </w:rPr>
              <w:t>项目完成</w:t>
            </w:r>
            <w:r>
              <w:rPr>
                <w:rFonts w:hint="eastAsia" w:ascii="仿宋_GB2312" w:hAnsi="仿宋_GB2312" w:eastAsia="仿宋_GB2312" w:cs="仿宋_GB2312"/>
                <w:kern w:val="0"/>
                <w:sz w:val="21"/>
                <w:szCs w:val="21"/>
                <w:lang w:val="en-US" w:eastAsia="zh-CN"/>
              </w:rPr>
              <w:t>及时率</w:t>
            </w:r>
          </w:p>
        </w:tc>
        <w:tc>
          <w:tcPr>
            <w:tcW w:w="723"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5</w:t>
            </w:r>
          </w:p>
        </w:tc>
        <w:tc>
          <w:tcPr>
            <w:tcW w:w="71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779"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696"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58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6"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项目成本控制率</w:t>
            </w:r>
          </w:p>
        </w:tc>
        <w:tc>
          <w:tcPr>
            <w:tcW w:w="723"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5</w:t>
            </w:r>
          </w:p>
        </w:tc>
        <w:tc>
          <w:tcPr>
            <w:tcW w:w="71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779" w:type="pct"/>
            <w:noWrap w:val="0"/>
            <w:vAlign w:val="center"/>
          </w:tcPr>
          <w:p>
            <w:pPr>
              <w:widowControl/>
              <w:adjustRightInd w:val="0"/>
              <w:snapToGrid w:val="0"/>
              <w:jc w:val="center"/>
              <w:textAlignment w:val="center"/>
              <w:rPr>
                <w:rFonts w:hint="default" w:ascii="仿宋_GB2312" w:hAnsi="仿宋_GB2312" w:eastAsia="仿宋_GB2312" w:cs="仿宋_GB2312"/>
                <w:kern w:val="0"/>
                <w:sz w:val="21"/>
                <w:szCs w:val="21"/>
                <w:lang w:val="en-US" w:eastAsia="zh-CN"/>
              </w:rPr>
            </w:pPr>
            <w:r>
              <w:rPr>
                <w:rFonts w:hint="eastAsia" w:ascii="仿宋_GB2312" w:hAnsi="仿宋_GB2312" w:cs="仿宋_GB2312"/>
                <w:kern w:val="0"/>
                <w:sz w:val="21"/>
                <w:szCs w:val="21"/>
                <w:lang w:val="en-US" w:eastAsia="zh-CN"/>
              </w:rPr>
              <w:t>96.53%</w:t>
            </w:r>
          </w:p>
        </w:tc>
        <w:tc>
          <w:tcPr>
            <w:tcW w:w="696"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w:t>
            </w:r>
          </w:p>
        </w:tc>
        <w:tc>
          <w:tcPr>
            <w:tcW w:w="581" w:type="pct"/>
            <w:noWrap w:val="0"/>
            <w:vAlign w:val="center"/>
          </w:tcPr>
          <w:p>
            <w:pPr>
              <w:widowControl/>
              <w:adjustRightInd w:val="0"/>
              <w:snapToGrid w:val="0"/>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506" w:type="pct"/>
            <w:noWrap w:val="0"/>
            <w:vAlign w:val="center"/>
          </w:tcPr>
          <w:p>
            <w:pPr>
              <w:widowControl/>
              <w:jc w:val="center"/>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合计</w:t>
            </w:r>
          </w:p>
        </w:tc>
        <w:tc>
          <w:tcPr>
            <w:tcW w:w="723" w:type="pct"/>
            <w:noWrap w:val="0"/>
            <w:vAlign w:val="center"/>
          </w:tcPr>
          <w:p>
            <w:pPr>
              <w:widowControl/>
              <w:jc w:val="center"/>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25</w:t>
            </w:r>
          </w:p>
        </w:tc>
        <w:tc>
          <w:tcPr>
            <w:tcW w:w="711" w:type="pct"/>
            <w:noWrap w:val="0"/>
            <w:vAlign w:val="center"/>
          </w:tcPr>
          <w:p>
            <w:pPr>
              <w:widowControl/>
              <w:jc w:val="center"/>
              <w:rPr>
                <w:rFonts w:hint="eastAsia" w:ascii="仿宋_GB2312" w:hAnsi="仿宋_GB2312" w:eastAsia="仿宋_GB2312" w:cs="仿宋_GB2312"/>
                <w:b/>
                <w:kern w:val="0"/>
                <w:sz w:val="21"/>
                <w:szCs w:val="21"/>
              </w:rPr>
            </w:pPr>
          </w:p>
        </w:tc>
        <w:tc>
          <w:tcPr>
            <w:tcW w:w="779" w:type="pct"/>
            <w:noWrap w:val="0"/>
            <w:vAlign w:val="center"/>
          </w:tcPr>
          <w:p>
            <w:pPr>
              <w:widowControl/>
              <w:jc w:val="center"/>
              <w:rPr>
                <w:rFonts w:hint="eastAsia" w:ascii="仿宋_GB2312" w:hAnsi="仿宋_GB2312" w:eastAsia="仿宋_GB2312" w:cs="仿宋_GB2312"/>
                <w:b/>
                <w:kern w:val="0"/>
                <w:sz w:val="21"/>
                <w:szCs w:val="21"/>
              </w:rPr>
            </w:pPr>
          </w:p>
        </w:tc>
        <w:tc>
          <w:tcPr>
            <w:tcW w:w="696" w:type="pct"/>
            <w:noWrap w:val="0"/>
            <w:vAlign w:val="center"/>
          </w:tcPr>
          <w:p>
            <w:pPr>
              <w:widowControl/>
              <w:jc w:val="center"/>
              <w:rPr>
                <w:rFonts w:hint="eastAsia" w:ascii="仿宋_GB2312" w:hAnsi="仿宋_GB2312" w:eastAsia="仿宋_GB2312" w:cs="仿宋_GB2312"/>
                <w:b/>
                <w:kern w:val="0"/>
                <w:sz w:val="21"/>
                <w:szCs w:val="21"/>
              </w:rPr>
            </w:pPr>
          </w:p>
        </w:tc>
        <w:tc>
          <w:tcPr>
            <w:tcW w:w="581" w:type="pct"/>
            <w:noWrap w:val="0"/>
            <w:vAlign w:val="center"/>
          </w:tcPr>
          <w:p>
            <w:pPr>
              <w:widowControl/>
              <w:jc w:val="center"/>
              <w:rPr>
                <w:rFonts w:hint="eastAsia" w:ascii="仿宋_GB2312" w:hAnsi="仿宋_GB2312" w:eastAsia="仿宋_GB2312" w:cs="仿宋_GB2312"/>
                <w:b/>
                <w:kern w:val="0"/>
                <w:sz w:val="21"/>
                <w:szCs w:val="21"/>
                <w:lang w:val="en-US" w:eastAsia="zh-CN"/>
              </w:rPr>
            </w:pPr>
            <w:r>
              <w:rPr>
                <w:rFonts w:hint="eastAsia" w:ascii="仿宋_GB2312" w:hAnsi="仿宋_GB2312" w:eastAsia="仿宋_GB2312" w:cs="仿宋_GB2312"/>
                <w:b/>
                <w:kern w:val="0"/>
                <w:sz w:val="21"/>
                <w:szCs w:val="21"/>
                <w:lang w:val="en-US" w:eastAsia="zh-CN"/>
              </w:rPr>
              <w:t>25</w:t>
            </w:r>
          </w:p>
        </w:tc>
      </w:tr>
    </w:tbl>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3" w:firstLineChars="200"/>
        <w:textAlignment w:val="auto"/>
        <w:rPr>
          <w:rFonts w:hint="eastAsia" w:ascii="仿宋_GB2312" w:hAnsi="仿宋_GB2312" w:eastAsia="仿宋_GB2312" w:cs="仿宋_GB2312"/>
          <w:b/>
          <w:bCs w:val="0"/>
          <w:kern w:val="0"/>
          <w:sz w:val="32"/>
          <w:szCs w:val="32"/>
          <w:lang w:val="en-US" w:eastAsia="zh-CN" w:bidi="ar-SA"/>
        </w:rPr>
      </w:pPr>
      <w:r>
        <w:rPr>
          <w:rFonts w:hint="eastAsia" w:ascii="仿宋_GB2312" w:hAnsi="仿宋_GB2312" w:eastAsia="仿宋_GB2312" w:cs="仿宋_GB2312"/>
          <w:b/>
          <w:bCs w:val="0"/>
          <w:kern w:val="0"/>
          <w:sz w:val="32"/>
          <w:szCs w:val="32"/>
          <w:lang w:val="en-US" w:eastAsia="zh-CN" w:bidi="ar-SA"/>
        </w:rPr>
        <w:t>4.项目效益情况</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bidi="ar-SA"/>
        </w:rPr>
      </w:pPr>
      <w:r>
        <w:rPr>
          <w:rFonts w:hint="eastAsia" w:ascii="仿宋_GB2312" w:hAnsi="仿宋_GB2312" w:eastAsia="仿宋_GB2312" w:cs="仿宋_GB2312"/>
          <w:bCs/>
          <w:kern w:val="0"/>
          <w:sz w:val="32"/>
          <w:szCs w:val="32"/>
          <w:lang w:val="en-US" w:eastAsia="zh-CN" w:bidi="ar-SA"/>
        </w:rPr>
        <w:t>效益指标主要从社会效益、经济效益、可持续影响、服务对象满意度等方面进行考察，效益类指标权重35分，实际得分30.2分，得分率为86.29%。效果指标的得分情况如表1-4所示。</w:t>
      </w:r>
    </w:p>
    <w:p>
      <w:pPr>
        <w:widowControl/>
        <w:jc w:val="center"/>
        <w:rPr>
          <w:rFonts w:ascii="仿宋" w:hAnsi="仿宋" w:cs="宋体"/>
          <w:b/>
          <w:bCs/>
          <w:kern w:val="0"/>
          <w:sz w:val="24"/>
        </w:rPr>
      </w:pPr>
      <w:r>
        <w:rPr>
          <w:rFonts w:hint="eastAsia" w:ascii="仿宋" w:hAnsi="仿宋" w:cs="宋体"/>
          <w:b/>
          <w:bCs/>
          <w:kern w:val="0"/>
          <w:sz w:val="24"/>
        </w:rPr>
        <w:t>表1-4  效果指标得分情况</w:t>
      </w:r>
    </w:p>
    <w:tbl>
      <w:tblPr>
        <w:tblStyle w:val="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3"/>
        <w:gridCol w:w="762"/>
        <w:gridCol w:w="1503"/>
        <w:gridCol w:w="1345"/>
        <w:gridCol w:w="1149"/>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627" w:type="pct"/>
            <w:shd w:val="clear" w:color="000000" w:fill="A6A6A6"/>
            <w:noWrap w:val="0"/>
            <w:vAlign w:val="center"/>
          </w:tcPr>
          <w:p>
            <w:pPr>
              <w:widowControl/>
              <w:jc w:val="center"/>
              <w:rPr>
                <w:rFonts w:ascii="仿宋" w:hAnsi="仿宋" w:cs="宋体"/>
                <w:b/>
                <w:bCs/>
                <w:kern w:val="0"/>
                <w:sz w:val="21"/>
                <w:szCs w:val="21"/>
              </w:rPr>
            </w:pPr>
            <w:r>
              <w:rPr>
                <w:rFonts w:hint="eastAsia" w:ascii="仿宋" w:hAnsi="仿宋" w:cs="宋体"/>
                <w:b/>
                <w:bCs/>
                <w:kern w:val="0"/>
                <w:sz w:val="21"/>
                <w:szCs w:val="21"/>
              </w:rPr>
              <w:t>四</w:t>
            </w:r>
            <w:r>
              <w:rPr>
                <w:rFonts w:ascii="仿宋" w:hAnsi="仿宋" w:cs="宋体"/>
                <w:b/>
                <w:bCs/>
                <w:kern w:val="0"/>
                <w:sz w:val="21"/>
                <w:szCs w:val="21"/>
              </w:rPr>
              <w:t>级指标</w:t>
            </w:r>
          </w:p>
        </w:tc>
        <w:tc>
          <w:tcPr>
            <w:tcW w:w="447"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权重</w:t>
            </w:r>
          </w:p>
        </w:tc>
        <w:tc>
          <w:tcPr>
            <w:tcW w:w="882"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目标值</w:t>
            </w:r>
          </w:p>
        </w:tc>
        <w:tc>
          <w:tcPr>
            <w:tcW w:w="789"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业绩值</w:t>
            </w:r>
          </w:p>
        </w:tc>
        <w:tc>
          <w:tcPr>
            <w:tcW w:w="674"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得分率</w:t>
            </w:r>
          </w:p>
        </w:tc>
        <w:tc>
          <w:tcPr>
            <w:tcW w:w="578"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627"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bidi="ar"/>
              </w:rPr>
              <w:t>工程事故发生数</w:t>
            </w:r>
          </w:p>
        </w:tc>
        <w:tc>
          <w:tcPr>
            <w:tcW w:w="447"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bidi="ar"/>
              </w:rPr>
              <w:t>6</w:t>
            </w:r>
          </w:p>
        </w:tc>
        <w:tc>
          <w:tcPr>
            <w:tcW w:w="882"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bidi="ar"/>
              </w:rPr>
              <w:t>0</w:t>
            </w:r>
          </w:p>
        </w:tc>
        <w:tc>
          <w:tcPr>
            <w:tcW w:w="789"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bidi="ar"/>
              </w:rPr>
              <w:t>0</w:t>
            </w:r>
          </w:p>
        </w:tc>
        <w:tc>
          <w:tcPr>
            <w:tcW w:w="674"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100%</w:t>
            </w:r>
          </w:p>
        </w:tc>
        <w:tc>
          <w:tcPr>
            <w:tcW w:w="578"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627"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eastAsia="zh-CN" w:bidi="ar"/>
              </w:rPr>
              <w:t>生活服务配套问题</w:t>
            </w:r>
            <w:r>
              <w:rPr>
                <w:rFonts w:hint="eastAsia" w:ascii="仿宋" w:hAnsi="仿宋" w:eastAsia="仿宋" w:cs="仿宋"/>
                <w:color w:val="000000"/>
                <w:kern w:val="0"/>
                <w:sz w:val="21"/>
                <w:szCs w:val="21"/>
                <w:lang w:bidi="ar"/>
              </w:rPr>
              <w:t>解决程度</w:t>
            </w:r>
          </w:p>
        </w:tc>
        <w:tc>
          <w:tcPr>
            <w:tcW w:w="447"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bidi="ar"/>
              </w:rPr>
              <w:t>6</w:t>
            </w:r>
          </w:p>
        </w:tc>
        <w:tc>
          <w:tcPr>
            <w:tcW w:w="882"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bidi="ar"/>
              </w:rPr>
              <w:t>显著</w:t>
            </w:r>
          </w:p>
        </w:tc>
        <w:tc>
          <w:tcPr>
            <w:tcW w:w="789"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bidi="ar"/>
              </w:rPr>
              <w:t>显著</w:t>
            </w:r>
          </w:p>
        </w:tc>
        <w:tc>
          <w:tcPr>
            <w:tcW w:w="674"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val="en-US" w:eastAsia="zh-CN" w:bidi="ar"/>
              </w:rPr>
              <w:t>100%</w:t>
            </w:r>
          </w:p>
        </w:tc>
        <w:tc>
          <w:tcPr>
            <w:tcW w:w="578"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627"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bidi="ar"/>
              </w:rPr>
              <w:t>市民投诉率</w:t>
            </w:r>
          </w:p>
        </w:tc>
        <w:tc>
          <w:tcPr>
            <w:tcW w:w="447"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bidi="ar"/>
              </w:rPr>
              <w:t>6</w:t>
            </w:r>
          </w:p>
        </w:tc>
        <w:tc>
          <w:tcPr>
            <w:tcW w:w="882"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bidi="ar"/>
              </w:rPr>
              <w:t>同比下降</w:t>
            </w:r>
          </w:p>
        </w:tc>
        <w:tc>
          <w:tcPr>
            <w:tcW w:w="789"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bidi="ar"/>
              </w:rPr>
              <w:t>同比下降</w:t>
            </w:r>
          </w:p>
        </w:tc>
        <w:tc>
          <w:tcPr>
            <w:tcW w:w="674" w:type="pct"/>
            <w:noWrap w:val="0"/>
            <w:vAlign w:val="center"/>
          </w:tcPr>
          <w:p>
            <w:pPr>
              <w:widowControl/>
              <w:adjustRightInd w:val="0"/>
              <w:snapToGrid w:val="0"/>
              <w:jc w:val="center"/>
              <w:textAlignment w:val="center"/>
              <w:rPr>
                <w:rFonts w:hint="eastAsia" w:ascii="仿宋" w:hAnsi="仿宋" w:eastAsia="仿宋" w:cs="仿宋"/>
                <w:kern w:val="0"/>
                <w:sz w:val="21"/>
                <w:szCs w:val="21"/>
              </w:rPr>
            </w:pPr>
            <w:r>
              <w:rPr>
                <w:rFonts w:hint="eastAsia" w:ascii="仿宋" w:hAnsi="仿宋" w:eastAsia="仿宋" w:cs="仿宋"/>
                <w:color w:val="000000"/>
                <w:kern w:val="0"/>
                <w:sz w:val="21"/>
                <w:szCs w:val="21"/>
                <w:lang w:val="en-US" w:eastAsia="zh-CN" w:bidi="ar"/>
              </w:rPr>
              <w:t>100%</w:t>
            </w:r>
          </w:p>
        </w:tc>
        <w:tc>
          <w:tcPr>
            <w:tcW w:w="578"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627" w:type="pct"/>
            <w:noWrap w:val="0"/>
            <w:vAlign w:val="center"/>
          </w:tcPr>
          <w:p>
            <w:pPr>
              <w:widowControl/>
              <w:adjustRightInd w:val="0"/>
              <w:snapToGrid w:val="0"/>
              <w:jc w:val="center"/>
              <w:textAlignment w:val="center"/>
              <w:rPr>
                <w:rFonts w:hint="eastAsia" w:ascii="仿宋" w:hAnsi="仿宋" w:eastAsia="仿宋" w:cs="仿宋"/>
                <w:kern w:val="0"/>
                <w:sz w:val="21"/>
                <w:szCs w:val="21"/>
                <w:lang w:eastAsia="zh-CN"/>
              </w:rPr>
            </w:pPr>
            <w:r>
              <w:rPr>
                <w:rFonts w:hint="eastAsia" w:ascii="仿宋" w:hAnsi="仿宋" w:eastAsia="仿宋" w:cs="仿宋"/>
                <w:color w:val="000000"/>
                <w:kern w:val="0"/>
                <w:sz w:val="21"/>
                <w:szCs w:val="21"/>
                <w:lang w:eastAsia="zh-CN" w:bidi="ar"/>
              </w:rPr>
              <w:t>经济影响</w:t>
            </w:r>
          </w:p>
        </w:tc>
        <w:tc>
          <w:tcPr>
            <w:tcW w:w="447"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bidi="ar"/>
              </w:rPr>
              <w:t>6</w:t>
            </w:r>
          </w:p>
        </w:tc>
        <w:tc>
          <w:tcPr>
            <w:tcW w:w="882" w:type="pct"/>
            <w:noWrap w:val="0"/>
            <w:vAlign w:val="center"/>
          </w:tcPr>
          <w:p>
            <w:pPr>
              <w:widowControl/>
              <w:adjustRightInd w:val="0"/>
              <w:snapToGrid w:val="0"/>
              <w:jc w:val="center"/>
              <w:textAlignment w:val="center"/>
              <w:rPr>
                <w:rFonts w:hint="eastAsia" w:ascii="仿宋" w:hAnsi="仿宋" w:eastAsia="仿宋" w:cs="仿宋"/>
                <w:kern w:val="0"/>
                <w:sz w:val="21"/>
                <w:szCs w:val="21"/>
                <w:lang w:eastAsia="zh-CN"/>
              </w:rPr>
            </w:pPr>
            <w:r>
              <w:rPr>
                <w:rFonts w:hint="eastAsia" w:ascii="仿宋" w:hAnsi="仿宋" w:eastAsia="仿宋" w:cs="仿宋"/>
                <w:color w:val="000000"/>
                <w:kern w:val="0"/>
                <w:sz w:val="21"/>
                <w:szCs w:val="21"/>
                <w:lang w:eastAsia="zh-CN" w:bidi="ar"/>
              </w:rPr>
              <w:t>显著</w:t>
            </w:r>
          </w:p>
        </w:tc>
        <w:tc>
          <w:tcPr>
            <w:tcW w:w="789"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eastAsia="zh-CN" w:bidi="ar"/>
              </w:rPr>
              <w:t>一般</w:t>
            </w:r>
          </w:p>
        </w:tc>
        <w:tc>
          <w:tcPr>
            <w:tcW w:w="674"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rPr>
            </w:pPr>
            <w:r>
              <w:rPr>
                <w:rFonts w:hint="eastAsia" w:ascii="仿宋" w:hAnsi="仿宋" w:eastAsia="仿宋" w:cs="仿宋"/>
                <w:color w:val="000000"/>
                <w:kern w:val="0"/>
                <w:sz w:val="21"/>
                <w:szCs w:val="21"/>
                <w:lang w:val="en-US" w:eastAsia="zh-CN" w:bidi="ar"/>
              </w:rPr>
              <w:t>60%</w:t>
            </w:r>
          </w:p>
        </w:tc>
        <w:tc>
          <w:tcPr>
            <w:tcW w:w="578" w:type="pct"/>
            <w:noWrap w:val="0"/>
            <w:vAlign w:val="center"/>
          </w:tcPr>
          <w:p>
            <w:pPr>
              <w:widowControl/>
              <w:adjustRightInd w:val="0"/>
              <w:snapToGrid w:val="0"/>
              <w:jc w:val="center"/>
              <w:textAlignment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627" w:type="pct"/>
            <w:noWrap w:val="0"/>
            <w:vAlign w:val="center"/>
          </w:tcPr>
          <w:p>
            <w:pPr>
              <w:widowControl/>
              <w:adjustRightInd w:val="0"/>
              <w:snapToGrid w:val="0"/>
              <w:jc w:val="center"/>
              <w:textAlignment w:val="center"/>
              <w:rPr>
                <w:rFonts w:hint="eastAsia" w:ascii="仿宋" w:hAnsi="仿宋" w:eastAsia="仿宋" w:cs="仿宋"/>
                <w:kern w:val="0"/>
                <w:sz w:val="21"/>
                <w:szCs w:val="21"/>
              </w:rPr>
            </w:pPr>
            <w:r>
              <w:rPr>
                <w:rFonts w:hint="eastAsia" w:ascii="仿宋" w:hAnsi="仿宋" w:eastAsia="仿宋" w:cs="仿宋"/>
                <w:color w:val="000000"/>
                <w:kern w:val="0"/>
                <w:sz w:val="21"/>
                <w:szCs w:val="21"/>
                <w:lang w:bidi="ar"/>
              </w:rPr>
              <w:t>后续</w:t>
            </w:r>
            <w:r>
              <w:rPr>
                <w:rFonts w:hint="eastAsia" w:ascii="仿宋" w:hAnsi="仿宋" w:eastAsia="仿宋" w:cs="仿宋"/>
                <w:color w:val="000000"/>
                <w:kern w:val="0"/>
                <w:sz w:val="21"/>
                <w:szCs w:val="21"/>
                <w:lang w:eastAsia="zh-CN" w:bidi="ar"/>
              </w:rPr>
              <w:t>运营</w:t>
            </w:r>
            <w:r>
              <w:rPr>
                <w:rFonts w:hint="eastAsia" w:ascii="仿宋" w:hAnsi="仿宋" w:eastAsia="仿宋" w:cs="仿宋"/>
                <w:color w:val="000000"/>
                <w:kern w:val="0"/>
                <w:sz w:val="21"/>
                <w:szCs w:val="21"/>
                <w:lang w:bidi="ar"/>
              </w:rPr>
              <w:t>机制健全程度</w:t>
            </w:r>
          </w:p>
        </w:tc>
        <w:tc>
          <w:tcPr>
            <w:tcW w:w="447"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6</w:t>
            </w:r>
          </w:p>
        </w:tc>
        <w:tc>
          <w:tcPr>
            <w:tcW w:w="882" w:type="pct"/>
            <w:noWrap w:val="0"/>
            <w:vAlign w:val="center"/>
          </w:tcPr>
          <w:p>
            <w:pPr>
              <w:widowControl/>
              <w:adjustRightInd w:val="0"/>
              <w:snapToGrid w:val="0"/>
              <w:jc w:val="center"/>
              <w:textAlignment w:val="center"/>
              <w:rPr>
                <w:rFonts w:hint="eastAsia" w:ascii="仿宋" w:hAnsi="仿宋" w:eastAsia="仿宋" w:cs="仿宋"/>
                <w:kern w:val="0"/>
                <w:sz w:val="21"/>
                <w:szCs w:val="21"/>
              </w:rPr>
            </w:pPr>
            <w:r>
              <w:rPr>
                <w:rFonts w:hint="eastAsia" w:ascii="仿宋" w:hAnsi="仿宋" w:eastAsia="仿宋" w:cs="仿宋"/>
                <w:color w:val="000000"/>
                <w:kern w:val="0"/>
                <w:sz w:val="21"/>
                <w:szCs w:val="21"/>
                <w:lang w:bidi="ar"/>
              </w:rPr>
              <w:t>建立健全</w:t>
            </w:r>
          </w:p>
        </w:tc>
        <w:tc>
          <w:tcPr>
            <w:tcW w:w="789"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eastAsia="zh-CN" w:bidi="ar"/>
              </w:rPr>
              <w:t>需完善</w:t>
            </w:r>
          </w:p>
        </w:tc>
        <w:tc>
          <w:tcPr>
            <w:tcW w:w="674" w:type="pct"/>
            <w:noWrap w:val="0"/>
            <w:vAlign w:val="center"/>
          </w:tcPr>
          <w:p>
            <w:pPr>
              <w:widowControl/>
              <w:adjustRightInd w:val="0"/>
              <w:snapToGrid w:val="0"/>
              <w:jc w:val="center"/>
              <w:textAlignment w:val="center"/>
              <w:rPr>
                <w:rFonts w:hint="default" w:ascii="仿宋" w:hAnsi="仿宋" w:eastAsia="仿宋" w:cs="仿宋"/>
                <w:kern w:val="0"/>
                <w:sz w:val="21"/>
                <w:szCs w:val="21"/>
                <w:lang w:val="en-US"/>
              </w:rPr>
            </w:pPr>
            <w:r>
              <w:rPr>
                <w:rFonts w:hint="eastAsia" w:ascii="仿宋" w:hAnsi="仿宋" w:eastAsia="仿宋" w:cs="仿宋"/>
                <w:color w:val="000000"/>
                <w:kern w:val="0"/>
                <w:sz w:val="21"/>
                <w:szCs w:val="21"/>
                <w:lang w:val="en-US" w:eastAsia="zh-CN" w:bidi="ar"/>
              </w:rPr>
              <w:t>60%</w:t>
            </w:r>
          </w:p>
        </w:tc>
        <w:tc>
          <w:tcPr>
            <w:tcW w:w="578" w:type="pct"/>
            <w:noWrap w:val="0"/>
            <w:vAlign w:val="center"/>
          </w:tcPr>
          <w:p>
            <w:pPr>
              <w:widowControl/>
              <w:adjustRightInd w:val="0"/>
              <w:snapToGrid w:val="0"/>
              <w:jc w:val="center"/>
              <w:textAlignment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627" w:type="pct"/>
            <w:noWrap w:val="0"/>
            <w:vAlign w:val="center"/>
          </w:tcPr>
          <w:p>
            <w:pPr>
              <w:widowControl/>
              <w:adjustRightInd w:val="0"/>
              <w:snapToGrid w:val="0"/>
              <w:jc w:val="center"/>
              <w:textAlignment w:val="center"/>
              <w:rPr>
                <w:rFonts w:hint="eastAsia" w:ascii="仿宋" w:hAnsi="仿宋" w:eastAsia="仿宋" w:cs="仿宋"/>
                <w:kern w:val="0"/>
                <w:sz w:val="21"/>
                <w:szCs w:val="21"/>
              </w:rPr>
            </w:pPr>
            <w:r>
              <w:rPr>
                <w:rFonts w:hint="eastAsia" w:ascii="仿宋" w:hAnsi="仿宋" w:eastAsia="仿宋" w:cs="仿宋"/>
                <w:color w:val="000000"/>
                <w:kern w:val="0"/>
                <w:sz w:val="21"/>
                <w:szCs w:val="21"/>
                <w:lang w:bidi="ar"/>
              </w:rPr>
              <w:t>居民满意度</w:t>
            </w:r>
          </w:p>
        </w:tc>
        <w:tc>
          <w:tcPr>
            <w:tcW w:w="447" w:type="pct"/>
            <w:noWrap w:val="0"/>
            <w:vAlign w:val="center"/>
          </w:tcPr>
          <w:p>
            <w:pPr>
              <w:widowControl/>
              <w:adjustRightInd w:val="0"/>
              <w:snapToGrid w:val="0"/>
              <w:jc w:val="center"/>
              <w:textAlignment w:val="center"/>
              <w:rPr>
                <w:rFonts w:hint="eastAsia" w:ascii="仿宋" w:hAnsi="仿宋" w:eastAsia="仿宋" w:cs="仿宋"/>
                <w:kern w:val="0"/>
                <w:sz w:val="21"/>
                <w:szCs w:val="21"/>
                <w:lang w:eastAsia="zh-CN"/>
              </w:rPr>
            </w:pPr>
            <w:r>
              <w:rPr>
                <w:rFonts w:hint="eastAsia" w:ascii="仿宋" w:hAnsi="仿宋" w:eastAsia="仿宋" w:cs="仿宋"/>
                <w:color w:val="000000"/>
                <w:kern w:val="0"/>
                <w:sz w:val="21"/>
                <w:szCs w:val="21"/>
                <w:lang w:val="en-US" w:eastAsia="zh-CN" w:bidi="ar"/>
              </w:rPr>
              <w:t>5</w:t>
            </w:r>
          </w:p>
        </w:tc>
        <w:tc>
          <w:tcPr>
            <w:tcW w:w="882" w:type="pct"/>
            <w:noWrap w:val="0"/>
            <w:vAlign w:val="center"/>
          </w:tcPr>
          <w:p>
            <w:pPr>
              <w:widowControl/>
              <w:jc w:val="center"/>
              <w:textAlignment w:val="center"/>
              <w:rPr>
                <w:rFonts w:hint="eastAsia" w:ascii="仿宋" w:hAnsi="仿宋" w:eastAsia="仿宋" w:cs="仿宋"/>
                <w:kern w:val="0"/>
                <w:sz w:val="21"/>
                <w:szCs w:val="21"/>
              </w:rPr>
            </w:pPr>
            <w:r>
              <w:rPr>
                <w:rFonts w:hint="eastAsia" w:ascii="仿宋" w:hAnsi="仿宋" w:eastAsia="仿宋" w:cs="仿宋"/>
                <w:kern w:val="0"/>
                <w:sz w:val="21"/>
                <w:szCs w:val="21"/>
              </w:rPr>
              <w:t>≥90%</w:t>
            </w:r>
          </w:p>
        </w:tc>
        <w:tc>
          <w:tcPr>
            <w:tcW w:w="789" w:type="pct"/>
            <w:noWrap w:val="0"/>
            <w:vAlign w:val="center"/>
          </w:tcPr>
          <w:p>
            <w:pPr>
              <w:widowControl/>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9</w:t>
            </w:r>
            <w:r>
              <w:rPr>
                <w:rFonts w:hint="eastAsia" w:ascii="仿宋" w:hAnsi="仿宋" w:eastAsia="仿宋" w:cs="仿宋"/>
                <w:kern w:val="0"/>
                <w:sz w:val="21"/>
                <w:szCs w:val="21"/>
                <w:lang w:val="en-US" w:eastAsia="zh-CN"/>
              </w:rPr>
              <w:t>3.2</w:t>
            </w:r>
            <w:r>
              <w:rPr>
                <w:rFonts w:hint="eastAsia" w:ascii="仿宋" w:hAnsi="仿宋" w:eastAsia="仿宋" w:cs="仿宋"/>
                <w:kern w:val="0"/>
                <w:sz w:val="21"/>
                <w:szCs w:val="21"/>
              </w:rPr>
              <w:t>%</w:t>
            </w:r>
          </w:p>
        </w:tc>
        <w:tc>
          <w:tcPr>
            <w:tcW w:w="674" w:type="pct"/>
            <w:noWrap w:val="0"/>
            <w:vAlign w:val="center"/>
          </w:tcPr>
          <w:p>
            <w:pPr>
              <w:widowControl/>
              <w:adjustRightInd w:val="0"/>
              <w:snapToGrid w:val="0"/>
              <w:jc w:val="center"/>
              <w:textAlignment w:val="center"/>
              <w:rPr>
                <w:rFonts w:hint="eastAsia" w:ascii="仿宋" w:hAnsi="仿宋" w:eastAsia="仿宋" w:cs="仿宋"/>
                <w:kern w:val="0"/>
                <w:sz w:val="21"/>
                <w:szCs w:val="21"/>
              </w:rPr>
            </w:pPr>
            <w:r>
              <w:rPr>
                <w:rFonts w:hint="eastAsia" w:ascii="仿宋" w:hAnsi="仿宋" w:eastAsia="仿宋" w:cs="仿宋"/>
                <w:color w:val="000000"/>
                <w:kern w:val="0"/>
                <w:sz w:val="21"/>
                <w:szCs w:val="21"/>
                <w:lang w:val="en-US" w:eastAsia="zh-CN" w:bidi="ar"/>
              </w:rPr>
              <w:t>100%</w:t>
            </w:r>
          </w:p>
        </w:tc>
        <w:tc>
          <w:tcPr>
            <w:tcW w:w="578"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627" w:type="pct"/>
            <w:noWrap w:val="0"/>
            <w:vAlign w:val="center"/>
          </w:tcPr>
          <w:p>
            <w:pPr>
              <w:widowControl/>
              <w:jc w:val="center"/>
              <w:rPr>
                <w:rFonts w:hint="eastAsia" w:ascii="仿宋" w:hAnsi="仿宋" w:eastAsia="仿宋" w:cs="仿宋"/>
                <w:b/>
                <w:kern w:val="0"/>
                <w:sz w:val="21"/>
                <w:szCs w:val="21"/>
              </w:rPr>
            </w:pPr>
            <w:r>
              <w:rPr>
                <w:rFonts w:hint="eastAsia" w:ascii="仿宋" w:hAnsi="仿宋" w:eastAsia="仿宋" w:cs="仿宋"/>
                <w:b/>
                <w:kern w:val="0"/>
                <w:sz w:val="21"/>
                <w:szCs w:val="21"/>
              </w:rPr>
              <w:t>合计</w:t>
            </w:r>
          </w:p>
        </w:tc>
        <w:tc>
          <w:tcPr>
            <w:tcW w:w="447" w:type="pct"/>
            <w:noWrap w:val="0"/>
            <w:vAlign w:val="center"/>
          </w:tcPr>
          <w:p>
            <w:pPr>
              <w:widowControl/>
              <w:jc w:val="center"/>
              <w:rPr>
                <w:rFonts w:hint="eastAsia" w:ascii="仿宋" w:hAnsi="仿宋" w:eastAsia="仿宋" w:cs="仿宋"/>
                <w:b/>
                <w:kern w:val="0"/>
                <w:sz w:val="21"/>
                <w:szCs w:val="21"/>
              </w:rPr>
            </w:pPr>
            <w:r>
              <w:rPr>
                <w:rFonts w:hint="eastAsia" w:ascii="仿宋" w:hAnsi="仿宋" w:eastAsia="仿宋" w:cs="仿宋"/>
                <w:b/>
                <w:kern w:val="0"/>
                <w:sz w:val="21"/>
                <w:szCs w:val="21"/>
              </w:rPr>
              <w:t>35</w:t>
            </w:r>
          </w:p>
        </w:tc>
        <w:tc>
          <w:tcPr>
            <w:tcW w:w="882" w:type="pct"/>
            <w:noWrap w:val="0"/>
            <w:vAlign w:val="center"/>
          </w:tcPr>
          <w:p>
            <w:pPr>
              <w:widowControl/>
              <w:jc w:val="center"/>
              <w:rPr>
                <w:rFonts w:hint="eastAsia" w:ascii="仿宋" w:hAnsi="仿宋" w:eastAsia="仿宋" w:cs="仿宋"/>
                <w:b/>
                <w:kern w:val="0"/>
                <w:sz w:val="21"/>
                <w:szCs w:val="21"/>
              </w:rPr>
            </w:pPr>
            <w:r>
              <w:rPr>
                <w:rFonts w:hint="eastAsia" w:ascii="仿宋" w:hAnsi="仿宋" w:eastAsia="仿宋" w:cs="仿宋"/>
                <w:b/>
                <w:kern w:val="0"/>
                <w:sz w:val="21"/>
                <w:szCs w:val="21"/>
              </w:rPr>
              <w:t>-</w:t>
            </w:r>
          </w:p>
        </w:tc>
        <w:tc>
          <w:tcPr>
            <w:tcW w:w="789" w:type="pct"/>
            <w:noWrap w:val="0"/>
            <w:vAlign w:val="center"/>
          </w:tcPr>
          <w:p>
            <w:pPr>
              <w:widowControl/>
              <w:jc w:val="center"/>
              <w:rPr>
                <w:rFonts w:hint="eastAsia" w:ascii="仿宋" w:hAnsi="仿宋" w:eastAsia="仿宋" w:cs="仿宋"/>
                <w:b/>
                <w:kern w:val="0"/>
                <w:sz w:val="21"/>
                <w:szCs w:val="21"/>
              </w:rPr>
            </w:pPr>
          </w:p>
        </w:tc>
        <w:tc>
          <w:tcPr>
            <w:tcW w:w="674" w:type="pct"/>
            <w:noWrap w:val="0"/>
            <w:vAlign w:val="center"/>
          </w:tcPr>
          <w:p>
            <w:pPr>
              <w:widowControl/>
              <w:jc w:val="center"/>
              <w:textAlignment w:val="center"/>
              <w:rPr>
                <w:rFonts w:hint="eastAsia" w:ascii="仿宋" w:hAnsi="仿宋" w:eastAsia="仿宋" w:cs="仿宋"/>
                <w:b/>
                <w:kern w:val="0"/>
                <w:sz w:val="21"/>
                <w:szCs w:val="21"/>
              </w:rPr>
            </w:pPr>
          </w:p>
        </w:tc>
        <w:tc>
          <w:tcPr>
            <w:tcW w:w="578" w:type="pct"/>
            <w:noWrap w:val="0"/>
            <w:vAlign w:val="center"/>
          </w:tcPr>
          <w:p>
            <w:pPr>
              <w:widowControl/>
              <w:jc w:val="center"/>
              <w:textAlignment w:val="center"/>
              <w:rPr>
                <w:rFonts w:hint="default" w:ascii="仿宋" w:hAnsi="仿宋" w:eastAsia="仿宋" w:cs="仿宋"/>
                <w:b/>
                <w:kern w:val="0"/>
                <w:sz w:val="21"/>
                <w:szCs w:val="21"/>
                <w:lang w:val="en-US" w:eastAsia="zh-CN"/>
              </w:rPr>
            </w:pPr>
            <w:r>
              <w:rPr>
                <w:rFonts w:hint="eastAsia" w:ascii="仿宋" w:hAnsi="仿宋" w:eastAsia="仿宋" w:cs="仿宋"/>
                <w:b/>
                <w:kern w:val="0"/>
                <w:sz w:val="21"/>
                <w:szCs w:val="21"/>
                <w:lang w:val="en-US" w:eastAsia="zh-CN"/>
              </w:rPr>
              <w:t>30.2</w:t>
            </w:r>
          </w:p>
        </w:tc>
      </w:tr>
    </w:tbl>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楷体_GB2312" w:eastAsia="楷体_GB2312"/>
          <w:sz w:val="32"/>
          <w:szCs w:val="32"/>
        </w:rPr>
      </w:pPr>
      <w:r>
        <w:rPr>
          <w:rFonts w:hint="eastAsia" w:ascii="楷体_GB2312" w:eastAsia="楷体_GB2312"/>
          <w:sz w:val="32"/>
          <w:szCs w:val="32"/>
        </w:rPr>
        <w:t>（六）问题和建议</w:t>
      </w:r>
      <w:bookmarkEnd w:id="6"/>
    </w:p>
    <w:p>
      <w:pPr>
        <w:pStyle w:val="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1.问题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1</w:t>
      </w:r>
      <w:r>
        <w:rPr>
          <w:rFonts w:hint="eastAsia" w:ascii="仿宋_GB2312" w:hAnsi="仿宋_GB2312" w:eastAsia="仿宋_GB2312" w:cs="仿宋_GB2312"/>
          <w:bCs/>
          <w:kern w:val="0"/>
          <w:sz w:val="32"/>
          <w:szCs w:val="32"/>
        </w:rPr>
        <w:t>）绩效</w:t>
      </w:r>
      <w:r>
        <w:rPr>
          <w:rFonts w:hint="eastAsia" w:ascii="仿宋_GB2312" w:hAnsi="仿宋_GB2312" w:eastAsia="仿宋_GB2312" w:cs="仿宋_GB2312"/>
          <w:bCs/>
          <w:kern w:val="0"/>
          <w:sz w:val="32"/>
          <w:szCs w:val="32"/>
          <w:lang w:eastAsia="zh-CN"/>
        </w:rPr>
        <w:t>目标仍需细化</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bCs/>
          <w:kern w:val="0"/>
          <w:sz w:val="32"/>
          <w:szCs w:val="32"/>
        </w:rPr>
        <w:t>绩效目标贯穿项目实施的整个周期，指导着项目的实施方向，</w:t>
      </w:r>
      <w:r>
        <w:rPr>
          <w:rFonts w:hint="eastAsia" w:ascii="仿宋_GB2312" w:hAnsi="仿宋_GB2312" w:eastAsia="仿宋_GB2312" w:cs="仿宋_GB2312"/>
          <w:bCs/>
          <w:kern w:val="0"/>
          <w:sz w:val="32"/>
          <w:szCs w:val="32"/>
          <w:lang w:eastAsia="zh-CN"/>
        </w:rPr>
        <w:t>应该制定与资金量相匹配的、可量化的“绩”和“效”，</w:t>
      </w:r>
      <w:r>
        <w:rPr>
          <w:rFonts w:hint="eastAsia" w:ascii="仿宋_GB2312" w:hAnsi="仿宋_GB2312" w:eastAsia="仿宋_GB2312" w:cs="仿宋_GB2312"/>
          <w:bCs/>
          <w:kern w:val="0"/>
          <w:sz w:val="32"/>
          <w:szCs w:val="32"/>
        </w:rPr>
        <w:t>对项目实施的各个阶段进行考核、监督和引导。</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2</w:t>
      </w:r>
      <w:r>
        <w:rPr>
          <w:rFonts w:hint="eastAsia" w:ascii="仿宋_GB2312" w:hAnsi="仿宋_GB2312" w:eastAsia="仿宋_GB2312" w:cs="仿宋_GB2312"/>
          <w:bCs/>
          <w:kern w:val="0"/>
          <w:sz w:val="32"/>
          <w:szCs w:val="32"/>
          <w:lang w:eastAsia="zh-CN"/>
        </w:rPr>
        <w:t>）运营机制仍需加强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在后续运营中，</w:t>
      </w:r>
      <w:r>
        <w:rPr>
          <w:rFonts w:hint="eastAsia" w:ascii="仿宋_GB2312" w:hAnsi="仿宋_GB2312" w:eastAsia="仿宋_GB2312" w:cs="仿宋_GB2312"/>
          <w:bCs/>
          <w:kern w:val="0"/>
          <w:sz w:val="32"/>
          <w:szCs w:val="32"/>
        </w:rPr>
        <w:t>该项目</w:t>
      </w:r>
      <w:r>
        <w:rPr>
          <w:rFonts w:hint="eastAsia" w:ascii="仿宋_GB2312" w:hAnsi="仿宋_GB2312" w:eastAsia="仿宋_GB2312" w:cs="仿宋_GB2312"/>
          <w:bCs/>
          <w:kern w:val="0"/>
          <w:sz w:val="32"/>
          <w:szCs w:val="32"/>
          <w:lang w:eastAsia="zh-CN"/>
        </w:rPr>
        <w:t>虽已落地部分业态，但仍有面积空置未得到有效利用，项目效能未得到最大限度的发挥，运营管理水平仍需提高。</w:t>
      </w:r>
    </w:p>
    <w:p>
      <w:pPr>
        <w:pStyle w:val="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2.建议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1</w:t>
      </w:r>
      <w:r>
        <w:rPr>
          <w:rFonts w:hint="eastAsia" w:ascii="仿宋_GB2312" w:hAnsi="仿宋_GB2312" w:eastAsia="仿宋_GB2312" w:cs="仿宋_GB2312"/>
          <w:bCs/>
          <w:kern w:val="0"/>
          <w:sz w:val="32"/>
          <w:szCs w:val="32"/>
          <w:lang w:eastAsia="zh-CN"/>
        </w:rPr>
        <w:t>）强化预算编制意识，加强预算绩效管理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1.强化预算部门主体责任。各部门作为预算编制的主体，应高度重视预算编制工作，结合年度目标工作任务，统筹考虑部门预算收支安排情况，编制切实可行的部门预算。</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2.建立重预算、重绩效的文化氛围和良好环境。提高工作人员的绩效管理意识、责任意识，并将绩效管理实施情况纳入考核体系，真正使预算绩效管理有一个良好的发展环境。增强相关人员对预算绩效管理的实际操作能力，实现其稳步发展，使预算工作更为合理，目标更为明确，达到提质增效的目的。</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bidi="ar-SA"/>
        </w:rPr>
      </w:pPr>
      <w:r>
        <w:rPr>
          <w:rFonts w:hint="eastAsia" w:ascii="仿宋_GB2312" w:hAnsi="仿宋_GB2312" w:eastAsia="仿宋_GB2312" w:cs="仿宋_GB2312"/>
          <w:bCs/>
          <w:kern w:val="0"/>
          <w:sz w:val="32"/>
          <w:szCs w:val="32"/>
          <w:lang w:val="en-US" w:eastAsia="zh-CN" w:bidi="ar-SA"/>
        </w:rPr>
        <w:t>（2）健全运营管理机制，发挥项目最大效能</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bidi="ar-SA"/>
        </w:rPr>
      </w:pPr>
      <w:r>
        <w:rPr>
          <w:rFonts w:hint="eastAsia" w:ascii="仿宋_GB2312" w:hAnsi="仿宋_GB2312" w:eastAsia="仿宋_GB2312" w:cs="仿宋_GB2312"/>
          <w:bCs/>
          <w:kern w:val="0"/>
          <w:sz w:val="32"/>
          <w:szCs w:val="32"/>
          <w:lang w:val="en-US" w:eastAsia="zh-CN" w:bidi="ar-SA"/>
        </w:rPr>
        <w:t>建议坚持“民生功能，优先配置”原则，并将其发扬为主要特征，为邻里中心配备各项基础服务功能，并以不低于45%面积保证落实。打造从“柴米油盐酱醋茶”到“衣食住行玩乐闲”的一站式商业业态组合，从根本上满足了居民对社区生活配套的需求和期待。</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楷体_GB2312" w:eastAsia="楷体_GB2312"/>
          <w:sz w:val="32"/>
          <w:szCs w:val="32"/>
        </w:rPr>
      </w:pPr>
      <w:bookmarkStart w:id="7" w:name="_Toc22582"/>
      <w:r>
        <w:rPr>
          <w:rFonts w:hint="eastAsia" w:ascii="楷体_GB2312" w:eastAsia="楷体_GB2312"/>
          <w:sz w:val="32"/>
          <w:szCs w:val="32"/>
        </w:rPr>
        <w:t>（七）结论</w:t>
      </w:r>
      <w:bookmarkEnd w:id="7"/>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bookmarkStart w:id="8" w:name="_Toc8739"/>
      <w:r>
        <w:rPr>
          <w:rFonts w:hint="eastAsia" w:ascii="仿宋_GB2312" w:hAnsi="仿宋_GB2312" w:eastAsia="仿宋_GB2312" w:cs="仿宋_GB2312"/>
          <w:bCs/>
          <w:kern w:val="0"/>
          <w:sz w:val="32"/>
          <w:szCs w:val="32"/>
        </w:rPr>
        <w:t>从总体上看，</w:t>
      </w:r>
      <w:r>
        <w:rPr>
          <w:rFonts w:hint="eastAsia" w:ascii="仿宋_GB2312" w:hAnsi="仿宋_GB2312" w:eastAsia="仿宋_GB2312" w:cs="仿宋_GB2312"/>
          <w:bCs/>
          <w:kern w:val="0"/>
          <w:sz w:val="32"/>
          <w:szCs w:val="32"/>
          <w:lang w:val="en-US" w:eastAsia="zh-CN"/>
        </w:rPr>
        <w:t>2号邻里中心项目</w:t>
      </w:r>
      <w:r>
        <w:rPr>
          <w:rFonts w:hint="eastAsia" w:ascii="仿宋_GB2312" w:hAnsi="仿宋_GB2312" w:eastAsia="仿宋_GB2312" w:cs="仿宋_GB2312"/>
          <w:bCs/>
          <w:kern w:val="0"/>
          <w:sz w:val="32"/>
          <w:szCs w:val="32"/>
        </w:rPr>
        <w:t>发挥了</w:t>
      </w:r>
      <w:r>
        <w:rPr>
          <w:rFonts w:hint="eastAsia" w:ascii="仿宋_GB2312" w:hAnsi="仿宋_GB2312" w:eastAsia="仿宋_GB2312" w:cs="仿宋_GB2312"/>
          <w:bCs/>
          <w:kern w:val="0"/>
          <w:sz w:val="32"/>
          <w:szCs w:val="32"/>
          <w:lang w:eastAsia="zh-CN"/>
        </w:rPr>
        <w:t>较好</w:t>
      </w:r>
      <w:r>
        <w:rPr>
          <w:rFonts w:hint="eastAsia" w:ascii="仿宋_GB2312" w:hAnsi="仿宋_GB2312" w:eastAsia="仿宋_GB2312" w:cs="仿宋_GB2312"/>
          <w:bCs/>
          <w:kern w:val="0"/>
          <w:sz w:val="32"/>
          <w:szCs w:val="32"/>
        </w:rPr>
        <w:t>的作用。但在实际评价过程中，发现工作中</w:t>
      </w:r>
      <w:r>
        <w:rPr>
          <w:rFonts w:hint="eastAsia" w:ascii="仿宋_GB2312" w:hAnsi="仿宋_GB2312" w:eastAsia="仿宋_GB2312" w:cs="仿宋_GB2312"/>
          <w:bCs/>
          <w:kern w:val="0"/>
          <w:sz w:val="32"/>
          <w:szCs w:val="32"/>
          <w:lang w:eastAsia="zh-CN"/>
        </w:rPr>
        <w:t>仍</w:t>
      </w:r>
      <w:r>
        <w:rPr>
          <w:rFonts w:hint="eastAsia" w:ascii="仿宋_GB2312" w:hAnsi="仿宋_GB2312" w:eastAsia="仿宋_GB2312" w:cs="仿宋_GB2312"/>
          <w:bCs/>
          <w:kern w:val="0"/>
          <w:sz w:val="32"/>
          <w:szCs w:val="32"/>
        </w:rPr>
        <w:t>存在绩效</w:t>
      </w:r>
      <w:r>
        <w:rPr>
          <w:rFonts w:hint="eastAsia" w:ascii="仿宋_GB2312" w:hAnsi="仿宋_GB2312" w:eastAsia="仿宋_GB2312" w:cs="仿宋_GB2312"/>
          <w:bCs/>
          <w:kern w:val="0"/>
          <w:sz w:val="32"/>
          <w:szCs w:val="32"/>
          <w:lang w:eastAsia="zh-CN"/>
        </w:rPr>
        <w:t>目标不细化、运营机制需完善</w:t>
      </w:r>
      <w:r>
        <w:rPr>
          <w:rFonts w:hint="eastAsia" w:ascii="仿宋_GB2312" w:hAnsi="仿宋_GB2312" w:eastAsia="仿宋_GB2312" w:cs="仿宋_GB2312"/>
          <w:bCs/>
          <w:kern w:val="0"/>
          <w:sz w:val="32"/>
          <w:szCs w:val="32"/>
        </w:rPr>
        <w:t>等问题，</w:t>
      </w:r>
      <w:r>
        <w:rPr>
          <w:rFonts w:hint="eastAsia" w:ascii="仿宋_GB2312" w:hAnsi="仿宋_GB2312" w:eastAsia="仿宋_GB2312" w:cs="仿宋_GB2312"/>
          <w:bCs/>
          <w:kern w:val="0"/>
          <w:sz w:val="32"/>
          <w:szCs w:val="32"/>
          <w:lang w:eastAsia="zh-CN"/>
        </w:rPr>
        <w:t>应在</w:t>
      </w:r>
      <w:r>
        <w:rPr>
          <w:rFonts w:hint="eastAsia" w:ascii="仿宋_GB2312" w:hAnsi="仿宋_GB2312" w:eastAsia="仿宋_GB2312" w:cs="仿宋_GB2312"/>
          <w:bCs/>
          <w:kern w:val="0"/>
          <w:sz w:val="32"/>
          <w:szCs w:val="32"/>
        </w:rPr>
        <w:t>今后的工作中予以调整和完善。</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按照确认的指标评价体系及评分标准，通过前期调研、基础数据填报、访谈、问卷调查、现场核查，分析后进行独立客观公正的评判，最终评分结果如下：</w:t>
      </w:r>
      <w:r>
        <w:rPr>
          <w:rFonts w:hint="eastAsia" w:ascii="仿宋_GB2312" w:hAnsi="仿宋_GB2312" w:eastAsia="仿宋_GB2312" w:cs="仿宋_GB2312"/>
          <w:bCs/>
          <w:kern w:val="0"/>
          <w:sz w:val="32"/>
          <w:szCs w:val="32"/>
          <w:lang w:val="en-US" w:eastAsia="zh-CN"/>
        </w:rPr>
        <w:t>91.7</w:t>
      </w:r>
      <w:r>
        <w:rPr>
          <w:rFonts w:hint="eastAsia" w:ascii="仿宋_GB2312" w:hAnsi="仿宋_GB2312" w:eastAsia="仿宋_GB2312" w:cs="仿宋_GB2312"/>
          <w:bCs/>
          <w:kern w:val="0"/>
          <w:sz w:val="32"/>
          <w:szCs w:val="32"/>
        </w:rPr>
        <w:t>分，绩效评级为“</w:t>
      </w:r>
      <w:r>
        <w:rPr>
          <w:rFonts w:hint="eastAsia" w:ascii="仿宋_GB2312" w:hAnsi="仿宋_GB2312" w:eastAsia="仿宋_GB2312" w:cs="仿宋_GB2312"/>
          <w:bCs/>
          <w:kern w:val="0"/>
          <w:sz w:val="32"/>
          <w:szCs w:val="32"/>
          <w:lang w:eastAsia="zh-CN"/>
        </w:rPr>
        <w:t>优</w:t>
      </w:r>
      <w:r>
        <w:rPr>
          <w:rFonts w:hint="eastAsia" w:ascii="仿宋_GB2312" w:hAnsi="仿宋_GB2312" w:eastAsia="仿宋_GB2312" w:cs="仿宋_GB2312"/>
          <w:bCs/>
          <w:kern w:val="0"/>
          <w:sz w:val="32"/>
          <w:szCs w:val="32"/>
        </w:rPr>
        <w:t>”。各部分权重和得分情况见表1-5。</w:t>
      </w:r>
    </w:p>
    <w:p>
      <w:pPr>
        <w:spacing w:line="560" w:lineRule="exact"/>
        <w:ind w:firstLine="482" w:firstLineChars="200"/>
        <w:jc w:val="center"/>
        <w:rPr>
          <w:rFonts w:hint="eastAsia" w:ascii="仿宋_GB2312" w:hAnsi="仿宋"/>
          <w:b/>
          <w:bCs/>
          <w:sz w:val="24"/>
          <w:szCs w:val="21"/>
        </w:rPr>
      </w:pPr>
      <w:r>
        <w:rPr>
          <w:rFonts w:hint="eastAsia" w:ascii="仿宋_GB2312" w:hAnsi="仿宋"/>
          <w:b/>
          <w:bCs/>
          <w:sz w:val="24"/>
          <w:szCs w:val="21"/>
        </w:rPr>
        <w:t>表1-5  绩效得分整体情况表</w:t>
      </w:r>
    </w:p>
    <w:tbl>
      <w:tblPr>
        <w:tblStyle w:val="7"/>
        <w:tblW w:w="4997" w:type="pct"/>
        <w:jc w:val="center"/>
        <w:tblLayout w:type="autofit"/>
        <w:tblCellMar>
          <w:top w:w="0" w:type="dxa"/>
          <w:left w:w="108" w:type="dxa"/>
          <w:bottom w:w="0" w:type="dxa"/>
          <w:right w:w="108" w:type="dxa"/>
        </w:tblCellMar>
      </w:tblPr>
      <w:tblGrid>
        <w:gridCol w:w="2510"/>
        <w:gridCol w:w="1834"/>
        <w:gridCol w:w="1927"/>
        <w:gridCol w:w="2246"/>
      </w:tblGrid>
      <w:tr>
        <w:tblPrEx>
          <w:tblCellMar>
            <w:top w:w="0" w:type="dxa"/>
            <w:left w:w="108" w:type="dxa"/>
            <w:bottom w:w="0" w:type="dxa"/>
            <w:right w:w="108" w:type="dxa"/>
          </w:tblCellMar>
        </w:tblPrEx>
        <w:trPr>
          <w:trHeight w:val="397" w:hRule="atLeast"/>
          <w:tblHeader/>
          <w:jc w:val="center"/>
        </w:trPr>
        <w:tc>
          <w:tcPr>
            <w:tcW w:w="1473" w:type="pct"/>
            <w:tcBorders>
              <w:top w:val="single" w:color="auto" w:sz="4" w:space="0"/>
              <w:left w:val="single" w:color="auto" w:sz="4" w:space="0"/>
              <w:bottom w:val="single" w:color="auto" w:sz="4" w:space="0"/>
              <w:right w:val="single" w:color="auto" w:sz="4" w:space="0"/>
            </w:tcBorders>
            <w:shd w:val="clear" w:color="000000" w:fill="A6A6A6"/>
            <w:noWrap w:val="0"/>
            <w:vAlign w:val="center"/>
          </w:tcPr>
          <w:p>
            <w:pPr>
              <w:jc w:val="center"/>
              <w:rPr>
                <w:rFonts w:hint="eastAsia" w:ascii="仿宋_GB2312" w:hAnsi="仿宋"/>
                <w:b/>
                <w:color w:val="000000"/>
                <w:sz w:val="21"/>
                <w:szCs w:val="21"/>
              </w:rPr>
            </w:pPr>
            <w:r>
              <w:rPr>
                <w:rFonts w:hint="eastAsia" w:ascii="仿宋_GB2312" w:hAnsi="仿宋"/>
                <w:b/>
                <w:color w:val="000000"/>
                <w:sz w:val="21"/>
                <w:szCs w:val="21"/>
              </w:rPr>
              <w:t>指标</w:t>
            </w:r>
          </w:p>
        </w:tc>
        <w:tc>
          <w:tcPr>
            <w:tcW w:w="1076" w:type="pct"/>
            <w:tcBorders>
              <w:top w:val="single" w:color="auto" w:sz="4" w:space="0"/>
              <w:left w:val="nil"/>
              <w:bottom w:val="single" w:color="auto" w:sz="4" w:space="0"/>
              <w:right w:val="single" w:color="auto" w:sz="4" w:space="0"/>
            </w:tcBorders>
            <w:shd w:val="clear" w:color="000000" w:fill="A6A6A6"/>
            <w:noWrap w:val="0"/>
            <w:vAlign w:val="center"/>
          </w:tcPr>
          <w:p>
            <w:pPr>
              <w:jc w:val="center"/>
              <w:rPr>
                <w:rFonts w:hint="eastAsia" w:ascii="仿宋_GB2312" w:hAnsi="仿宋"/>
                <w:b/>
                <w:color w:val="000000"/>
                <w:sz w:val="21"/>
                <w:szCs w:val="21"/>
              </w:rPr>
            </w:pPr>
            <w:r>
              <w:rPr>
                <w:rFonts w:hint="eastAsia" w:ascii="仿宋_GB2312" w:hAnsi="仿宋"/>
                <w:b/>
                <w:color w:val="000000"/>
                <w:sz w:val="21"/>
                <w:szCs w:val="21"/>
              </w:rPr>
              <w:t>权重</w:t>
            </w:r>
          </w:p>
        </w:tc>
        <w:tc>
          <w:tcPr>
            <w:tcW w:w="1131" w:type="pct"/>
            <w:tcBorders>
              <w:top w:val="single" w:color="auto" w:sz="4" w:space="0"/>
              <w:left w:val="nil"/>
              <w:bottom w:val="single" w:color="auto" w:sz="4" w:space="0"/>
              <w:right w:val="single" w:color="auto" w:sz="4" w:space="0"/>
            </w:tcBorders>
            <w:shd w:val="clear" w:color="000000" w:fill="A6A6A6"/>
            <w:noWrap w:val="0"/>
            <w:vAlign w:val="center"/>
          </w:tcPr>
          <w:p>
            <w:pPr>
              <w:jc w:val="center"/>
              <w:rPr>
                <w:rFonts w:hint="eastAsia" w:ascii="仿宋_GB2312" w:hAnsi="仿宋"/>
                <w:b/>
                <w:color w:val="000000"/>
                <w:sz w:val="21"/>
                <w:szCs w:val="21"/>
              </w:rPr>
            </w:pPr>
            <w:r>
              <w:rPr>
                <w:rFonts w:hint="eastAsia" w:ascii="仿宋_GB2312" w:hAnsi="仿宋"/>
                <w:b/>
                <w:color w:val="000000"/>
                <w:sz w:val="21"/>
                <w:szCs w:val="21"/>
              </w:rPr>
              <w:t>分值</w:t>
            </w:r>
          </w:p>
        </w:tc>
        <w:tc>
          <w:tcPr>
            <w:tcW w:w="1318" w:type="pct"/>
            <w:tcBorders>
              <w:top w:val="single" w:color="auto" w:sz="4" w:space="0"/>
              <w:left w:val="nil"/>
              <w:bottom w:val="single" w:color="auto" w:sz="4" w:space="0"/>
              <w:right w:val="single" w:color="auto" w:sz="4" w:space="0"/>
            </w:tcBorders>
            <w:shd w:val="clear" w:color="000000" w:fill="A6A6A6"/>
            <w:noWrap w:val="0"/>
            <w:vAlign w:val="center"/>
          </w:tcPr>
          <w:p>
            <w:pPr>
              <w:jc w:val="center"/>
              <w:rPr>
                <w:rFonts w:hint="eastAsia" w:ascii="仿宋_GB2312" w:hAnsi="仿宋"/>
                <w:b/>
                <w:color w:val="000000"/>
                <w:sz w:val="21"/>
                <w:szCs w:val="21"/>
              </w:rPr>
            </w:pPr>
            <w:r>
              <w:rPr>
                <w:rFonts w:hint="eastAsia" w:ascii="仿宋_GB2312" w:hAnsi="仿宋"/>
                <w:b/>
                <w:color w:val="000000"/>
                <w:sz w:val="21"/>
                <w:szCs w:val="21"/>
              </w:rPr>
              <w:t>得分率</w:t>
            </w:r>
          </w:p>
        </w:tc>
      </w:tr>
      <w:tr>
        <w:tblPrEx>
          <w:tblCellMar>
            <w:top w:w="0" w:type="dxa"/>
            <w:left w:w="108" w:type="dxa"/>
            <w:bottom w:w="0" w:type="dxa"/>
            <w:right w:w="108" w:type="dxa"/>
          </w:tblCellMar>
        </w:tblPrEx>
        <w:trPr>
          <w:trHeight w:val="397" w:hRule="atLeast"/>
          <w:jc w:val="center"/>
        </w:trPr>
        <w:tc>
          <w:tcPr>
            <w:tcW w:w="1473" w:type="pct"/>
            <w:tcBorders>
              <w:top w:val="nil"/>
              <w:left w:val="single" w:color="auto" w:sz="4" w:space="0"/>
              <w:bottom w:val="single" w:color="auto" w:sz="4" w:space="0"/>
              <w:right w:val="single" w:color="auto" w:sz="4" w:space="0"/>
            </w:tcBorders>
            <w:noWrap w:val="0"/>
            <w:vAlign w:val="center"/>
          </w:tcPr>
          <w:p>
            <w:pPr>
              <w:jc w:val="center"/>
              <w:rPr>
                <w:rFonts w:hint="eastAsia" w:ascii="仿宋_GB2312" w:hAnsi="仿宋"/>
                <w:color w:val="000000"/>
                <w:sz w:val="21"/>
                <w:szCs w:val="21"/>
              </w:rPr>
            </w:pPr>
            <w:r>
              <w:rPr>
                <w:rFonts w:hint="eastAsia" w:ascii="仿宋_GB2312" w:hAnsi="仿宋"/>
                <w:color w:val="000000"/>
                <w:sz w:val="21"/>
                <w:szCs w:val="21"/>
              </w:rPr>
              <w:t>A.投入</w:t>
            </w:r>
          </w:p>
        </w:tc>
        <w:tc>
          <w:tcPr>
            <w:tcW w:w="1949" w:type="dxa"/>
            <w:tcBorders>
              <w:top w:val="nil"/>
              <w:left w:val="nil"/>
              <w:bottom w:val="single" w:color="auto" w:sz="4" w:space="0"/>
              <w:right w:val="single" w:color="auto" w:sz="4" w:space="0"/>
            </w:tcBorders>
            <w:noWrap w:val="0"/>
            <w:vAlign w:val="center"/>
          </w:tcPr>
          <w:p>
            <w:pPr>
              <w:widowControl/>
              <w:jc w:val="center"/>
              <w:textAlignment w:val="center"/>
              <w:rPr>
                <w:rFonts w:ascii="仿宋_GB2312" w:hAnsi="仿宋"/>
                <w:color w:val="000000"/>
                <w:sz w:val="21"/>
                <w:szCs w:val="21"/>
              </w:rPr>
            </w:pPr>
            <w:r>
              <w:rPr>
                <w:rFonts w:hint="eastAsia" w:ascii="仿宋_GB2312" w:hAnsi="等线" w:cs="仿宋_GB2312"/>
                <w:color w:val="000000"/>
                <w:kern w:val="0"/>
                <w:sz w:val="21"/>
                <w:szCs w:val="21"/>
                <w:lang w:bidi="ar"/>
              </w:rPr>
              <w:t>20</w:t>
            </w:r>
          </w:p>
        </w:tc>
        <w:tc>
          <w:tcPr>
            <w:tcW w:w="2049" w:type="dxa"/>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sz w:val="21"/>
                <w:szCs w:val="21"/>
                <w:lang w:val="en-US" w:eastAsia="zh-CN"/>
              </w:rPr>
            </w:pPr>
            <w:r>
              <w:rPr>
                <w:rFonts w:hint="eastAsia" w:ascii="仿宋_GB2312" w:hAnsi="仿宋"/>
                <w:color w:val="000000"/>
                <w:sz w:val="21"/>
                <w:szCs w:val="21"/>
                <w:lang w:val="en-US" w:eastAsia="zh-CN"/>
              </w:rPr>
              <w:t>16.5</w:t>
            </w:r>
          </w:p>
        </w:tc>
        <w:tc>
          <w:tcPr>
            <w:tcW w:w="2388" w:type="dxa"/>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sz w:val="21"/>
                <w:szCs w:val="21"/>
                <w:lang w:val="en-US" w:eastAsia="zh-CN"/>
              </w:rPr>
            </w:pPr>
            <w:r>
              <w:rPr>
                <w:rFonts w:hint="eastAsia" w:ascii="仿宋_GB2312" w:hAnsi="仿宋"/>
                <w:color w:val="000000"/>
                <w:sz w:val="21"/>
                <w:szCs w:val="21"/>
                <w:lang w:val="en-US" w:eastAsia="zh-CN"/>
              </w:rPr>
              <w:t>82.5%</w:t>
            </w:r>
          </w:p>
        </w:tc>
      </w:tr>
      <w:tr>
        <w:tblPrEx>
          <w:tblCellMar>
            <w:top w:w="0" w:type="dxa"/>
            <w:left w:w="108" w:type="dxa"/>
            <w:bottom w:w="0" w:type="dxa"/>
            <w:right w:w="108" w:type="dxa"/>
          </w:tblCellMar>
        </w:tblPrEx>
        <w:trPr>
          <w:trHeight w:val="397" w:hRule="atLeast"/>
          <w:jc w:val="center"/>
        </w:trPr>
        <w:tc>
          <w:tcPr>
            <w:tcW w:w="1473" w:type="pct"/>
            <w:tcBorders>
              <w:top w:val="nil"/>
              <w:left w:val="single" w:color="auto" w:sz="4" w:space="0"/>
              <w:bottom w:val="single" w:color="auto" w:sz="4" w:space="0"/>
              <w:right w:val="single" w:color="auto" w:sz="4" w:space="0"/>
            </w:tcBorders>
            <w:noWrap w:val="0"/>
            <w:vAlign w:val="center"/>
          </w:tcPr>
          <w:p>
            <w:pPr>
              <w:jc w:val="center"/>
              <w:rPr>
                <w:rFonts w:hint="eastAsia" w:ascii="仿宋_GB2312" w:hAnsi="仿宋"/>
                <w:color w:val="000000"/>
                <w:sz w:val="21"/>
                <w:szCs w:val="21"/>
              </w:rPr>
            </w:pPr>
            <w:r>
              <w:rPr>
                <w:rFonts w:hint="eastAsia" w:ascii="仿宋_GB2312" w:hAnsi="仿宋"/>
                <w:color w:val="000000"/>
                <w:sz w:val="21"/>
                <w:szCs w:val="21"/>
              </w:rPr>
              <w:t>B.过程</w:t>
            </w:r>
          </w:p>
        </w:tc>
        <w:tc>
          <w:tcPr>
            <w:tcW w:w="1949" w:type="dxa"/>
            <w:tcBorders>
              <w:top w:val="nil"/>
              <w:left w:val="nil"/>
              <w:bottom w:val="single" w:color="auto" w:sz="4" w:space="0"/>
              <w:right w:val="single" w:color="auto" w:sz="4" w:space="0"/>
            </w:tcBorders>
            <w:noWrap w:val="0"/>
            <w:vAlign w:val="center"/>
          </w:tcPr>
          <w:p>
            <w:pPr>
              <w:widowControl/>
              <w:jc w:val="center"/>
              <w:textAlignment w:val="center"/>
              <w:rPr>
                <w:rFonts w:ascii="仿宋_GB2312" w:hAnsi="仿宋"/>
                <w:color w:val="000000"/>
                <w:sz w:val="21"/>
                <w:szCs w:val="21"/>
              </w:rPr>
            </w:pPr>
            <w:r>
              <w:rPr>
                <w:rFonts w:hint="eastAsia" w:ascii="仿宋_GB2312" w:hAnsi="等线" w:cs="仿宋_GB2312"/>
                <w:color w:val="000000"/>
                <w:kern w:val="0"/>
                <w:sz w:val="21"/>
                <w:szCs w:val="21"/>
                <w:lang w:bidi="ar"/>
              </w:rPr>
              <w:t>20</w:t>
            </w:r>
          </w:p>
        </w:tc>
        <w:tc>
          <w:tcPr>
            <w:tcW w:w="2049" w:type="dxa"/>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sz w:val="21"/>
                <w:szCs w:val="21"/>
                <w:lang w:val="en-US" w:eastAsia="zh-CN"/>
              </w:rPr>
            </w:pPr>
            <w:r>
              <w:rPr>
                <w:rFonts w:hint="eastAsia" w:ascii="仿宋_GB2312" w:hAnsi="仿宋"/>
                <w:color w:val="000000"/>
                <w:sz w:val="21"/>
                <w:szCs w:val="21"/>
                <w:lang w:val="en-US" w:eastAsia="zh-CN"/>
              </w:rPr>
              <w:t>20</w:t>
            </w:r>
          </w:p>
        </w:tc>
        <w:tc>
          <w:tcPr>
            <w:tcW w:w="2388" w:type="dxa"/>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sz w:val="21"/>
                <w:szCs w:val="21"/>
                <w:lang w:val="en-US" w:eastAsia="zh-CN"/>
              </w:rPr>
            </w:pPr>
            <w:r>
              <w:rPr>
                <w:rFonts w:hint="eastAsia" w:ascii="仿宋_GB2312" w:hAnsi="仿宋"/>
                <w:color w:val="000000"/>
                <w:sz w:val="21"/>
                <w:szCs w:val="21"/>
                <w:lang w:val="en-US" w:eastAsia="zh-CN"/>
              </w:rPr>
              <w:t>100%</w:t>
            </w:r>
          </w:p>
        </w:tc>
      </w:tr>
      <w:tr>
        <w:tblPrEx>
          <w:tblCellMar>
            <w:top w:w="0" w:type="dxa"/>
            <w:left w:w="108" w:type="dxa"/>
            <w:bottom w:w="0" w:type="dxa"/>
            <w:right w:w="108" w:type="dxa"/>
          </w:tblCellMar>
        </w:tblPrEx>
        <w:trPr>
          <w:trHeight w:val="397" w:hRule="atLeast"/>
          <w:jc w:val="center"/>
        </w:trPr>
        <w:tc>
          <w:tcPr>
            <w:tcW w:w="1473" w:type="pct"/>
            <w:tcBorders>
              <w:top w:val="nil"/>
              <w:left w:val="single" w:color="auto" w:sz="4" w:space="0"/>
              <w:bottom w:val="single" w:color="auto" w:sz="4" w:space="0"/>
              <w:right w:val="single" w:color="auto" w:sz="4" w:space="0"/>
            </w:tcBorders>
            <w:noWrap w:val="0"/>
            <w:vAlign w:val="center"/>
          </w:tcPr>
          <w:p>
            <w:pPr>
              <w:jc w:val="center"/>
              <w:rPr>
                <w:rFonts w:hint="eastAsia" w:ascii="仿宋_GB2312" w:hAnsi="仿宋"/>
                <w:color w:val="000000"/>
                <w:sz w:val="21"/>
                <w:szCs w:val="21"/>
              </w:rPr>
            </w:pPr>
            <w:r>
              <w:rPr>
                <w:rFonts w:hint="eastAsia" w:ascii="仿宋_GB2312" w:hAnsi="仿宋"/>
                <w:color w:val="000000"/>
                <w:sz w:val="21"/>
                <w:szCs w:val="21"/>
              </w:rPr>
              <w:t>C.产出</w:t>
            </w:r>
          </w:p>
        </w:tc>
        <w:tc>
          <w:tcPr>
            <w:tcW w:w="1949" w:type="dxa"/>
            <w:tcBorders>
              <w:top w:val="nil"/>
              <w:left w:val="nil"/>
              <w:bottom w:val="single" w:color="auto" w:sz="4" w:space="0"/>
              <w:right w:val="single" w:color="auto" w:sz="4" w:space="0"/>
            </w:tcBorders>
            <w:noWrap w:val="0"/>
            <w:vAlign w:val="center"/>
          </w:tcPr>
          <w:p>
            <w:pPr>
              <w:widowControl/>
              <w:jc w:val="center"/>
              <w:textAlignment w:val="center"/>
              <w:rPr>
                <w:rFonts w:ascii="仿宋_GB2312" w:hAnsi="仿宋"/>
                <w:color w:val="000000"/>
                <w:sz w:val="21"/>
                <w:szCs w:val="21"/>
              </w:rPr>
            </w:pPr>
            <w:r>
              <w:rPr>
                <w:rFonts w:hint="eastAsia" w:ascii="仿宋_GB2312" w:hAnsi="等线" w:cs="仿宋_GB2312"/>
                <w:color w:val="000000"/>
                <w:kern w:val="0"/>
                <w:sz w:val="21"/>
                <w:szCs w:val="21"/>
                <w:lang w:bidi="ar"/>
              </w:rPr>
              <w:t>25</w:t>
            </w:r>
          </w:p>
        </w:tc>
        <w:tc>
          <w:tcPr>
            <w:tcW w:w="2049" w:type="dxa"/>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sz w:val="21"/>
                <w:szCs w:val="21"/>
                <w:lang w:val="en-US" w:eastAsia="zh-CN"/>
              </w:rPr>
            </w:pPr>
            <w:r>
              <w:rPr>
                <w:rFonts w:hint="eastAsia" w:ascii="仿宋_GB2312" w:hAnsi="仿宋"/>
                <w:color w:val="000000"/>
                <w:sz w:val="21"/>
                <w:szCs w:val="21"/>
                <w:lang w:val="en-US" w:eastAsia="zh-CN"/>
              </w:rPr>
              <w:t>25</w:t>
            </w:r>
          </w:p>
        </w:tc>
        <w:tc>
          <w:tcPr>
            <w:tcW w:w="2388" w:type="dxa"/>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sz w:val="21"/>
                <w:szCs w:val="21"/>
                <w:lang w:val="en-US" w:eastAsia="zh-CN"/>
              </w:rPr>
            </w:pPr>
            <w:r>
              <w:rPr>
                <w:rFonts w:hint="eastAsia" w:ascii="仿宋_GB2312" w:hAnsi="仿宋"/>
                <w:color w:val="000000"/>
                <w:sz w:val="21"/>
                <w:szCs w:val="21"/>
                <w:lang w:val="en-US" w:eastAsia="zh-CN"/>
              </w:rPr>
              <w:t>100%</w:t>
            </w:r>
          </w:p>
        </w:tc>
      </w:tr>
      <w:tr>
        <w:tblPrEx>
          <w:tblCellMar>
            <w:top w:w="0" w:type="dxa"/>
            <w:left w:w="108" w:type="dxa"/>
            <w:bottom w:w="0" w:type="dxa"/>
            <w:right w:w="108" w:type="dxa"/>
          </w:tblCellMar>
        </w:tblPrEx>
        <w:trPr>
          <w:trHeight w:val="397" w:hRule="atLeast"/>
          <w:jc w:val="center"/>
        </w:trPr>
        <w:tc>
          <w:tcPr>
            <w:tcW w:w="1473" w:type="pct"/>
            <w:tcBorders>
              <w:top w:val="nil"/>
              <w:left w:val="single" w:color="auto" w:sz="4" w:space="0"/>
              <w:bottom w:val="single" w:color="auto" w:sz="4" w:space="0"/>
              <w:right w:val="single" w:color="auto" w:sz="4" w:space="0"/>
            </w:tcBorders>
            <w:noWrap w:val="0"/>
            <w:vAlign w:val="center"/>
          </w:tcPr>
          <w:p>
            <w:pPr>
              <w:jc w:val="center"/>
              <w:rPr>
                <w:rFonts w:hint="eastAsia" w:ascii="仿宋_GB2312" w:hAnsi="仿宋"/>
                <w:color w:val="000000"/>
                <w:sz w:val="21"/>
                <w:szCs w:val="21"/>
              </w:rPr>
            </w:pPr>
            <w:r>
              <w:rPr>
                <w:rFonts w:hint="eastAsia" w:ascii="仿宋_GB2312" w:hAnsi="仿宋"/>
                <w:color w:val="000000"/>
                <w:sz w:val="21"/>
                <w:szCs w:val="21"/>
              </w:rPr>
              <w:t>D.效果</w:t>
            </w:r>
          </w:p>
        </w:tc>
        <w:tc>
          <w:tcPr>
            <w:tcW w:w="1949" w:type="dxa"/>
            <w:tcBorders>
              <w:top w:val="nil"/>
              <w:left w:val="nil"/>
              <w:bottom w:val="single" w:color="auto" w:sz="4" w:space="0"/>
              <w:right w:val="single" w:color="auto" w:sz="4" w:space="0"/>
            </w:tcBorders>
            <w:noWrap w:val="0"/>
            <w:vAlign w:val="center"/>
          </w:tcPr>
          <w:p>
            <w:pPr>
              <w:widowControl/>
              <w:jc w:val="center"/>
              <w:textAlignment w:val="center"/>
              <w:rPr>
                <w:rFonts w:ascii="仿宋_GB2312" w:hAnsi="仿宋"/>
                <w:color w:val="000000"/>
                <w:sz w:val="21"/>
                <w:szCs w:val="21"/>
              </w:rPr>
            </w:pPr>
            <w:r>
              <w:rPr>
                <w:rFonts w:hint="eastAsia" w:ascii="仿宋_GB2312" w:hAnsi="等线" w:cs="仿宋_GB2312"/>
                <w:color w:val="000000"/>
                <w:kern w:val="0"/>
                <w:sz w:val="21"/>
                <w:szCs w:val="21"/>
                <w:lang w:bidi="ar"/>
              </w:rPr>
              <w:t>35</w:t>
            </w:r>
          </w:p>
        </w:tc>
        <w:tc>
          <w:tcPr>
            <w:tcW w:w="2049" w:type="dxa"/>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sz w:val="21"/>
                <w:szCs w:val="21"/>
                <w:lang w:val="en-US" w:eastAsia="zh-CN"/>
              </w:rPr>
            </w:pPr>
            <w:r>
              <w:rPr>
                <w:rFonts w:hint="eastAsia" w:ascii="仿宋_GB2312" w:hAnsi="仿宋"/>
                <w:color w:val="000000"/>
                <w:sz w:val="21"/>
                <w:szCs w:val="21"/>
                <w:lang w:val="en-US" w:eastAsia="zh-CN"/>
              </w:rPr>
              <w:t>30.2</w:t>
            </w:r>
          </w:p>
        </w:tc>
        <w:tc>
          <w:tcPr>
            <w:tcW w:w="2388" w:type="dxa"/>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sz w:val="21"/>
                <w:szCs w:val="21"/>
                <w:lang w:val="en-US" w:eastAsia="zh-CN"/>
              </w:rPr>
            </w:pPr>
            <w:r>
              <w:rPr>
                <w:rFonts w:hint="eastAsia" w:ascii="仿宋_GB2312" w:hAnsi="仿宋"/>
                <w:color w:val="000000"/>
                <w:sz w:val="21"/>
                <w:szCs w:val="21"/>
                <w:lang w:val="en-US" w:eastAsia="zh-CN"/>
              </w:rPr>
              <w:t>86.29%</w:t>
            </w:r>
          </w:p>
        </w:tc>
      </w:tr>
      <w:tr>
        <w:tblPrEx>
          <w:tblCellMar>
            <w:top w:w="0" w:type="dxa"/>
            <w:left w:w="108" w:type="dxa"/>
            <w:bottom w:w="0" w:type="dxa"/>
            <w:right w:w="108" w:type="dxa"/>
          </w:tblCellMar>
        </w:tblPrEx>
        <w:trPr>
          <w:trHeight w:val="397" w:hRule="atLeast"/>
          <w:jc w:val="center"/>
        </w:trPr>
        <w:tc>
          <w:tcPr>
            <w:tcW w:w="1473" w:type="pct"/>
            <w:tcBorders>
              <w:top w:val="nil"/>
              <w:left w:val="single" w:color="auto" w:sz="4" w:space="0"/>
              <w:bottom w:val="single" w:color="auto" w:sz="4" w:space="0"/>
              <w:right w:val="single" w:color="auto" w:sz="4" w:space="0"/>
            </w:tcBorders>
            <w:noWrap w:val="0"/>
            <w:vAlign w:val="center"/>
          </w:tcPr>
          <w:p>
            <w:pPr>
              <w:jc w:val="center"/>
              <w:rPr>
                <w:rFonts w:hint="eastAsia" w:ascii="仿宋_GB2312" w:hAnsi="仿宋"/>
                <w:b/>
                <w:bCs/>
                <w:color w:val="000000"/>
                <w:sz w:val="21"/>
                <w:szCs w:val="21"/>
              </w:rPr>
            </w:pPr>
            <w:r>
              <w:rPr>
                <w:rFonts w:hint="eastAsia" w:ascii="仿宋_GB2312" w:hAnsi="仿宋"/>
                <w:b/>
                <w:bCs/>
                <w:color w:val="000000"/>
                <w:sz w:val="21"/>
                <w:szCs w:val="21"/>
              </w:rPr>
              <w:t>合计</w:t>
            </w:r>
          </w:p>
        </w:tc>
        <w:tc>
          <w:tcPr>
            <w:tcW w:w="1949" w:type="dxa"/>
            <w:tcBorders>
              <w:top w:val="nil"/>
              <w:left w:val="nil"/>
              <w:bottom w:val="single" w:color="auto" w:sz="4" w:space="0"/>
              <w:right w:val="single" w:color="auto" w:sz="4" w:space="0"/>
            </w:tcBorders>
            <w:noWrap w:val="0"/>
            <w:vAlign w:val="center"/>
          </w:tcPr>
          <w:p>
            <w:pPr>
              <w:widowControl/>
              <w:jc w:val="center"/>
              <w:textAlignment w:val="center"/>
              <w:rPr>
                <w:rFonts w:hint="eastAsia" w:ascii="仿宋_GB2312" w:hAnsi="仿宋"/>
                <w:b/>
                <w:bCs/>
                <w:color w:val="000000"/>
                <w:sz w:val="21"/>
                <w:szCs w:val="21"/>
              </w:rPr>
            </w:pPr>
            <w:r>
              <w:rPr>
                <w:rFonts w:hint="eastAsia" w:ascii="仿宋_GB2312" w:hAnsi="等线" w:cs="仿宋_GB2312"/>
                <w:b/>
                <w:bCs/>
                <w:color w:val="000000"/>
                <w:kern w:val="0"/>
                <w:sz w:val="21"/>
                <w:szCs w:val="21"/>
                <w:lang w:bidi="ar"/>
              </w:rPr>
              <w:t>100</w:t>
            </w:r>
          </w:p>
        </w:tc>
        <w:tc>
          <w:tcPr>
            <w:tcW w:w="2049" w:type="dxa"/>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b/>
                <w:bCs/>
                <w:color w:val="000000"/>
                <w:sz w:val="21"/>
                <w:szCs w:val="21"/>
                <w:lang w:val="en-US" w:eastAsia="zh-CN"/>
              </w:rPr>
            </w:pPr>
            <w:r>
              <w:rPr>
                <w:rFonts w:hint="eastAsia" w:ascii="仿宋_GB2312" w:hAnsi="仿宋"/>
                <w:b/>
                <w:bCs/>
                <w:color w:val="000000"/>
                <w:sz w:val="21"/>
                <w:szCs w:val="21"/>
                <w:lang w:val="en-US" w:eastAsia="zh-CN"/>
              </w:rPr>
              <w:t>91.7</w:t>
            </w:r>
          </w:p>
        </w:tc>
        <w:tc>
          <w:tcPr>
            <w:tcW w:w="2388" w:type="dxa"/>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b/>
                <w:bCs/>
                <w:color w:val="000000"/>
                <w:sz w:val="21"/>
                <w:szCs w:val="21"/>
                <w:lang w:val="en-US" w:eastAsia="zh-CN"/>
              </w:rPr>
            </w:pPr>
            <w:r>
              <w:rPr>
                <w:rFonts w:hint="eastAsia" w:ascii="仿宋_GB2312" w:hAnsi="仿宋"/>
                <w:b/>
                <w:bCs/>
                <w:color w:val="000000"/>
                <w:sz w:val="21"/>
                <w:szCs w:val="21"/>
                <w:lang w:val="en-US" w:eastAsia="zh-CN"/>
              </w:rPr>
              <w:t>91.7%</w:t>
            </w:r>
          </w:p>
        </w:tc>
      </w:tr>
    </w:tbl>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0"/>
        <w:rPr>
          <w:rFonts w:ascii="黑体" w:hAnsi="黑体" w:eastAsia="黑体"/>
          <w:sz w:val="32"/>
          <w:szCs w:val="32"/>
        </w:rPr>
      </w:pPr>
      <w:r>
        <w:rPr>
          <w:rFonts w:hint="eastAsia" w:ascii="黑体" w:hAnsi="黑体" w:eastAsia="黑体"/>
          <w:sz w:val="32"/>
          <w:szCs w:val="32"/>
        </w:rPr>
        <w:t>二、项目基本情况</w:t>
      </w:r>
      <w:bookmarkEnd w:id="8"/>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仿宋_GB2312"/>
          <w:sz w:val="32"/>
          <w:szCs w:val="32"/>
        </w:rPr>
      </w:pPr>
      <w:bookmarkStart w:id="9" w:name="_Toc3727"/>
      <w:r>
        <w:rPr>
          <w:rFonts w:hint="eastAsia" w:ascii="楷体_GB2312" w:eastAsia="楷体_GB2312"/>
          <w:sz w:val="32"/>
          <w:szCs w:val="32"/>
        </w:rPr>
        <w:t>（一）项目概况</w:t>
      </w:r>
      <w:bookmarkEnd w:id="9"/>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1.项目背景</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随着即墨区城市经济的不断发展，城市社会管理事物不断的增加，社区服务中心作为城市社会生活最基层单位，在城市管理、公共事物、便民服务中的地位和作用明显的越来越突出和重要。即墨经济开发区作为连接市中心城区与东部鳌山湾滨海科技新城的重要战略节点，本着“城市发展新中心、城市中央商务区、现代服务业聚集区、高端生态居住区”的发展定位，坚持以世界眼光和国际标准，按照“统一规划、近远结合、分期实施”的原则，高起点规划，高品位建设，高效能管理，不断完善基础设施配套建设。社区服务中心的建设，将进一步改进即墨经济开发区的办公规模和服务水平，为开发区人民群众提供一个便民服务平台，并且为党的惠民政策顺利实施，促进开发区经济和社会发展服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2.主要内容及实施情况</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经济开发区2号邻里中心项目，位于明达路以南、文山路以东、</w:t>
      </w:r>
      <w:r>
        <w:rPr>
          <w:rFonts w:hint="eastAsia" w:ascii="仿宋_GB2312" w:hAnsi="仿宋_GB2312" w:eastAsia="仿宋_GB2312" w:cs="仿宋_GB2312"/>
          <w:sz w:val="32"/>
          <w:szCs w:val="32"/>
          <w:lang w:val="en-GB" w:eastAsia="zh-CN"/>
        </w:rPr>
        <w:t>临川路以西、盟旺路以北，</w:t>
      </w:r>
      <w:r>
        <w:rPr>
          <w:rFonts w:hint="eastAsia" w:ascii="仿宋_GB2312" w:hAnsi="仿宋_GB2312" w:eastAsia="仿宋_GB2312" w:cs="仿宋_GB2312"/>
          <w:sz w:val="32"/>
          <w:szCs w:val="32"/>
          <w:lang w:eastAsia="zh-CN"/>
        </w:rPr>
        <w:t>占地面积6500平方米，总建筑面积12592.78平方米，其中地上10348.88平方米、地下2243.9平方米。建设内容包括社区综合服务中心、社区卫生服务中心、社区文化中心、社区办公用房及其他配套设施等。项目于</w:t>
      </w:r>
      <w:r>
        <w:rPr>
          <w:rFonts w:hint="eastAsia" w:ascii="仿宋_GB2312" w:hAnsi="仿宋_GB2312" w:eastAsia="仿宋_GB2312" w:cs="仿宋_GB2312"/>
          <w:sz w:val="32"/>
          <w:szCs w:val="32"/>
          <w:lang w:val="en-US" w:eastAsia="zh-CN"/>
        </w:rPr>
        <w:t>2020年6月22日开工建设，2021年4月19日竣工验收。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3.资金</w:t>
      </w:r>
      <w:r>
        <w:rPr>
          <w:rFonts w:hint="eastAsia" w:ascii="仿宋_GB2312" w:hAnsi="仿宋_GB2312" w:eastAsia="仿宋_GB2312" w:cs="仿宋_GB2312"/>
          <w:bCs/>
          <w:kern w:val="0"/>
          <w:sz w:val="32"/>
          <w:szCs w:val="32"/>
          <w:lang w:eastAsia="zh-CN"/>
        </w:rPr>
        <w:t>安排</w:t>
      </w:r>
      <w:r>
        <w:rPr>
          <w:rFonts w:hint="eastAsia" w:ascii="仿宋_GB2312" w:hAnsi="仿宋_GB2312" w:eastAsia="仿宋_GB2312" w:cs="仿宋_GB2312"/>
          <w:bCs/>
          <w:kern w:val="0"/>
          <w:sz w:val="32"/>
          <w:szCs w:val="32"/>
        </w:rPr>
        <w:t>及使用情况</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sz w:val="32"/>
          <w:szCs w:val="32"/>
        </w:rPr>
      </w:pPr>
      <w:bookmarkStart w:id="10" w:name="_Toc31716"/>
      <w:r>
        <w:rPr>
          <w:rFonts w:hint="eastAsia" w:ascii="仿宋_GB2312" w:hAnsi="仿宋_GB2312" w:eastAsia="仿宋_GB2312" w:cs="仿宋_GB2312"/>
          <w:bCs/>
          <w:kern w:val="0"/>
          <w:sz w:val="32"/>
          <w:szCs w:val="32"/>
        </w:rPr>
        <w:t>项目</w:t>
      </w:r>
      <w:r>
        <w:rPr>
          <w:rFonts w:hint="eastAsia" w:ascii="仿宋_GB2312" w:hAnsi="仿宋_GB2312" w:eastAsia="仿宋_GB2312" w:cs="仿宋_GB2312"/>
          <w:bCs/>
          <w:kern w:val="0"/>
          <w:sz w:val="32"/>
          <w:szCs w:val="32"/>
          <w:lang w:val="en-US" w:eastAsia="zh-CN"/>
        </w:rPr>
        <w:t>总投资7334.84万元，资金来源为单位自筹。截至2023年6月30日，项目预算资金6325.75万元，到位资金6325.75万元，支出6325.75万元，资金性质为功能区本级资金。</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（二）项目绩效目标</w:t>
      </w:r>
      <w:bookmarkEnd w:id="10"/>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1.总体目标</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通过打造集商业服务、公共事务、文体活动和疗卫生等功能于一体的社区商业平台，为居民提供全方位、多层次、综合性的社区商业服务。</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2.年度目标</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rPr>
      </w:pPr>
      <w:bookmarkStart w:id="11" w:name="_Toc10379"/>
      <w:r>
        <w:rPr>
          <w:rFonts w:hint="eastAsia" w:ascii="仿宋_GB2312" w:hAnsi="仿宋_GB2312" w:eastAsia="仿宋_GB2312" w:cs="仿宋_GB2312"/>
          <w:bCs/>
          <w:kern w:val="0"/>
          <w:sz w:val="32"/>
          <w:szCs w:val="32"/>
          <w:lang w:val="en-US" w:eastAsia="zh-CN"/>
        </w:rPr>
        <w:t>（1）保障项目资金需求，预算资金及时到位，按工程进度及时拨付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（2）按时完成项目建设，竣工验收合格，建设成本控制在批复范围内。</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（3）提高项目社会、经济效益，健全运营机制，最大限度发挥项目效能。</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0"/>
        <w:rPr>
          <w:rFonts w:ascii="黑体" w:hAnsi="黑体" w:eastAsia="黑体"/>
          <w:sz w:val="32"/>
          <w:szCs w:val="32"/>
        </w:rPr>
      </w:pPr>
      <w:r>
        <w:rPr>
          <w:rFonts w:hint="eastAsia" w:ascii="黑体" w:hAnsi="黑体" w:eastAsia="黑体"/>
          <w:sz w:val="32"/>
          <w:szCs w:val="32"/>
        </w:rPr>
        <w:t>三、评价实施情况</w:t>
      </w:r>
      <w:bookmarkEnd w:id="11"/>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楷体_GB2312" w:eastAsia="楷体_GB2312"/>
          <w:sz w:val="32"/>
          <w:szCs w:val="32"/>
        </w:rPr>
      </w:pPr>
      <w:bookmarkStart w:id="12" w:name="_Toc24401"/>
      <w:r>
        <w:rPr>
          <w:rFonts w:hint="eastAsia" w:ascii="楷体_GB2312" w:eastAsia="楷体_GB2312"/>
          <w:sz w:val="32"/>
          <w:szCs w:val="32"/>
        </w:rPr>
        <w:t>（一）评价目的、对象和范围</w:t>
      </w:r>
      <w:bookmarkEnd w:id="12"/>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1.评价目的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一是从项目立项目的出发，深入了解资金发挥的实际效果和预期目标实现程度。与实施合同对比，查看该项目是否达到预期进度，综合判断</w:t>
      </w:r>
      <w:r>
        <w:rPr>
          <w:rFonts w:hint="eastAsia" w:ascii="仿宋_GB2312" w:hAnsi="仿宋_GB2312" w:eastAsia="仿宋_GB2312" w:cs="仿宋_GB2312"/>
          <w:bCs/>
          <w:kern w:val="0"/>
          <w:sz w:val="32"/>
          <w:szCs w:val="32"/>
          <w:lang w:eastAsia="zh-CN"/>
        </w:rPr>
        <w:t>项目</w:t>
      </w:r>
      <w:r>
        <w:rPr>
          <w:rFonts w:hint="eastAsia" w:ascii="仿宋_GB2312" w:hAnsi="仿宋_GB2312" w:eastAsia="仿宋_GB2312" w:cs="仿宋_GB2312"/>
          <w:bCs/>
          <w:kern w:val="0"/>
          <w:sz w:val="32"/>
          <w:szCs w:val="32"/>
        </w:rPr>
        <w:t>效果；二是通过指标设计和量化分析检验支出的效果，从投入、过程、产出和效果等方面，综合考察取得的成绩及效益，分析管理过程中的潜在问题及原因并针对性地提出建议。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2.评价对象</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本次评价的对象：</w:t>
      </w:r>
      <w:r>
        <w:rPr>
          <w:rFonts w:hint="eastAsia" w:ascii="仿宋_GB2312" w:hAnsi="仿宋_GB2312" w:eastAsia="仿宋_GB2312" w:cs="仿宋_GB2312"/>
          <w:bCs/>
          <w:kern w:val="0"/>
          <w:sz w:val="32"/>
          <w:szCs w:val="32"/>
          <w:lang w:val="en-US" w:eastAsia="zh-CN"/>
        </w:rPr>
        <w:t>2号邻里中心</w:t>
      </w:r>
      <w:r>
        <w:rPr>
          <w:rFonts w:hint="eastAsia" w:ascii="仿宋_GB2312" w:hAnsi="仿宋_GB2312" w:eastAsia="仿宋_GB2312" w:cs="仿宋_GB2312"/>
          <w:bCs/>
          <w:kern w:val="0"/>
          <w:sz w:val="32"/>
          <w:szCs w:val="32"/>
        </w:rPr>
        <w:t>项目资金</w:t>
      </w:r>
      <w:r>
        <w:rPr>
          <w:rFonts w:hint="eastAsia" w:ascii="仿宋_GB2312" w:hAnsi="仿宋_GB2312" w:eastAsia="仿宋_GB2312" w:cs="仿宋_GB2312"/>
          <w:bCs/>
          <w:kern w:val="0"/>
          <w:sz w:val="32"/>
          <w:szCs w:val="32"/>
          <w:lang w:val="en-US" w:eastAsia="zh-CN"/>
        </w:rPr>
        <w:t>6325.75</w:t>
      </w:r>
      <w:r>
        <w:rPr>
          <w:rFonts w:hint="eastAsia" w:ascii="仿宋_GB2312" w:hAnsi="仿宋_GB2312" w:eastAsia="仿宋_GB2312" w:cs="仿宋_GB2312"/>
          <w:bCs/>
          <w:kern w:val="0"/>
          <w:sz w:val="32"/>
          <w:szCs w:val="32"/>
        </w:rPr>
        <w:t>万元。</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3.评价范围</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outlineLvl w:val="1"/>
        <w:rPr>
          <w:rFonts w:hint="eastAsia" w:ascii="仿宋_GB2312" w:hAnsi="仿宋_GB2312" w:eastAsia="仿宋_GB2312" w:cs="仿宋_GB2312"/>
          <w:bCs/>
          <w:kern w:val="0"/>
          <w:sz w:val="32"/>
          <w:szCs w:val="32"/>
          <w:lang w:val="en-US" w:eastAsia="zh-CN"/>
        </w:rPr>
      </w:pPr>
      <w:bookmarkStart w:id="13" w:name="_Toc29886"/>
      <w:r>
        <w:rPr>
          <w:rFonts w:hint="eastAsia" w:ascii="仿宋_GB2312" w:hAnsi="仿宋_GB2312" w:eastAsia="仿宋_GB2312" w:cs="仿宋_GB2312"/>
          <w:bCs/>
          <w:kern w:val="0"/>
          <w:sz w:val="32"/>
          <w:szCs w:val="32"/>
        </w:rPr>
        <w:t>本次评价</w:t>
      </w:r>
      <w:r>
        <w:rPr>
          <w:rFonts w:hint="eastAsia" w:ascii="仿宋_GB2312" w:hAnsi="仿宋_GB2312" w:eastAsia="仿宋_GB2312" w:cs="仿宋_GB2312"/>
          <w:bCs/>
          <w:kern w:val="0"/>
          <w:sz w:val="32"/>
          <w:szCs w:val="32"/>
          <w:lang w:eastAsia="zh-CN"/>
        </w:rPr>
        <w:t>的范围</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从</w:t>
      </w:r>
      <w:r>
        <w:rPr>
          <w:rFonts w:hint="eastAsia" w:ascii="仿宋_GB2312" w:hAnsi="仿宋_GB2312" w:eastAsia="仿宋_GB2312" w:cs="仿宋_GB2312"/>
          <w:bCs/>
          <w:kern w:val="0"/>
          <w:sz w:val="32"/>
          <w:szCs w:val="32"/>
          <w:lang w:val="en-US" w:eastAsia="zh-CN"/>
        </w:rPr>
        <w:t>2020年3月1日至2023年6月30日。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（二）评价依据、方法、标准、指标体系等</w:t>
      </w:r>
      <w:bookmarkEnd w:id="13"/>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1.评价依据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《财政部关于印发〈项目支出绩效评价管理办法〉的通知》（财预〔2020〕10号）；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《关于委托第三方机构参与预算绩效管理的指导意见》（财预〔2021〕6号）；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《第三方机构预算绩效评价业务监督管理暂行办法》（财监〔2021〕4号）；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《青岛市委市政府关于深化预算管理改革全面推进预算绩效管理的实施意见》（青发〔2019〕6号）；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青岛市即墨区委区政府办公室关于深化预算管理改革全面推进预算绩效管理的实施意见</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即办发</w:t>
      </w:r>
      <w:r>
        <w:rPr>
          <w:rFonts w:hint="eastAsia" w:ascii="仿宋_GB2312" w:hAnsi="仿宋_GB2312" w:eastAsia="仿宋_GB2312" w:cs="仿宋_GB2312"/>
          <w:bCs/>
          <w:kern w:val="0"/>
          <w:sz w:val="32"/>
          <w:szCs w:val="32"/>
        </w:rPr>
        <w:t>〔2</w:t>
      </w:r>
      <w:r>
        <w:rPr>
          <w:rFonts w:hint="eastAsia" w:ascii="仿宋_GB2312" w:hAnsi="仿宋_GB2312" w:eastAsia="仿宋_GB2312" w:cs="仿宋_GB2312"/>
          <w:bCs/>
          <w:kern w:val="0"/>
          <w:sz w:val="32"/>
          <w:szCs w:val="32"/>
          <w:lang w:val="en-US" w:eastAsia="zh-CN"/>
        </w:rPr>
        <w:t>020</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8</w:t>
      </w:r>
      <w:r>
        <w:rPr>
          <w:rFonts w:hint="eastAsia" w:ascii="仿宋_GB2312" w:hAnsi="仿宋_GB2312" w:eastAsia="仿宋_GB2312" w:cs="仿宋_GB2312"/>
          <w:bCs/>
          <w:kern w:val="0"/>
          <w:sz w:val="32"/>
          <w:szCs w:val="32"/>
        </w:rPr>
        <w:t>号）；</w:t>
      </w:r>
      <w:r>
        <w:rPr>
          <w:rFonts w:hint="eastAsia" w:ascii="仿宋_GB2312" w:hAnsi="仿宋_GB2312" w:eastAsia="仿宋_GB2312" w:cs="仿宋_GB2312"/>
          <w:bCs/>
          <w:kern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青岛市即墨区预算绩效管理办法</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单位财务管理</w:t>
      </w:r>
      <w:r>
        <w:rPr>
          <w:rFonts w:hint="eastAsia" w:ascii="仿宋_GB2312" w:hAnsi="仿宋_GB2312" w:eastAsia="仿宋_GB2312" w:cs="仿宋_GB2312"/>
          <w:bCs/>
          <w:kern w:val="0"/>
          <w:sz w:val="32"/>
          <w:szCs w:val="32"/>
          <w:lang w:eastAsia="zh-CN"/>
        </w:rPr>
        <w:t>制度</w:t>
      </w:r>
      <w:r>
        <w:rPr>
          <w:rFonts w:hint="eastAsia" w:ascii="仿宋_GB2312" w:hAnsi="仿宋_GB2312" w:eastAsia="仿宋_GB2312" w:cs="仿宋_GB2312"/>
          <w:bCs/>
          <w:kern w:val="0"/>
          <w:sz w:val="32"/>
          <w:szCs w:val="32"/>
        </w:rPr>
        <w:t>、合同、验收资料及其他相关资料。</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2.评价方法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本次评价方法主要由标杆管理法、文献法、公众评判法组成，在对比分析时通过文献资料搜索、数据分析来支撑评价的逻辑紧密性与客观性。始终遵循科学规范、全面系统、公正公开和绩效相关的基本原则。评价方式主要包括：</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（1）标杆管理法。是指以国内外同行业中较高的绩效水平为标杆进行评判的方法。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（2）文献法。是指搜集和分析研究各种现存的有关文献资料，从中选取信息，以达到某种调查研究目的的方法。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（3）公众评判法。是指通过专家评估、公众问卷及抽样调查等对财政支出效果进行评判，评价绩效目标实现程度。</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依据青岛市财政局《关于印发〈市级财政绩效评价操作指南〉的通知》（青财绩〔2020〕6号）文件确定，绩效评价结果采取评分和评级相结合的方式，具体分值和等级可根据不同评价内容设定，总分设置为100分，等级一般划分为四档：90（含）-100分为优、80（含）-90分为良、70 （含）-80分为中、70分以下为差。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3.评价标准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评价标准以国家、省、市及区县相关政策及管理办法、项目绩效目标为依据，关键指标采用计划标准、历史标准、横向标准和政府考核等进行设置。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4.指标体系</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该项目评价指标体系依据《财政部关于印发〈项目支出绩效评价管理办法〉的通知》（财预〔2020〕10号）等文件中项目支出绩效评价指标体系框架，相关文件及其他体现成果的资料等，对项目年度目标进行梳理，细化设计了项目的产出和效果的三级指标、评价标准和评价方式，根据指标的重要性设置了权重。具体指标体系详见附件1。</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1"/>
        <w:rPr>
          <w:rFonts w:hint="eastAsia" w:ascii="楷体_GB2312" w:eastAsia="楷体_GB2312"/>
          <w:sz w:val="32"/>
          <w:szCs w:val="32"/>
        </w:rPr>
      </w:pPr>
      <w:bookmarkStart w:id="14" w:name="_Toc30573"/>
      <w:r>
        <w:rPr>
          <w:rFonts w:hint="eastAsia" w:ascii="楷体_GB2312" w:eastAsia="楷体_GB2312"/>
          <w:sz w:val="32"/>
          <w:szCs w:val="32"/>
        </w:rPr>
        <w:t>（三）评价实施程序</w:t>
      </w:r>
      <w:bookmarkEnd w:id="14"/>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绩效评价工作主要包括前期准备、组织实施、撰写与提交绩效评价报告三个方面。根据委托时间要求，本次绩效评价工作的开展时间为202</w:t>
      </w:r>
      <w:r>
        <w:rPr>
          <w:rFonts w:hint="eastAsia" w:ascii="仿宋_GB2312" w:hAnsi="仿宋_GB2312" w:eastAsia="仿宋_GB2312" w:cs="仿宋_GB2312"/>
          <w:bCs/>
          <w:kern w:val="0"/>
          <w:sz w:val="32"/>
          <w:szCs w:val="32"/>
          <w:lang w:val="en-US" w:eastAsia="zh-CN"/>
        </w:rPr>
        <w:t>3</w:t>
      </w:r>
      <w:r>
        <w:rPr>
          <w:rFonts w:hint="eastAsia" w:ascii="仿宋_GB2312" w:hAnsi="仿宋_GB2312" w:eastAsia="仿宋_GB2312" w:cs="仿宋_GB2312"/>
          <w:bCs/>
          <w:kern w:val="0"/>
          <w:sz w:val="32"/>
          <w:szCs w:val="32"/>
        </w:rPr>
        <w:t>年</w:t>
      </w:r>
      <w:r>
        <w:rPr>
          <w:rFonts w:hint="eastAsia" w:ascii="仿宋_GB2312" w:hAnsi="仿宋_GB2312" w:eastAsia="仿宋_GB2312" w:cs="仿宋_GB2312"/>
          <w:bCs/>
          <w:kern w:val="0"/>
          <w:sz w:val="32"/>
          <w:szCs w:val="32"/>
          <w:lang w:val="en-US" w:eastAsia="zh-CN"/>
        </w:rPr>
        <w:t>6</w:t>
      </w:r>
      <w:r>
        <w:rPr>
          <w:rFonts w:hint="eastAsia" w:ascii="仿宋_GB2312" w:hAnsi="仿宋_GB2312" w:eastAsia="仿宋_GB2312" w:cs="仿宋_GB2312"/>
          <w:bCs/>
          <w:kern w:val="0"/>
          <w:sz w:val="32"/>
          <w:szCs w:val="32"/>
        </w:rPr>
        <w:t>月</w:t>
      </w:r>
      <w:r>
        <w:rPr>
          <w:rFonts w:hint="eastAsia" w:ascii="仿宋_GB2312" w:hAnsi="仿宋_GB2312" w:eastAsia="仿宋_GB2312" w:cs="仿宋_GB2312"/>
          <w:bCs/>
          <w:kern w:val="0"/>
          <w:sz w:val="32"/>
          <w:szCs w:val="32"/>
          <w:lang w:val="en-US" w:eastAsia="zh-CN"/>
        </w:rPr>
        <w:t>15</w:t>
      </w:r>
      <w:r>
        <w:rPr>
          <w:rFonts w:hint="eastAsia" w:ascii="仿宋_GB2312" w:hAnsi="仿宋_GB2312" w:eastAsia="仿宋_GB2312" w:cs="仿宋_GB2312"/>
          <w:bCs/>
          <w:kern w:val="0"/>
          <w:sz w:val="32"/>
          <w:szCs w:val="32"/>
        </w:rPr>
        <w:t>日至2022年</w:t>
      </w:r>
      <w:r>
        <w:rPr>
          <w:rFonts w:hint="eastAsia" w:ascii="仿宋_GB2312" w:hAnsi="仿宋_GB2312" w:eastAsia="仿宋_GB2312" w:cs="仿宋_GB2312"/>
          <w:bCs/>
          <w:kern w:val="0"/>
          <w:sz w:val="32"/>
          <w:szCs w:val="32"/>
          <w:lang w:val="en-US" w:eastAsia="zh-CN"/>
        </w:rPr>
        <w:t>6</w:t>
      </w:r>
      <w:r>
        <w:rPr>
          <w:rFonts w:hint="eastAsia" w:ascii="仿宋_GB2312" w:hAnsi="仿宋_GB2312" w:eastAsia="仿宋_GB2312" w:cs="仿宋_GB2312"/>
          <w:bCs/>
          <w:kern w:val="0"/>
          <w:sz w:val="32"/>
          <w:szCs w:val="32"/>
        </w:rPr>
        <w:t>月</w:t>
      </w:r>
      <w:r>
        <w:rPr>
          <w:rFonts w:hint="eastAsia" w:ascii="仿宋_GB2312" w:hAnsi="仿宋_GB2312" w:eastAsia="仿宋_GB2312" w:cs="仿宋_GB2312"/>
          <w:bCs/>
          <w:kern w:val="0"/>
          <w:sz w:val="32"/>
          <w:szCs w:val="32"/>
          <w:lang w:val="en-US" w:eastAsia="zh-CN"/>
        </w:rPr>
        <w:t>30</w:t>
      </w:r>
      <w:r>
        <w:rPr>
          <w:rFonts w:hint="eastAsia" w:ascii="仿宋_GB2312" w:hAnsi="仿宋_GB2312" w:eastAsia="仿宋_GB2312" w:cs="仿宋_GB2312"/>
          <w:bCs/>
          <w:kern w:val="0"/>
          <w:sz w:val="32"/>
          <w:szCs w:val="32"/>
        </w:rPr>
        <w:t>日，具体安排如下：</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1.前期准备</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rPr>
        <w:t>202</w:t>
      </w:r>
      <w:r>
        <w:rPr>
          <w:rFonts w:hint="eastAsia" w:ascii="仿宋_GB2312" w:hAnsi="仿宋_GB2312" w:eastAsia="仿宋_GB2312" w:cs="仿宋_GB2312"/>
          <w:bCs/>
          <w:kern w:val="0"/>
          <w:sz w:val="32"/>
          <w:szCs w:val="32"/>
          <w:lang w:val="en-US" w:eastAsia="zh-CN"/>
        </w:rPr>
        <w:t>3</w:t>
      </w:r>
      <w:r>
        <w:rPr>
          <w:rFonts w:hint="eastAsia" w:ascii="仿宋_GB2312" w:hAnsi="仿宋_GB2312" w:eastAsia="仿宋_GB2312" w:cs="仿宋_GB2312"/>
          <w:bCs/>
          <w:kern w:val="0"/>
          <w:sz w:val="32"/>
          <w:szCs w:val="32"/>
        </w:rPr>
        <w:t>年</w:t>
      </w:r>
      <w:r>
        <w:rPr>
          <w:rFonts w:hint="eastAsia" w:ascii="仿宋_GB2312" w:hAnsi="仿宋_GB2312" w:eastAsia="仿宋_GB2312" w:cs="仿宋_GB2312"/>
          <w:bCs/>
          <w:kern w:val="0"/>
          <w:sz w:val="32"/>
          <w:szCs w:val="32"/>
          <w:lang w:val="en-US" w:eastAsia="zh-CN"/>
        </w:rPr>
        <w:t>6</w:t>
      </w:r>
      <w:r>
        <w:rPr>
          <w:rFonts w:hint="eastAsia" w:ascii="仿宋_GB2312" w:hAnsi="仿宋_GB2312" w:eastAsia="仿宋_GB2312" w:cs="仿宋_GB2312"/>
          <w:bCs/>
          <w:kern w:val="0"/>
          <w:sz w:val="32"/>
          <w:szCs w:val="32"/>
        </w:rPr>
        <w:t>月</w:t>
      </w:r>
      <w:r>
        <w:rPr>
          <w:rFonts w:hint="eastAsia" w:ascii="仿宋_GB2312" w:hAnsi="仿宋_GB2312" w:eastAsia="仿宋_GB2312" w:cs="仿宋_GB2312"/>
          <w:bCs/>
          <w:kern w:val="0"/>
          <w:sz w:val="32"/>
          <w:szCs w:val="32"/>
          <w:lang w:val="en-US" w:eastAsia="zh-CN"/>
        </w:rPr>
        <w:t>17</w:t>
      </w:r>
      <w:r>
        <w:rPr>
          <w:rFonts w:hint="eastAsia" w:ascii="仿宋_GB2312" w:hAnsi="仿宋_GB2312" w:eastAsia="仿宋_GB2312" w:cs="仿宋_GB2312"/>
          <w:bCs/>
          <w:kern w:val="0"/>
          <w:sz w:val="32"/>
          <w:szCs w:val="32"/>
        </w:rPr>
        <w:t>日前</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根据绩效评价工作内容需要，成立评价小组，通过座谈、调研等方式了解被评价项目及相关单位业务情况，收集相关资料，充分了解项目立项、预算安排、实施内容、组织管理、绩效目标设置等内容。根据具体项目实际情况和绩效管理要求拟订评价实施方案并报送论证。</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2.组织实施</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rPr>
        <w:t>202</w:t>
      </w:r>
      <w:r>
        <w:rPr>
          <w:rFonts w:hint="eastAsia" w:ascii="仿宋_GB2312" w:hAnsi="仿宋_GB2312" w:eastAsia="仿宋_GB2312" w:cs="仿宋_GB2312"/>
          <w:bCs/>
          <w:kern w:val="0"/>
          <w:sz w:val="32"/>
          <w:szCs w:val="32"/>
          <w:lang w:val="en-US" w:eastAsia="zh-CN"/>
        </w:rPr>
        <w:t>3</w:t>
      </w:r>
      <w:r>
        <w:rPr>
          <w:rFonts w:hint="eastAsia" w:ascii="仿宋_GB2312" w:hAnsi="仿宋_GB2312" w:eastAsia="仿宋_GB2312" w:cs="仿宋_GB2312"/>
          <w:bCs/>
          <w:kern w:val="0"/>
          <w:sz w:val="32"/>
          <w:szCs w:val="32"/>
        </w:rPr>
        <w:t>年</w:t>
      </w:r>
      <w:r>
        <w:rPr>
          <w:rFonts w:hint="eastAsia" w:ascii="仿宋_GB2312" w:hAnsi="仿宋_GB2312" w:eastAsia="仿宋_GB2312" w:cs="仿宋_GB2312"/>
          <w:bCs/>
          <w:kern w:val="0"/>
          <w:sz w:val="32"/>
          <w:szCs w:val="32"/>
          <w:lang w:val="en-US" w:eastAsia="zh-CN"/>
        </w:rPr>
        <w:t>6</w:t>
      </w:r>
      <w:r>
        <w:rPr>
          <w:rFonts w:hint="eastAsia" w:ascii="仿宋_GB2312" w:hAnsi="仿宋_GB2312" w:eastAsia="仿宋_GB2312" w:cs="仿宋_GB2312"/>
          <w:bCs/>
          <w:kern w:val="0"/>
          <w:sz w:val="32"/>
          <w:szCs w:val="32"/>
        </w:rPr>
        <w:t>月</w:t>
      </w:r>
      <w:r>
        <w:rPr>
          <w:rFonts w:hint="eastAsia" w:ascii="仿宋_GB2312" w:hAnsi="仿宋_GB2312" w:eastAsia="仿宋_GB2312" w:cs="仿宋_GB2312"/>
          <w:bCs/>
          <w:kern w:val="0"/>
          <w:sz w:val="32"/>
          <w:szCs w:val="32"/>
          <w:lang w:val="en-US" w:eastAsia="zh-CN"/>
        </w:rPr>
        <w:t>23</w:t>
      </w:r>
      <w:r>
        <w:rPr>
          <w:rFonts w:hint="eastAsia" w:ascii="仿宋_GB2312" w:hAnsi="仿宋_GB2312" w:eastAsia="仿宋_GB2312" w:cs="仿宋_GB2312"/>
          <w:bCs/>
          <w:kern w:val="0"/>
          <w:sz w:val="32"/>
          <w:szCs w:val="32"/>
        </w:rPr>
        <w:t>日前</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评价组对被评价部门单位提供的项目相关资料和各种公开数据资料进行分类、汇总和分析并对项目进行实地勘察、资料核实、社会调查、分析评价等，形成绩效评价初步结论。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3.撰写与提交绩效评价报告</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rPr>
        <w:t>202</w:t>
      </w:r>
      <w:r>
        <w:rPr>
          <w:rFonts w:hint="eastAsia" w:ascii="仿宋_GB2312" w:hAnsi="仿宋_GB2312" w:eastAsia="仿宋_GB2312" w:cs="仿宋_GB2312"/>
          <w:bCs/>
          <w:kern w:val="0"/>
          <w:sz w:val="32"/>
          <w:szCs w:val="32"/>
          <w:lang w:val="en-US" w:eastAsia="zh-CN"/>
        </w:rPr>
        <w:t>3</w:t>
      </w:r>
      <w:r>
        <w:rPr>
          <w:rFonts w:hint="eastAsia" w:ascii="仿宋_GB2312" w:hAnsi="仿宋_GB2312" w:eastAsia="仿宋_GB2312" w:cs="仿宋_GB2312"/>
          <w:bCs/>
          <w:kern w:val="0"/>
          <w:sz w:val="32"/>
          <w:szCs w:val="32"/>
        </w:rPr>
        <w:t>年</w:t>
      </w:r>
      <w:r>
        <w:rPr>
          <w:rFonts w:hint="eastAsia" w:ascii="仿宋_GB2312" w:hAnsi="仿宋_GB2312" w:eastAsia="仿宋_GB2312" w:cs="仿宋_GB2312"/>
          <w:bCs/>
          <w:kern w:val="0"/>
          <w:sz w:val="32"/>
          <w:szCs w:val="32"/>
          <w:lang w:val="en-US" w:eastAsia="zh-CN"/>
        </w:rPr>
        <w:t>6</w:t>
      </w:r>
      <w:r>
        <w:rPr>
          <w:rFonts w:hint="eastAsia" w:ascii="仿宋_GB2312" w:hAnsi="仿宋_GB2312" w:eastAsia="仿宋_GB2312" w:cs="仿宋_GB2312"/>
          <w:bCs/>
          <w:kern w:val="0"/>
          <w:sz w:val="32"/>
          <w:szCs w:val="32"/>
        </w:rPr>
        <w:t>月</w:t>
      </w:r>
      <w:r>
        <w:rPr>
          <w:rFonts w:hint="eastAsia" w:ascii="仿宋_GB2312" w:hAnsi="仿宋_GB2312" w:eastAsia="仿宋_GB2312" w:cs="仿宋_GB2312"/>
          <w:bCs/>
          <w:kern w:val="0"/>
          <w:sz w:val="32"/>
          <w:szCs w:val="32"/>
          <w:lang w:val="en-US" w:eastAsia="zh-CN"/>
        </w:rPr>
        <w:t>30</w:t>
      </w:r>
      <w:r>
        <w:rPr>
          <w:rFonts w:hint="eastAsia" w:ascii="仿宋_GB2312" w:hAnsi="仿宋_GB2312" w:eastAsia="仿宋_GB2312" w:cs="仿宋_GB2312"/>
          <w:bCs/>
          <w:kern w:val="0"/>
          <w:sz w:val="32"/>
          <w:szCs w:val="32"/>
        </w:rPr>
        <w:t>日前</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评价组在认真梳理、研究、分析现场评价和非现场评价情况的基础上，按照规定格式撰写绩效评价报告</w:t>
      </w:r>
      <w:r>
        <w:rPr>
          <w:rFonts w:hint="eastAsia" w:ascii="仿宋_GB2312" w:hAnsi="仿宋_GB2312" w:eastAsia="仿宋_GB2312" w:cs="仿宋_GB2312"/>
          <w:bCs/>
          <w:kern w:val="0"/>
          <w:sz w:val="32"/>
          <w:szCs w:val="32"/>
          <w:lang w:eastAsia="zh-CN"/>
        </w:rPr>
        <w:t>，并</w:t>
      </w:r>
      <w:r>
        <w:rPr>
          <w:rFonts w:hint="eastAsia" w:ascii="仿宋_GB2312" w:hAnsi="仿宋_GB2312" w:eastAsia="仿宋_GB2312" w:cs="仿宋_GB2312"/>
          <w:bCs/>
          <w:kern w:val="0"/>
          <w:sz w:val="32"/>
          <w:szCs w:val="32"/>
        </w:rPr>
        <w:t>按</w:t>
      </w:r>
      <w:r>
        <w:rPr>
          <w:rFonts w:hint="eastAsia" w:ascii="仿宋_GB2312" w:hAnsi="仿宋_GB2312" w:eastAsia="仿宋_GB2312" w:cs="仿宋_GB2312"/>
          <w:bCs/>
          <w:kern w:val="0"/>
          <w:sz w:val="32"/>
          <w:szCs w:val="32"/>
          <w:lang w:eastAsia="zh-CN"/>
        </w:rPr>
        <w:t>时</w:t>
      </w:r>
      <w:r>
        <w:rPr>
          <w:rFonts w:hint="eastAsia" w:ascii="仿宋_GB2312" w:hAnsi="仿宋_GB2312" w:eastAsia="仿宋_GB2312" w:cs="仿宋_GB2312"/>
          <w:bCs/>
          <w:kern w:val="0"/>
          <w:sz w:val="32"/>
          <w:szCs w:val="32"/>
        </w:rPr>
        <w:t>提交。</w:t>
      </w:r>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eastAsia="楷体_GB2312"/>
          <w:sz w:val="32"/>
          <w:szCs w:val="32"/>
        </w:rPr>
      </w:pPr>
      <w:bookmarkStart w:id="15" w:name="_Toc5616"/>
      <w:r>
        <w:rPr>
          <w:rFonts w:hint="eastAsia" w:ascii="楷体_GB2312" w:eastAsia="楷体_GB2312"/>
          <w:sz w:val="32"/>
          <w:szCs w:val="32"/>
        </w:rPr>
        <w:t>（四）指标分析</w:t>
      </w:r>
      <w:bookmarkEnd w:id="15"/>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bCs w:val="0"/>
          <w:sz w:val="32"/>
          <w:szCs w:val="32"/>
        </w:rPr>
      </w:pPr>
      <w:bookmarkStart w:id="16" w:name="_Toc14437"/>
      <w:r>
        <w:rPr>
          <w:rFonts w:hint="eastAsia" w:ascii="仿宋_GB2312" w:hAnsi="仿宋_GB2312" w:eastAsia="仿宋_GB2312" w:cs="仿宋_GB2312"/>
          <w:b/>
          <w:bCs w:val="0"/>
          <w:sz w:val="32"/>
          <w:szCs w:val="32"/>
        </w:rPr>
        <w:t>1.项目决策情况</w:t>
      </w:r>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决策指标从项目立项、绩效目标、资金投入等方面来考察。决策类指标分值20分，实际得分</w:t>
      </w:r>
      <w:r>
        <w:rPr>
          <w:rFonts w:hint="eastAsia" w:ascii="仿宋_GB2312" w:hAnsi="仿宋_GB2312" w:eastAsia="仿宋_GB2312" w:cs="仿宋_GB2312"/>
          <w:bCs/>
          <w:sz w:val="32"/>
          <w:szCs w:val="32"/>
          <w:lang w:val="en-US" w:eastAsia="zh-CN"/>
        </w:rPr>
        <w:t>16.5</w:t>
      </w:r>
      <w:r>
        <w:rPr>
          <w:rFonts w:hint="eastAsia" w:ascii="仿宋_GB2312" w:hAnsi="仿宋_GB2312" w:eastAsia="仿宋_GB2312" w:cs="仿宋_GB2312"/>
          <w:bCs/>
          <w:sz w:val="32"/>
          <w:szCs w:val="32"/>
        </w:rPr>
        <w:t>分，得分率为</w:t>
      </w:r>
      <w:r>
        <w:rPr>
          <w:rFonts w:hint="eastAsia" w:ascii="仿宋_GB2312" w:hAnsi="仿宋_GB2312" w:eastAsia="仿宋_GB2312" w:cs="仿宋_GB2312"/>
          <w:bCs/>
          <w:sz w:val="32"/>
          <w:szCs w:val="32"/>
          <w:lang w:val="en-US" w:eastAsia="zh-CN"/>
        </w:rPr>
        <w:t>82.5%</w:t>
      </w:r>
      <w:r>
        <w:rPr>
          <w:rFonts w:hint="eastAsia" w:ascii="仿宋_GB2312" w:hAnsi="仿宋_GB2312" w:eastAsia="仿宋_GB2312" w:cs="仿宋_GB2312"/>
          <w:bCs/>
          <w:sz w:val="32"/>
          <w:szCs w:val="32"/>
        </w:rPr>
        <w:t>。指标得分情况见表3-1。</w:t>
      </w:r>
    </w:p>
    <w:p>
      <w:pPr>
        <w:widowControl/>
        <w:jc w:val="center"/>
        <w:rPr>
          <w:rFonts w:ascii="仿宋" w:hAnsi="仿宋" w:cs="宋体"/>
          <w:b/>
          <w:bCs/>
          <w:kern w:val="0"/>
          <w:sz w:val="24"/>
        </w:rPr>
      </w:pPr>
      <w:r>
        <w:rPr>
          <w:rFonts w:hint="eastAsia" w:ascii="仿宋" w:hAnsi="仿宋" w:cs="宋体"/>
          <w:b/>
          <w:bCs/>
          <w:kern w:val="0"/>
          <w:sz w:val="24"/>
        </w:rPr>
        <w:t>表3-1  决策指标得分情况</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2"/>
        <w:gridCol w:w="845"/>
        <w:gridCol w:w="1369"/>
        <w:gridCol w:w="1285"/>
        <w:gridCol w:w="1295"/>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462" w:type="pct"/>
            <w:shd w:val="clear" w:color="000000" w:fill="A6A6A6"/>
            <w:noWrap w:val="0"/>
            <w:vAlign w:val="center"/>
          </w:tcPr>
          <w:p>
            <w:pPr>
              <w:widowControl/>
              <w:jc w:val="center"/>
              <w:rPr>
                <w:rFonts w:ascii="仿宋" w:hAnsi="仿宋" w:cs="宋体"/>
                <w:b/>
                <w:kern w:val="0"/>
                <w:sz w:val="21"/>
                <w:szCs w:val="21"/>
              </w:rPr>
            </w:pPr>
            <w:r>
              <w:rPr>
                <w:rFonts w:ascii="仿宋" w:hAnsi="仿宋" w:cs="宋体"/>
                <w:b/>
                <w:kern w:val="0"/>
                <w:sz w:val="21"/>
                <w:szCs w:val="21"/>
              </w:rPr>
              <w:t>三级指标</w:t>
            </w:r>
          </w:p>
        </w:tc>
        <w:tc>
          <w:tcPr>
            <w:tcW w:w="496"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kern w:val="0"/>
                <w:sz w:val="21"/>
                <w:szCs w:val="21"/>
              </w:rPr>
              <w:t>权重</w:t>
            </w:r>
          </w:p>
        </w:tc>
        <w:tc>
          <w:tcPr>
            <w:tcW w:w="803" w:type="pct"/>
            <w:shd w:val="clear" w:color="000000" w:fill="A6A6A6"/>
            <w:noWrap w:val="0"/>
            <w:vAlign w:val="center"/>
          </w:tcPr>
          <w:p>
            <w:pPr>
              <w:widowControl/>
              <w:jc w:val="center"/>
              <w:rPr>
                <w:rFonts w:ascii="仿宋" w:hAnsi="仿宋" w:cs="宋体"/>
                <w:b/>
                <w:kern w:val="0"/>
                <w:sz w:val="21"/>
                <w:szCs w:val="21"/>
              </w:rPr>
            </w:pPr>
            <w:r>
              <w:rPr>
                <w:rFonts w:ascii="仿宋" w:hAnsi="仿宋" w:cs="宋体"/>
                <w:b/>
                <w:kern w:val="0"/>
                <w:sz w:val="21"/>
                <w:szCs w:val="21"/>
              </w:rPr>
              <w:t>目标值</w:t>
            </w:r>
          </w:p>
        </w:tc>
        <w:tc>
          <w:tcPr>
            <w:tcW w:w="754" w:type="pct"/>
            <w:shd w:val="clear" w:color="000000" w:fill="A6A6A6"/>
            <w:noWrap w:val="0"/>
            <w:vAlign w:val="center"/>
          </w:tcPr>
          <w:p>
            <w:pPr>
              <w:widowControl/>
              <w:jc w:val="center"/>
              <w:rPr>
                <w:rFonts w:ascii="仿宋" w:hAnsi="仿宋" w:cs="宋体"/>
                <w:b/>
                <w:kern w:val="0"/>
                <w:sz w:val="21"/>
                <w:szCs w:val="21"/>
              </w:rPr>
            </w:pPr>
            <w:r>
              <w:rPr>
                <w:rFonts w:ascii="仿宋" w:hAnsi="仿宋" w:cs="宋体"/>
                <w:b/>
                <w:kern w:val="0"/>
                <w:sz w:val="21"/>
                <w:szCs w:val="21"/>
              </w:rPr>
              <w:t>业绩值</w:t>
            </w:r>
          </w:p>
        </w:tc>
        <w:tc>
          <w:tcPr>
            <w:tcW w:w="760"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kern w:val="0"/>
                <w:sz w:val="21"/>
                <w:szCs w:val="21"/>
              </w:rPr>
              <w:t>得分率</w:t>
            </w:r>
          </w:p>
        </w:tc>
        <w:tc>
          <w:tcPr>
            <w:tcW w:w="722"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kern w:val="0"/>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62" w:type="pct"/>
            <w:shd w:val="clear" w:color="auto" w:fill="auto"/>
            <w:noWrap w:val="0"/>
            <w:vAlign w:val="center"/>
          </w:tcPr>
          <w:p>
            <w:pPr>
              <w:widowControl/>
              <w:jc w:val="center"/>
              <w:textAlignment w:val="center"/>
              <w:rPr>
                <w:rFonts w:ascii="仿宋" w:hAnsi="仿宋" w:cs="仿宋_GB2312"/>
                <w:kern w:val="0"/>
                <w:sz w:val="21"/>
                <w:szCs w:val="21"/>
              </w:rPr>
            </w:pPr>
            <w:r>
              <w:rPr>
                <w:rFonts w:hint="eastAsia" w:ascii="仿宋" w:hAnsi="仿宋" w:cs="仿宋_GB2312"/>
                <w:kern w:val="0"/>
                <w:sz w:val="21"/>
                <w:szCs w:val="21"/>
              </w:rPr>
              <w:t>立项依据充分性</w:t>
            </w:r>
          </w:p>
        </w:tc>
        <w:tc>
          <w:tcPr>
            <w:tcW w:w="496" w:type="pct"/>
            <w:shd w:val="clear" w:color="auto" w:fill="auto"/>
            <w:noWrap w:val="0"/>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3</w:t>
            </w:r>
          </w:p>
        </w:tc>
        <w:tc>
          <w:tcPr>
            <w:tcW w:w="803" w:type="pct"/>
            <w:shd w:val="clear" w:color="000000" w:fill="FFFFFF"/>
            <w:noWrap w:val="0"/>
            <w:vAlign w:val="center"/>
          </w:tcPr>
          <w:p>
            <w:pPr>
              <w:widowControl/>
              <w:jc w:val="center"/>
              <w:textAlignment w:val="center"/>
              <w:rPr>
                <w:rFonts w:ascii="仿宋" w:hAnsi="仿宋" w:cs="仿宋_GB2312"/>
                <w:kern w:val="0"/>
                <w:sz w:val="21"/>
                <w:szCs w:val="21"/>
              </w:rPr>
            </w:pPr>
            <w:r>
              <w:rPr>
                <w:rFonts w:hint="eastAsia" w:ascii="仿宋" w:hAnsi="仿宋" w:cs="仿宋_GB2312"/>
                <w:kern w:val="0"/>
                <w:sz w:val="21"/>
                <w:szCs w:val="21"/>
              </w:rPr>
              <w:t>充分</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充分</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100%</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62" w:type="pct"/>
            <w:shd w:val="clear" w:color="auto" w:fill="auto"/>
            <w:noWrap w:val="0"/>
            <w:vAlign w:val="center"/>
          </w:tcPr>
          <w:p>
            <w:pPr>
              <w:widowControl/>
              <w:jc w:val="center"/>
              <w:textAlignment w:val="center"/>
              <w:rPr>
                <w:rFonts w:ascii="仿宋" w:hAnsi="仿宋" w:cs="仿宋_GB2312"/>
                <w:kern w:val="0"/>
                <w:sz w:val="21"/>
                <w:szCs w:val="21"/>
              </w:rPr>
            </w:pPr>
            <w:r>
              <w:rPr>
                <w:rFonts w:hint="eastAsia" w:ascii="仿宋" w:hAnsi="仿宋" w:cs="仿宋_GB2312"/>
                <w:kern w:val="0"/>
                <w:sz w:val="21"/>
                <w:szCs w:val="21"/>
              </w:rPr>
              <w:t>立项程序规范性</w:t>
            </w:r>
          </w:p>
        </w:tc>
        <w:tc>
          <w:tcPr>
            <w:tcW w:w="496" w:type="pct"/>
            <w:shd w:val="clear" w:color="auto" w:fill="auto"/>
            <w:noWrap w:val="0"/>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3</w:t>
            </w:r>
          </w:p>
        </w:tc>
        <w:tc>
          <w:tcPr>
            <w:tcW w:w="803" w:type="pct"/>
            <w:shd w:val="clear" w:color="000000" w:fill="FFFFFF"/>
            <w:noWrap w:val="0"/>
            <w:vAlign w:val="center"/>
          </w:tcPr>
          <w:p>
            <w:pPr>
              <w:widowControl/>
              <w:jc w:val="center"/>
              <w:textAlignment w:val="center"/>
              <w:rPr>
                <w:rFonts w:hint="eastAsia" w:ascii="仿宋" w:hAnsi="仿宋" w:cs="仿宋_GB2312"/>
                <w:kern w:val="0"/>
                <w:sz w:val="21"/>
                <w:szCs w:val="21"/>
              </w:rPr>
            </w:pPr>
            <w:r>
              <w:rPr>
                <w:rFonts w:hint="eastAsia" w:ascii="仿宋" w:hAnsi="仿宋" w:cs="仿宋_GB2312"/>
                <w:kern w:val="0"/>
                <w:sz w:val="21"/>
                <w:szCs w:val="21"/>
              </w:rPr>
              <w:t>规范</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规范</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100%</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62" w:type="pct"/>
            <w:shd w:val="clear" w:color="auto" w:fill="auto"/>
            <w:noWrap w:val="0"/>
            <w:vAlign w:val="center"/>
          </w:tcPr>
          <w:p>
            <w:pPr>
              <w:widowControl/>
              <w:jc w:val="center"/>
              <w:textAlignment w:val="center"/>
              <w:rPr>
                <w:rFonts w:ascii="仿宋" w:hAnsi="仿宋" w:cs="仿宋_GB2312"/>
                <w:kern w:val="0"/>
                <w:sz w:val="21"/>
                <w:szCs w:val="21"/>
              </w:rPr>
            </w:pPr>
            <w:r>
              <w:rPr>
                <w:rFonts w:hint="eastAsia" w:ascii="仿宋" w:hAnsi="仿宋" w:cs="仿宋_GB2312"/>
                <w:kern w:val="0"/>
                <w:sz w:val="21"/>
                <w:szCs w:val="21"/>
              </w:rPr>
              <w:t>绩效目标合理性</w:t>
            </w:r>
          </w:p>
        </w:tc>
        <w:tc>
          <w:tcPr>
            <w:tcW w:w="496" w:type="pct"/>
            <w:shd w:val="clear" w:color="auto" w:fill="auto"/>
            <w:noWrap w:val="0"/>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3</w:t>
            </w:r>
          </w:p>
        </w:tc>
        <w:tc>
          <w:tcPr>
            <w:tcW w:w="803" w:type="pct"/>
            <w:shd w:val="clear" w:color="000000" w:fill="FFFFFF"/>
            <w:noWrap w:val="0"/>
            <w:vAlign w:val="center"/>
          </w:tcPr>
          <w:p>
            <w:pPr>
              <w:widowControl/>
              <w:jc w:val="center"/>
              <w:textAlignment w:val="center"/>
              <w:rPr>
                <w:rFonts w:hint="eastAsia" w:ascii="仿宋" w:hAnsi="仿宋" w:cs="仿宋_GB2312"/>
                <w:kern w:val="0"/>
                <w:sz w:val="21"/>
                <w:szCs w:val="21"/>
              </w:rPr>
            </w:pPr>
            <w:r>
              <w:rPr>
                <w:rFonts w:hint="eastAsia" w:ascii="仿宋" w:hAnsi="仿宋" w:cs="仿宋_GB2312"/>
                <w:kern w:val="0"/>
                <w:sz w:val="21"/>
                <w:szCs w:val="21"/>
              </w:rPr>
              <w:t>合理</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cs="仿宋_GB2312"/>
                <w:kern w:val="0"/>
                <w:sz w:val="21"/>
                <w:szCs w:val="21"/>
                <w:lang w:eastAsia="zh-CN"/>
              </w:rPr>
              <w:t>需完善</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50%</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62" w:type="pct"/>
            <w:shd w:val="clear" w:color="auto" w:fill="auto"/>
            <w:noWrap w:val="0"/>
            <w:vAlign w:val="center"/>
          </w:tcPr>
          <w:p>
            <w:pPr>
              <w:widowControl/>
              <w:jc w:val="center"/>
              <w:textAlignment w:val="center"/>
              <w:rPr>
                <w:rFonts w:ascii="仿宋" w:hAnsi="仿宋" w:cs="仿宋_GB2312"/>
                <w:kern w:val="0"/>
                <w:sz w:val="21"/>
                <w:szCs w:val="21"/>
              </w:rPr>
            </w:pPr>
            <w:r>
              <w:rPr>
                <w:rFonts w:hint="eastAsia" w:ascii="仿宋" w:hAnsi="仿宋" w:cs="仿宋_GB2312"/>
                <w:kern w:val="0"/>
                <w:sz w:val="21"/>
                <w:szCs w:val="21"/>
              </w:rPr>
              <w:t>绩效指标明确性</w:t>
            </w:r>
          </w:p>
        </w:tc>
        <w:tc>
          <w:tcPr>
            <w:tcW w:w="496" w:type="pct"/>
            <w:shd w:val="clear" w:color="auto" w:fill="auto"/>
            <w:noWrap w:val="0"/>
            <w:vAlign w:val="center"/>
          </w:tcPr>
          <w:p>
            <w:pPr>
              <w:widowControl/>
              <w:jc w:val="center"/>
              <w:rPr>
                <w:rFonts w:hint="eastAsia" w:ascii="仿宋" w:hAnsi="仿宋" w:cs="宋体"/>
                <w:kern w:val="0"/>
                <w:sz w:val="21"/>
                <w:szCs w:val="21"/>
              </w:rPr>
            </w:pPr>
            <w:r>
              <w:rPr>
                <w:rFonts w:hint="eastAsia" w:ascii="仿宋" w:hAnsi="仿宋" w:cs="宋体"/>
                <w:kern w:val="0"/>
                <w:sz w:val="21"/>
                <w:szCs w:val="21"/>
              </w:rPr>
              <w:t>3</w:t>
            </w:r>
          </w:p>
        </w:tc>
        <w:tc>
          <w:tcPr>
            <w:tcW w:w="803" w:type="pct"/>
            <w:shd w:val="clear" w:color="000000" w:fill="FFFFFF"/>
            <w:noWrap w:val="0"/>
            <w:vAlign w:val="center"/>
          </w:tcPr>
          <w:p>
            <w:pPr>
              <w:widowControl/>
              <w:jc w:val="center"/>
              <w:textAlignment w:val="center"/>
              <w:rPr>
                <w:rFonts w:hint="eastAsia" w:ascii="仿宋" w:hAnsi="仿宋" w:cs="仿宋_GB2312"/>
                <w:kern w:val="0"/>
                <w:sz w:val="21"/>
                <w:szCs w:val="21"/>
              </w:rPr>
            </w:pPr>
            <w:r>
              <w:rPr>
                <w:rFonts w:hint="eastAsia" w:ascii="仿宋" w:hAnsi="仿宋" w:cs="仿宋_GB2312"/>
                <w:kern w:val="0"/>
                <w:sz w:val="21"/>
                <w:szCs w:val="21"/>
              </w:rPr>
              <w:t>明确</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cs="仿宋_GB2312"/>
                <w:kern w:val="0"/>
                <w:sz w:val="21"/>
                <w:szCs w:val="21"/>
                <w:lang w:eastAsia="zh-CN"/>
              </w:rPr>
              <w:t>需完善</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kern w:val="2"/>
                <w:sz w:val="21"/>
                <w:szCs w:val="21"/>
                <w:lang w:val="en-US" w:eastAsia="zh-CN" w:bidi="ar-SA"/>
              </w:rPr>
            </w:pPr>
            <w:r>
              <w:rPr>
                <w:rFonts w:hint="eastAsia" w:ascii="仿宋_GB2312" w:hAnsi="仿宋_GB2312" w:cs="仿宋_GB2312"/>
                <w:sz w:val="21"/>
                <w:szCs w:val="21"/>
                <w:lang w:val="en-US" w:eastAsia="zh-CN"/>
              </w:rPr>
              <w:t>33.33</w:t>
            </w:r>
            <w:r>
              <w:rPr>
                <w:rFonts w:hint="eastAsia" w:ascii="仿宋_GB2312" w:hAnsi="仿宋_GB2312" w:eastAsia="仿宋_GB2312" w:cs="仿宋_GB2312"/>
                <w:sz w:val="21"/>
                <w:szCs w:val="21"/>
                <w:lang w:val="en-US" w:eastAsia="zh-CN"/>
              </w:rPr>
              <w:t>%</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cs="仿宋_GB2312"/>
                <w:kern w:val="0"/>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62" w:type="pct"/>
            <w:shd w:val="clear" w:color="auto" w:fill="auto"/>
            <w:noWrap w:val="0"/>
            <w:vAlign w:val="center"/>
          </w:tcPr>
          <w:p>
            <w:pPr>
              <w:widowControl/>
              <w:jc w:val="center"/>
              <w:textAlignment w:val="center"/>
              <w:rPr>
                <w:rFonts w:hint="eastAsia" w:ascii="仿宋" w:hAnsi="仿宋" w:cs="仿宋_GB2312"/>
                <w:kern w:val="0"/>
                <w:sz w:val="21"/>
                <w:szCs w:val="21"/>
              </w:rPr>
            </w:pPr>
            <w:r>
              <w:rPr>
                <w:rFonts w:hint="eastAsia" w:ascii="仿宋" w:hAnsi="仿宋" w:cs="仿宋_GB2312"/>
                <w:kern w:val="0"/>
                <w:sz w:val="21"/>
                <w:szCs w:val="21"/>
              </w:rPr>
              <w:t>预算编制科学性</w:t>
            </w:r>
          </w:p>
        </w:tc>
        <w:tc>
          <w:tcPr>
            <w:tcW w:w="496" w:type="pct"/>
            <w:shd w:val="clear" w:color="auto" w:fill="auto"/>
            <w:noWrap w:val="0"/>
            <w:vAlign w:val="center"/>
          </w:tcPr>
          <w:p>
            <w:pPr>
              <w:widowControl/>
              <w:jc w:val="center"/>
              <w:rPr>
                <w:rFonts w:hint="eastAsia" w:ascii="仿宋" w:hAnsi="仿宋" w:eastAsia="仿宋" w:cs="宋体"/>
                <w:kern w:val="0"/>
                <w:sz w:val="21"/>
                <w:szCs w:val="21"/>
              </w:rPr>
            </w:pPr>
            <w:r>
              <w:rPr>
                <w:rFonts w:hint="eastAsia" w:ascii="仿宋" w:hAnsi="仿宋" w:cs="宋体"/>
                <w:kern w:val="0"/>
                <w:sz w:val="21"/>
                <w:szCs w:val="21"/>
              </w:rPr>
              <w:t>4</w:t>
            </w:r>
          </w:p>
        </w:tc>
        <w:tc>
          <w:tcPr>
            <w:tcW w:w="803" w:type="pct"/>
            <w:shd w:val="clear" w:color="000000" w:fill="FFFFFF"/>
            <w:noWrap w:val="0"/>
            <w:vAlign w:val="center"/>
          </w:tcPr>
          <w:p>
            <w:pPr>
              <w:widowControl/>
              <w:jc w:val="center"/>
              <w:textAlignment w:val="center"/>
              <w:rPr>
                <w:rFonts w:hint="eastAsia" w:ascii="仿宋" w:hAnsi="仿宋" w:cs="仿宋_GB2312"/>
                <w:kern w:val="0"/>
                <w:sz w:val="21"/>
                <w:szCs w:val="21"/>
              </w:rPr>
            </w:pPr>
            <w:r>
              <w:rPr>
                <w:rFonts w:hint="eastAsia" w:ascii="仿宋" w:hAnsi="仿宋" w:cs="仿宋_GB2312"/>
                <w:kern w:val="0"/>
                <w:sz w:val="21"/>
                <w:szCs w:val="21"/>
              </w:rPr>
              <w:t>科学</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科学</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100%</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62" w:type="pct"/>
            <w:shd w:val="clear" w:color="auto" w:fill="auto"/>
            <w:noWrap w:val="0"/>
            <w:vAlign w:val="center"/>
          </w:tcPr>
          <w:p>
            <w:pPr>
              <w:widowControl/>
              <w:jc w:val="center"/>
              <w:textAlignment w:val="center"/>
              <w:rPr>
                <w:rFonts w:ascii="仿宋" w:hAnsi="仿宋" w:cs="仿宋_GB2312"/>
                <w:kern w:val="0"/>
                <w:sz w:val="21"/>
                <w:szCs w:val="21"/>
              </w:rPr>
            </w:pPr>
            <w:r>
              <w:rPr>
                <w:rFonts w:hint="eastAsia" w:ascii="仿宋" w:hAnsi="仿宋" w:cs="仿宋_GB2312"/>
                <w:kern w:val="0"/>
                <w:sz w:val="21"/>
                <w:szCs w:val="21"/>
              </w:rPr>
              <w:t>资金分配合理性</w:t>
            </w:r>
          </w:p>
        </w:tc>
        <w:tc>
          <w:tcPr>
            <w:tcW w:w="496" w:type="pct"/>
            <w:shd w:val="clear" w:color="auto" w:fill="auto"/>
            <w:noWrap w:val="0"/>
            <w:vAlign w:val="center"/>
          </w:tcPr>
          <w:p>
            <w:pPr>
              <w:widowControl/>
              <w:jc w:val="center"/>
              <w:rPr>
                <w:rFonts w:hint="eastAsia" w:ascii="仿宋" w:hAnsi="仿宋" w:eastAsia="仿宋" w:cs="宋体"/>
                <w:kern w:val="0"/>
                <w:sz w:val="21"/>
                <w:szCs w:val="21"/>
              </w:rPr>
            </w:pPr>
            <w:r>
              <w:rPr>
                <w:rFonts w:hint="eastAsia" w:ascii="仿宋" w:hAnsi="仿宋" w:cs="宋体"/>
                <w:kern w:val="0"/>
                <w:sz w:val="21"/>
                <w:szCs w:val="21"/>
              </w:rPr>
              <w:t>4</w:t>
            </w:r>
          </w:p>
        </w:tc>
        <w:tc>
          <w:tcPr>
            <w:tcW w:w="803" w:type="pct"/>
            <w:shd w:val="clear" w:color="000000" w:fill="FFFFFF"/>
            <w:noWrap w:val="0"/>
            <w:vAlign w:val="center"/>
          </w:tcPr>
          <w:p>
            <w:pPr>
              <w:widowControl/>
              <w:jc w:val="center"/>
              <w:textAlignment w:val="center"/>
              <w:rPr>
                <w:rFonts w:hint="eastAsia" w:ascii="仿宋" w:hAnsi="仿宋" w:cs="仿宋_GB2312"/>
                <w:kern w:val="0"/>
                <w:sz w:val="21"/>
                <w:szCs w:val="21"/>
              </w:rPr>
            </w:pPr>
            <w:r>
              <w:rPr>
                <w:rFonts w:hint="eastAsia" w:ascii="仿宋" w:hAnsi="仿宋" w:cs="仿宋_GB2312"/>
                <w:kern w:val="0"/>
                <w:sz w:val="21"/>
                <w:szCs w:val="21"/>
              </w:rPr>
              <w:t>合理</w:t>
            </w:r>
          </w:p>
        </w:tc>
        <w:tc>
          <w:tcPr>
            <w:tcW w:w="754" w:type="pct"/>
            <w:noWrap w:val="0"/>
            <w:vAlign w:val="center"/>
          </w:tcPr>
          <w:p>
            <w:pPr>
              <w:widowControl/>
              <w:jc w:val="center"/>
              <w:textAlignment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合理</w:t>
            </w:r>
          </w:p>
        </w:tc>
        <w:tc>
          <w:tcPr>
            <w:tcW w:w="760" w:type="pct"/>
            <w:noWrap w:val="0"/>
            <w:vAlign w:val="center"/>
          </w:tcPr>
          <w:p>
            <w:pPr>
              <w:widowControl/>
              <w:adjustRightInd w:val="0"/>
              <w:snapToGrid w:val="0"/>
              <w:jc w:val="center"/>
              <w:textAlignment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100%</w:t>
            </w:r>
          </w:p>
        </w:tc>
        <w:tc>
          <w:tcPr>
            <w:tcW w:w="722" w:type="pct"/>
            <w:noWrap w:val="0"/>
            <w:vAlign w:val="center"/>
          </w:tcPr>
          <w:p>
            <w:pPr>
              <w:widowControl/>
              <w:jc w:val="center"/>
              <w:rPr>
                <w:rFonts w:hint="eastAsia" w:ascii="仿宋_GB2312" w:hAnsi="仿宋_GB2312" w:eastAsia="仿宋_GB2312" w:cs="仿宋_GB2312"/>
                <w:kern w:val="0"/>
                <w:sz w:val="21"/>
                <w:szCs w:val="21"/>
                <w:lang w:val="en-US" w:eastAsia="zh-CN" w:bidi="ar-SA"/>
              </w:rPr>
            </w:pPr>
            <w:r>
              <w:rPr>
                <w:rFonts w:hint="eastAsia" w:ascii="仿宋_GB2312" w:hAnsi="仿宋_GB2312" w:eastAsia="仿宋_GB2312" w:cs="仿宋_GB2312"/>
                <w:kern w:val="0"/>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62" w:type="pct"/>
            <w:noWrap w:val="0"/>
            <w:vAlign w:val="center"/>
          </w:tcPr>
          <w:p>
            <w:pPr>
              <w:widowControl/>
              <w:jc w:val="center"/>
              <w:rPr>
                <w:rFonts w:ascii="仿宋" w:hAnsi="仿宋" w:cs="宋体"/>
                <w:b/>
                <w:kern w:val="0"/>
                <w:sz w:val="21"/>
                <w:szCs w:val="21"/>
              </w:rPr>
            </w:pPr>
            <w:r>
              <w:rPr>
                <w:rFonts w:ascii="仿宋" w:hAnsi="仿宋" w:cs="宋体"/>
                <w:b/>
                <w:kern w:val="0"/>
                <w:sz w:val="21"/>
                <w:szCs w:val="21"/>
              </w:rPr>
              <w:t>合计</w:t>
            </w:r>
          </w:p>
        </w:tc>
        <w:tc>
          <w:tcPr>
            <w:tcW w:w="496" w:type="pct"/>
            <w:noWrap w:val="0"/>
            <w:vAlign w:val="center"/>
          </w:tcPr>
          <w:p>
            <w:pPr>
              <w:widowControl/>
              <w:jc w:val="center"/>
              <w:rPr>
                <w:rFonts w:ascii="仿宋" w:hAnsi="仿宋" w:eastAsia="仿宋" w:cs="宋体"/>
                <w:b/>
                <w:kern w:val="0"/>
                <w:sz w:val="21"/>
                <w:szCs w:val="21"/>
              </w:rPr>
            </w:pPr>
            <w:r>
              <w:rPr>
                <w:rFonts w:hint="eastAsia" w:ascii="仿宋" w:hAnsi="仿宋" w:cs="宋体"/>
                <w:b/>
                <w:kern w:val="0"/>
                <w:sz w:val="21"/>
                <w:szCs w:val="21"/>
              </w:rPr>
              <w:t>20</w:t>
            </w:r>
          </w:p>
        </w:tc>
        <w:tc>
          <w:tcPr>
            <w:tcW w:w="803" w:type="pct"/>
            <w:noWrap w:val="0"/>
            <w:vAlign w:val="center"/>
          </w:tcPr>
          <w:p>
            <w:pPr>
              <w:widowControl/>
              <w:jc w:val="center"/>
              <w:rPr>
                <w:rFonts w:ascii="仿宋" w:hAnsi="仿宋" w:cs="宋体"/>
                <w:b/>
                <w:kern w:val="0"/>
                <w:sz w:val="21"/>
                <w:szCs w:val="21"/>
              </w:rPr>
            </w:pPr>
          </w:p>
        </w:tc>
        <w:tc>
          <w:tcPr>
            <w:tcW w:w="754" w:type="pct"/>
            <w:noWrap w:val="0"/>
            <w:vAlign w:val="center"/>
          </w:tcPr>
          <w:p>
            <w:pPr>
              <w:widowControl/>
              <w:jc w:val="center"/>
              <w:rPr>
                <w:rFonts w:hint="eastAsia" w:ascii="仿宋_GB2312" w:hAnsi="仿宋_GB2312" w:eastAsia="仿宋_GB2312" w:cs="仿宋_GB2312"/>
                <w:b/>
                <w:kern w:val="0"/>
                <w:sz w:val="21"/>
                <w:szCs w:val="21"/>
                <w:lang w:val="en-US" w:eastAsia="zh-CN" w:bidi="ar-SA"/>
              </w:rPr>
            </w:pPr>
          </w:p>
        </w:tc>
        <w:tc>
          <w:tcPr>
            <w:tcW w:w="760" w:type="pct"/>
            <w:noWrap w:val="0"/>
            <w:vAlign w:val="center"/>
          </w:tcPr>
          <w:p>
            <w:pPr>
              <w:widowControl/>
              <w:jc w:val="center"/>
              <w:textAlignment w:val="center"/>
              <w:rPr>
                <w:rFonts w:hint="eastAsia" w:ascii="仿宋_GB2312" w:hAnsi="仿宋_GB2312" w:eastAsia="仿宋_GB2312" w:cs="仿宋_GB2312"/>
                <w:b/>
                <w:kern w:val="0"/>
                <w:sz w:val="21"/>
                <w:szCs w:val="21"/>
                <w:lang w:val="en-US" w:eastAsia="zh-CN" w:bidi="ar-SA"/>
              </w:rPr>
            </w:pPr>
          </w:p>
        </w:tc>
        <w:tc>
          <w:tcPr>
            <w:tcW w:w="722" w:type="pct"/>
            <w:noWrap w:val="0"/>
            <w:vAlign w:val="center"/>
          </w:tcPr>
          <w:p>
            <w:pPr>
              <w:widowControl/>
              <w:jc w:val="center"/>
              <w:rPr>
                <w:rFonts w:hint="eastAsia" w:ascii="仿宋_GB2312" w:hAnsi="仿宋_GB2312" w:eastAsia="仿宋_GB2312" w:cs="仿宋_GB2312"/>
                <w:b/>
                <w:kern w:val="0"/>
                <w:sz w:val="21"/>
                <w:szCs w:val="21"/>
                <w:lang w:val="en-US" w:eastAsia="zh-CN" w:bidi="ar-SA"/>
              </w:rPr>
            </w:pPr>
            <w:r>
              <w:rPr>
                <w:rFonts w:hint="eastAsia" w:ascii="仿宋_GB2312" w:hAnsi="仿宋_GB2312" w:eastAsia="仿宋_GB2312" w:cs="仿宋_GB2312"/>
                <w:b/>
                <w:kern w:val="0"/>
                <w:sz w:val="21"/>
                <w:szCs w:val="21"/>
                <w:lang w:val="en-US" w:eastAsia="zh-CN"/>
              </w:rPr>
              <w:t>1</w:t>
            </w:r>
            <w:r>
              <w:rPr>
                <w:rFonts w:hint="eastAsia" w:ascii="仿宋_GB2312" w:hAnsi="仿宋_GB2312" w:cs="仿宋_GB2312"/>
                <w:b/>
                <w:kern w:val="0"/>
                <w:sz w:val="21"/>
                <w:szCs w:val="21"/>
                <w:lang w:val="en-US" w:eastAsia="zh-CN"/>
              </w:rPr>
              <w:t>6</w:t>
            </w:r>
            <w:r>
              <w:rPr>
                <w:rFonts w:hint="eastAsia" w:ascii="仿宋_GB2312" w:hAnsi="仿宋_GB2312" w:eastAsia="仿宋_GB2312" w:cs="仿宋_GB2312"/>
                <w:b/>
                <w:kern w:val="0"/>
                <w:sz w:val="21"/>
                <w:szCs w:val="21"/>
                <w:lang w:val="en-US" w:eastAsia="zh-CN"/>
              </w:rPr>
              <w:t>.5</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立项依据充分性：</w:t>
      </w:r>
      <w:r>
        <w:rPr>
          <w:rFonts w:hint="eastAsia" w:ascii="仿宋_GB2312" w:hAnsi="仿宋_GB2312" w:eastAsia="仿宋_GB2312" w:cs="仿宋_GB2312"/>
          <w:bCs/>
          <w:sz w:val="32"/>
          <w:szCs w:val="32"/>
        </w:rPr>
        <w:t>权重分为3分，实际得分为</w:t>
      </w: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w:t>
      </w:r>
      <w:r>
        <w:rPr>
          <w:rFonts w:hint="eastAsia" w:ascii="仿宋_GB2312" w:hAnsi="仿宋_GB2312" w:eastAsia="仿宋_GB2312" w:cs="仿宋_GB2312"/>
          <w:bCs/>
          <w:sz w:val="32"/>
          <w:szCs w:val="32"/>
        </w:rPr>
        <w:t>项目</w:t>
      </w:r>
      <w:r>
        <w:rPr>
          <w:rFonts w:hint="eastAsia" w:ascii="仿宋_GB2312" w:hAnsi="仿宋_GB2312" w:eastAsia="仿宋_GB2312" w:cs="仿宋_GB2312"/>
          <w:bCs/>
          <w:sz w:val="32"/>
          <w:szCs w:val="32"/>
          <w:lang w:eastAsia="zh-CN"/>
        </w:rPr>
        <w:t>经开发区主任办公会议集体决策，经发改部门立项，</w:t>
      </w:r>
      <w:r>
        <w:rPr>
          <w:rFonts w:hint="eastAsia" w:ascii="仿宋_GB2312" w:hAnsi="仿宋_GB2312" w:eastAsia="仿宋_GB2312" w:cs="仿宋_GB2312"/>
          <w:bCs/>
          <w:sz w:val="32"/>
          <w:szCs w:val="32"/>
        </w:rPr>
        <w:t>立项符合国家法律法规、国民经济发展规划和相关政策；符合行业发展规划和政策要求；与部门职责范围相符，属于部门履职所需；属于公共财政支持范围，符合中央、地方事权支出责任划分原则；与相关部门同类项目不重复。</w:t>
      </w:r>
    </w:p>
    <w:p>
      <w:pPr>
        <w:pStyle w:val="12"/>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立项程序规范性：</w:t>
      </w:r>
      <w:r>
        <w:rPr>
          <w:rFonts w:hint="eastAsia" w:ascii="仿宋_GB2312" w:hAnsi="仿宋_GB2312" w:eastAsia="仿宋_GB2312" w:cs="仿宋_GB2312"/>
          <w:bCs/>
          <w:sz w:val="32"/>
          <w:szCs w:val="32"/>
        </w:rPr>
        <w:t>权重分为3分，实际得分为</w:t>
      </w: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w:t>
      </w:r>
      <w:r>
        <w:rPr>
          <w:rFonts w:hint="eastAsia" w:ascii="仿宋_GB2312" w:hAnsi="仿宋_GB2312" w:eastAsia="仿宋_GB2312" w:cs="仿宋_GB2312"/>
          <w:bCs/>
          <w:sz w:val="32"/>
          <w:szCs w:val="32"/>
        </w:rPr>
        <w:t>按照规定的程序申请设立并符合相关要求。</w:t>
      </w:r>
    </w:p>
    <w:p>
      <w:pPr>
        <w:pStyle w:val="12"/>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
          <w:sz w:val="32"/>
          <w:szCs w:val="32"/>
        </w:rPr>
        <w:t>绩效目标合理性：</w:t>
      </w:r>
      <w:r>
        <w:rPr>
          <w:rFonts w:hint="eastAsia" w:ascii="仿宋_GB2312" w:hAnsi="仿宋_GB2312" w:eastAsia="仿宋_GB2312" w:cs="仿宋_GB2312"/>
          <w:bCs/>
          <w:sz w:val="32"/>
          <w:szCs w:val="32"/>
        </w:rPr>
        <w:t>权重分为3分，实际得分为</w:t>
      </w:r>
      <w:r>
        <w:rPr>
          <w:rFonts w:hint="eastAsia" w:ascii="仿宋_GB2312" w:hAnsi="仿宋_GB2312" w:eastAsia="仿宋_GB2312" w:cs="仿宋_GB2312"/>
          <w:bCs/>
          <w:sz w:val="32"/>
          <w:szCs w:val="32"/>
          <w:lang w:val="en-US" w:eastAsia="zh-CN"/>
        </w:rPr>
        <w:t>1.5</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w:t>
      </w:r>
      <w:r>
        <w:rPr>
          <w:rFonts w:hint="eastAsia" w:ascii="仿宋_GB2312" w:hAnsi="仿宋_GB2312" w:eastAsia="仿宋_GB2312" w:cs="仿宋_GB2312"/>
          <w:bCs/>
          <w:sz w:val="32"/>
          <w:szCs w:val="32"/>
        </w:rPr>
        <w:t>项目</w:t>
      </w:r>
      <w:r>
        <w:rPr>
          <w:rFonts w:hint="eastAsia" w:ascii="仿宋_GB2312" w:hAnsi="仿宋_GB2312" w:eastAsia="仿宋_GB2312" w:cs="仿宋_GB2312"/>
          <w:bCs/>
          <w:sz w:val="32"/>
          <w:szCs w:val="32"/>
          <w:lang w:eastAsia="zh-CN"/>
        </w:rPr>
        <w:t>绩效目标不够充分，不能完全体现项目实施情况。</w:t>
      </w:r>
    </w:p>
    <w:p>
      <w:pPr>
        <w:pStyle w:val="12"/>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绩效指标明确性：</w:t>
      </w:r>
      <w:r>
        <w:rPr>
          <w:rFonts w:hint="eastAsia" w:ascii="仿宋_GB2312" w:hAnsi="仿宋_GB2312" w:eastAsia="仿宋_GB2312" w:cs="仿宋_GB2312"/>
          <w:bCs/>
          <w:sz w:val="32"/>
          <w:szCs w:val="32"/>
        </w:rPr>
        <w:t>权重分为3分，实际得分为</w:t>
      </w:r>
      <w:r>
        <w:rPr>
          <w:rFonts w:hint="eastAsia" w:ascii="仿宋_GB2312" w:hAnsi="仿宋_GB2312" w:eastAsia="仿宋_GB2312" w:cs="仿宋_GB2312"/>
          <w:bCs/>
          <w:sz w:val="32"/>
          <w:szCs w:val="32"/>
          <w:lang w:val="en-US" w:eastAsia="zh-CN"/>
        </w:rPr>
        <w:t>1.5</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该项目绩效目标仍需细化，需加强评价指标值的清晰度、可衡量度。</w:t>
      </w:r>
    </w:p>
    <w:p>
      <w:pPr>
        <w:pStyle w:val="12"/>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预算编制科学性：</w:t>
      </w:r>
      <w:r>
        <w:rPr>
          <w:rFonts w:hint="eastAsia" w:ascii="仿宋_GB2312" w:hAnsi="仿宋_GB2312" w:eastAsia="仿宋_GB2312" w:cs="仿宋_GB2312"/>
          <w:bCs/>
          <w:sz w:val="32"/>
          <w:szCs w:val="32"/>
        </w:rPr>
        <w:t>权重分为4分，实际得分为</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w:t>
      </w:r>
      <w:r>
        <w:rPr>
          <w:rFonts w:hint="eastAsia" w:ascii="仿宋_GB2312" w:hAnsi="仿宋_GB2312" w:eastAsia="仿宋_GB2312" w:cs="仿宋_GB2312"/>
          <w:bCs/>
          <w:sz w:val="32"/>
          <w:szCs w:val="32"/>
        </w:rPr>
        <w:t>项目预算编制经过</w:t>
      </w:r>
      <w:r>
        <w:rPr>
          <w:rFonts w:hint="eastAsia" w:ascii="仿宋_GB2312" w:hAnsi="仿宋_GB2312" w:eastAsia="仿宋_GB2312" w:cs="仿宋_GB2312"/>
          <w:bCs/>
          <w:sz w:val="32"/>
          <w:szCs w:val="32"/>
          <w:lang w:eastAsia="zh-CN"/>
        </w:rPr>
        <w:t>科学</w:t>
      </w:r>
      <w:r>
        <w:rPr>
          <w:rFonts w:hint="eastAsia" w:ascii="仿宋_GB2312" w:hAnsi="仿宋_GB2312" w:eastAsia="仿宋_GB2312" w:cs="仿宋_GB2312"/>
          <w:bCs/>
          <w:sz w:val="32"/>
          <w:szCs w:val="32"/>
        </w:rPr>
        <w:t>论证；预算内容与项目内容匹配；预算额度测算依据充分；预算确定的项目资金量与工作任务相匹配。</w:t>
      </w:r>
    </w:p>
    <w:p>
      <w:pPr>
        <w:pStyle w:val="12"/>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资金分配合理性：</w:t>
      </w:r>
      <w:r>
        <w:rPr>
          <w:rFonts w:hint="eastAsia" w:ascii="仿宋_GB2312" w:hAnsi="仿宋_GB2312" w:eastAsia="仿宋_GB2312" w:cs="仿宋_GB2312"/>
          <w:bCs/>
          <w:sz w:val="32"/>
          <w:szCs w:val="32"/>
        </w:rPr>
        <w:t>权重分为4分，实际得分为</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分。该项目未涉及分项资金分配，预算安排内容与专项资金的设立目的及年度工作重点的匹配。</w:t>
      </w:r>
    </w:p>
    <w:p>
      <w:pPr>
        <w:pStyle w:val="12"/>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sz w:val="32"/>
          <w:szCs w:val="32"/>
        </w:rPr>
      </w:pPr>
      <w:bookmarkStart w:id="17" w:name="_Toc37419452"/>
      <w:r>
        <w:rPr>
          <w:rFonts w:hint="eastAsia" w:ascii="仿宋_GB2312" w:hAnsi="仿宋_GB2312" w:eastAsia="仿宋_GB2312" w:cs="仿宋_GB2312"/>
          <w:b/>
          <w:sz w:val="32"/>
          <w:szCs w:val="32"/>
        </w:rPr>
        <w:t>2.项目过程情况</w:t>
      </w:r>
      <w:bookmarkEnd w:id="17"/>
    </w:p>
    <w:p>
      <w:pPr>
        <w:pStyle w:val="12"/>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过程指标从资金管理、组织实施两个方面对项目的过程情况进行考察。过程类指标权重20分，实际得</w:t>
      </w:r>
      <w:r>
        <w:rPr>
          <w:rFonts w:hint="eastAsia" w:ascii="仿宋_GB2312" w:hAnsi="仿宋_GB2312" w:eastAsia="仿宋_GB2312" w:cs="仿宋_GB2312"/>
          <w:bCs/>
          <w:sz w:val="32"/>
          <w:szCs w:val="32"/>
          <w:lang w:val="en-US" w:eastAsia="zh-CN"/>
        </w:rPr>
        <w:t>20</w:t>
      </w:r>
      <w:r>
        <w:rPr>
          <w:rFonts w:hint="eastAsia" w:ascii="仿宋_GB2312" w:hAnsi="仿宋_GB2312" w:eastAsia="仿宋_GB2312" w:cs="仿宋_GB2312"/>
          <w:bCs/>
          <w:sz w:val="32"/>
          <w:szCs w:val="32"/>
        </w:rPr>
        <w:t>分，得分率为</w:t>
      </w:r>
      <w:r>
        <w:rPr>
          <w:rFonts w:hint="eastAsia" w:ascii="仿宋_GB2312" w:hAnsi="仿宋_GB2312" w:eastAsia="仿宋_GB2312" w:cs="仿宋_GB2312"/>
          <w:bCs/>
          <w:sz w:val="32"/>
          <w:szCs w:val="32"/>
          <w:lang w:val="en-US" w:eastAsia="zh-CN"/>
        </w:rPr>
        <w:t>100%</w:t>
      </w:r>
      <w:r>
        <w:rPr>
          <w:rFonts w:hint="eastAsia" w:ascii="仿宋_GB2312" w:hAnsi="仿宋_GB2312" w:eastAsia="仿宋_GB2312" w:cs="仿宋_GB2312"/>
          <w:bCs/>
          <w:sz w:val="32"/>
          <w:szCs w:val="32"/>
        </w:rPr>
        <w:t>。指标的得分情况如表3-2所示。</w:t>
      </w:r>
    </w:p>
    <w:p>
      <w:pPr>
        <w:widowControl/>
        <w:spacing w:before="204" w:beforeLines="50"/>
        <w:jc w:val="center"/>
        <w:rPr>
          <w:rFonts w:ascii="仿宋" w:hAnsi="仿宋" w:cs="宋体"/>
          <w:b/>
          <w:bCs/>
          <w:kern w:val="0"/>
          <w:sz w:val="24"/>
        </w:rPr>
      </w:pPr>
      <w:r>
        <w:rPr>
          <w:rFonts w:hint="eastAsia" w:ascii="仿宋" w:hAnsi="仿宋" w:cs="宋体"/>
          <w:b/>
          <w:bCs/>
          <w:kern w:val="0"/>
          <w:sz w:val="24"/>
        </w:rPr>
        <w:t>表3-2  过程指标得分情况</w:t>
      </w:r>
    </w:p>
    <w:tbl>
      <w:tblPr>
        <w:tblStyle w:val="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0"/>
        <w:gridCol w:w="1106"/>
        <w:gridCol w:w="1328"/>
        <w:gridCol w:w="1179"/>
        <w:gridCol w:w="1212"/>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549"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三级指标</w:t>
            </w:r>
          </w:p>
        </w:tc>
        <w:tc>
          <w:tcPr>
            <w:tcW w:w="649"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权重</w:t>
            </w:r>
          </w:p>
        </w:tc>
        <w:tc>
          <w:tcPr>
            <w:tcW w:w="779"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目标值</w:t>
            </w:r>
          </w:p>
        </w:tc>
        <w:tc>
          <w:tcPr>
            <w:tcW w:w="692"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业绩值</w:t>
            </w:r>
          </w:p>
        </w:tc>
        <w:tc>
          <w:tcPr>
            <w:tcW w:w="711"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得分率</w:t>
            </w:r>
          </w:p>
        </w:tc>
        <w:tc>
          <w:tcPr>
            <w:tcW w:w="617"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jc w:val="center"/>
              <w:textAlignment w:val="center"/>
              <w:rPr>
                <w:rFonts w:ascii="仿宋" w:hAnsi="仿宋" w:cs="宋体"/>
                <w:kern w:val="0"/>
                <w:sz w:val="21"/>
                <w:szCs w:val="21"/>
              </w:rPr>
            </w:pPr>
            <w:r>
              <w:rPr>
                <w:rFonts w:hint="eastAsia" w:ascii="仿宋" w:hAnsi="仿宋" w:cs="宋体"/>
                <w:kern w:val="0"/>
                <w:sz w:val="21"/>
                <w:szCs w:val="21"/>
              </w:rPr>
              <w:t>资金到位率</w:t>
            </w:r>
          </w:p>
        </w:tc>
        <w:tc>
          <w:tcPr>
            <w:tcW w:w="649" w:type="pct"/>
            <w:noWrap w:val="0"/>
            <w:vAlign w:val="center"/>
          </w:tcPr>
          <w:p>
            <w:pPr>
              <w:widowControl/>
              <w:adjustRightInd w:val="0"/>
              <w:snapToGrid w:val="0"/>
              <w:jc w:val="center"/>
              <w:textAlignment w:val="center"/>
              <w:rPr>
                <w:rFonts w:ascii="仿宋" w:hAnsi="仿宋" w:eastAsia="仿宋" w:cs="仿宋_GB2312"/>
                <w:kern w:val="0"/>
                <w:sz w:val="21"/>
                <w:szCs w:val="21"/>
              </w:rPr>
            </w:pPr>
            <w:r>
              <w:rPr>
                <w:rFonts w:hint="eastAsia" w:ascii="仿宋_GB2312" w:hAnsi="仿宋_GB2312" w:cs="仿宋_GB2312"/>
                <w:color w:val="000000"/>
                <w:kern w:val="0"/>
                <w:sz w:val="21"/>
                <w:szCs w:val="21"/>
                <w:lang w:bidi="ar"/>
              </w:rPr>
              <w:t>2</w:t>
            </w:r>
          </w:p>
        </w:tc>
        <w:tc>
          <w:tcPr>
            <w:tcW w:w="779" w:type="pct"/>
            <w:noWrap w:val="0"/>
            <w:vAlign w:val="top"/>
          </w:tcPr>
          <w:p>
            <w:pPr>
              <w:widowControl/>
              <w:jc w:val="center"/>
              <w:textAlignment w:val="center"/>
              <w:rPr>
                <w:rFonts w:ascii="仿宋" w:hAnsi="仿宋" w:cs="仿宋_GB2312"/>
                <w:kern w:val="0"/>
                <w:sz w:val="21"/>
                <w:szCs w:val="21"/>
              </w:rPr>
            </w:pPr>
            <w:r>
              <w:rPr>
                <w:rFonts w:ascii="仿宋" w:hAnsi="仿宋" w:cs="仿宋_GB2312"/>
                <w:kern w:val="0"/>
                <w:sz w:val="21"/>
                <w:szCs w:val="21"/>
              </w:rPr>
              <w:t>100%</w:t>
            </w:r>
          </w:p>
        </w:tc>
        <w:tc>
          <w:tcPr>
            <w:tcW w:w="692" w:type="pct"/>
            <w:noWrap w:val="0"/>
            <w:vAlign w:val="top"/>
          </w:tcPr>
          <w:p>
            <w:pPr>
              <w:widowControl/>
              <w:jc w:val="center"/>
              <w:textAlignment w:val="center"/>
              <w:rPr>
                <w:rFonts w:ascii="仿宋" w:hAnsi="仿宋" w:eastAsia="仿宋_GB2312" w:cs="仿宋_GB2312"/>
                <w:kern w:val="0"/>
                <w:sz w:val="21"/>
                <w:szCs w:val="21"/>
                <w:lang w:val="en-US" w:eastAsia="zh-CN" w:bidi="ar-SA"/>
              </w:rPr>
            </w:pPr>
            <w:r>
              <w:rPr>
                <w:rFonts w:ascii="仿宋" w:hAnsi="仿宋" w:cs="仿宋_GB2312"/>
                <w:kern w:val="0"/>
                <w:sz w:val="21"/>
                <w:szCs w:val="21"/>
              </w:rPr>
              <w:t>100%</w:t>
            </w:r>
          </w:p>
        </w:tc>
        <w:tc>
          <w:tcPr>
            <w:tcW w:w="711" w:type="pct"/>
            <w:noWrap w:val="0"/>
            <w:vAlign w:val="center"/>
          </w:tcPr>
          <w:p>
            <w:pPr>
              <w:widowControl/>
              <w:adjustRightInd w:val="0"/>
              <w:snapToGrid w:val="0"/>
              <w:jc w:val="center"/>
              <w:textAlignment w:val="center"/>
              <w:rPr>
                <w:rFonts w:hint="default" w:ascii="仿宋" w:hAnsi="仿宋" w:eastAsia="仿宋_GB2312" w:cs="仿宋_GB2312"/>
                <w:kern w:val="0"/>
                <w:sz w:val="21"/>
                <w:szCs w:val="21"/>
                <w:lang w:val="en-US" w:eastAsia="zh-CN"/>
              </w:rPr>
            </w:pPr>
            <w:r>
              <w:rPr>
                <w:rFonts w:hint="eastAsia" w:ascii="仿宋" w:hAnsi="仿宋"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ascii="仿宋" w:hAnsi="仿宋" w:eastAsia="仿宋" w:cs="仿宋_GB2312"/>
                <w:kern w:val="0"/>
                <w:sz w:val="21"/>
                <w:szCs w:val="21"/>
                <w:lang w:val="en-US" w:eastAsia="zh-CN" w:bidi="ar-SA"/>
              </w:rPr>
            </w:pPr>
            <w:r>
              <w:rPr>
                <w:rFonts w:hint="eastAsia" w:ascii="仿宋_GB2312" w:hAnsi="仿宋_GB2312" w:cs="仿宋_GB2312"/>
                <w:color w:val="000000"/>
                <w:kern w:val="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jc w:val="center"/>
              <w:textAlignment w:val="center"/>
              <w:rPr>
                <w:rFonts w:ascii="仿宋" w:hAnsi="仿宋" w:cs="宋体"/>
                <w:kern w:val="0"/>
                <w:sz w:val="21"/>
                <w:szCs w:val="21"/>
              </w:rPr>
            </w:pPr>
            <w:r>
              <w:rPr>
                <w:rFonts w:hint="eastAsia" w:ascii="仿宋" w:hAnsi="仿宋" w:cs="宋体"/>
                <w:kern w:val="0"/>
                <w:sz w:val="21"/>
                <w:szCs w:val="21"/>
              </w:rPr>
              <w:t>预算执行率</w:t>
            </w:r>
          </w:p>
        </w:tc>
        <w:tc>
          <w:tcPr>
            <w:tcW w:w="649" w:type="pct"/>
            <w:noWrap w:val="0"/>
            <w:vAlign w:val="center"/>
          </w:tcPr>
          <w:p>
            <w:pPr>
              <w:widowControl/>
              <w:adjustRightInd w:val="0"/>
              <w:snapToGrid w:val="0"/>
              <w:jc w:val="center"/>
              <w:textAlignment w:val="center"/>
              <w:rPr>
                <w:rFonts w:ascii="仿宋" w:hAnsi="仿宋" w:eastAsia="仿宋" w:cs="仿宋_GB2312"/>
                <w:kern w:val="0"/>
                <w:sz w:val="21"/>
                <w:szCs w:val="21"/>
              </w:rPr>
            </w:pPr>
            <w:r>
              <w:rPr>
                <w:rFonts w:hint="eastAsia" w:ascii="仿宋_GB2312" w:hAnsi="仿宋_GB2312" w:cs="仿宋_GB2312"/>
                <w:color w:val="000000"/>
                <w:kern w:val="0"/>
                <w:sz w:val="21"/>
                <w:szCs w:val="21"/>
                <w:lang w:bidi="ar"/>
              </w:rPr>
              <w:t>4</w:t>
            </w:r>
          </w:p>
        </w:tc>
        <w:tc>
          <w:tcPr>
            <w:tcW w:w="779" w:type="pct"/>
            <w:noWrap w:val="0"/>
            <w:vAlign w:val="top"/>
          </w:tcPr>
          <w:p>
            <w:pPr>
              <w:widowControl/>
              <w:jc w:val="center"/>
              <w:textAlignment w:val="center"/>
              <w:rPr>
                <w:rFonts w:ascii="仿宋" w:hAnsi="仿宋" w:cs="仿宋_GB2312"/>
                <w:kern w:val="0"/>
                <w:sz w:val="21"/>
                <w:szCs w:val="21"/>
              </w:rPr>
            </w:pPr>
            <w:r>
              <w:rPr>
                <w:rFonts w:ascii="仿宋" w:hAnsi="仿宋" w:cs="仿宋_GB2312"/>
                <w:kern w:val="0"/>
                <w:sz w:val="21"/>
                <w:szCs w:val="21"/>
              </w:rPr>
              <w:t>100%</w:t>
            </w:r>
          </w:p>
        </w:tc>
        <w:tc>
          <w:tcPr>
            <w:tcW w:w="692" w:type="pct"/>
            <w:noWrap w:val="0"/>
            <w:vAlign w:val="top"/>
          </w:tcPr>
          <w:p>
            <w:pPr>
              <w:widowControl/>
              <w:jc w:val="center"/>
              <w:textAlignment w:val="center"/>
              <w:rPr>
                <w:rFonts w:ascii="仿宋" w:hAnsi="仿宋" w:eastAsia="仿宋_GB2312" w:cs="仿宋_GB2312"/>
                <w:kern w:val="0"/>
                <w:sz w:val="21"/>
                <w:szCs w:val="21"/>
                <w:lang w:val="en-US" w:eastAsia="zh-CN" w:bidi="ar-SA"/>
              </w:rPr>
            </w:pPr>
            <w:r>
              <w:rPr>
                <w:rFonts w:ascii="仿宋" w:hAnsi="仿宋" w:cs="仿宋_GB2312"/>
                <w:kern w:val="0"/>
                <w:sz w:val="21"/>
                <w:szCs w:val="21"/>
              </w:rPr>
              <w:t>100%</w:t>
            </w:r>
          </w:p>
        </w:tc>
        <w:tc>
          <w:tcPr>
            <w:tcW w:w="711" w:type="pct"/>
            <w:noWrap w:val="0"/>
            <w:vAlign w:val="center"/>
          </w:tcPr>
          <w:p>
            <w:pPr>
              <w:widowControl/>
              <w:adjustRightInd w:val="0"/>
              <w:snapToGrid w:val="0"/>
              <w:jc w:val="center"/>
              <w:textAlignment w:val="center"/>
              <w:rPr>
                <w:rFonts w:ascii="仿宋" w:hAnsi="仿宋" w:cs="仿宋_GB2312"/>
                <w:kern w:val="0"/>
                <w:sz w:val="21"/>
                <w:szCs w:val="21"/>
              </w:rPr>
            </w:pPr>
            <w:r>
              <w:rPr>
                <w:rFonts w:hint="eastAsia" w:ascii="仿宋" w:hAnsi="仿宋"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ascii="仿宋" w:hAnsi="仿宋" w:eastAsia="仿宋" w:cs="仿宋_GB2312"/>
                <w:kern w:val="0"/>
                <w:sz w:val="21"/>
                <w:szCs w:val="21"/>
                <w:lang w:val="en-US" w:eastAsia="zh-CN" w:bidi="ar-SA"/>
              </w:rPr>
            </w:pPr>
            <w:r>
              <w:rPr>
                <w:rFonts w:hint="eastAsia" w:ascii="仿宋_GB2312" w:hAnsi="仿宋_GB2312" w:cs="仿宋_GB2312"/>
                <w:color w:val="000000"/>
                <w:kern w:val="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jc w:val="center"/>
              <w:textAlignment w:val="center"/>
              <w:rPr>
                <w:rFonts w:ascii="仿宋" w:hAnsi="仿宋" w:cs="宋体"/>
                <w:kern w:val="0"/>
                <w:sz w:val="21"/>
                <w:szCs w:val="21"/>
              </w:rPr>
            </w:pPr>
            <w:r>
              <w:rPr>
                <w:rFonts w:hint="eastAsia" w:ascii="仿宋" w:hAnsi="仿宋" w:cs="宋体"/>
                <w:kern w:val="0"/>
                <w:sz w:val="21"/>
                <w:szCs w:val="21"/>
              </w:rPr>
              <w:t>资金使用合规性</w:t>
            </w:r>
          </w:p>
        </w:tc>
        <w:tc>
          <w:tcPr>
            <w:tcW w:w="649" w:type="pct"/>
            <w:noWrap w:val="0"/>
            <w:vAlign w:val="center"/>
          </w:tcPr>
          <w:p>
            <w:pPr>
              <w:widowControl/>
              <w:adjustRightInd w:val="0"/>
              <w:snapToGrid w:val="0"/>
              <w:jc w:val="center"/>
              <w:textAlignment w:val="center"/>
              <w:rPr>
                <w:rFonts w:ascii="仿宋" w:hAnsi="仿宋" w:cs="仿宋_GB2312"/>
                <w:kern w:val="0"/>
                <w:sz w:val="21"/>
                <w:szCs w:val="21"/>
              </w:rPr>
            </w:pPr>
            <w:r>
              <w:rPr>
                <w:rFonts w:hint="eastAsia" w:ascii="仿宋_GB2312" w:hAnsi="仿宋_GB2312" w:cs="仿宋_GB2312"/>
                <w:color w:val="000000"/>
                <w:kern w:val="0"/>
                <w:sz w:val="21"/>
                <w:szCs w:val="21"/>
                <w:lang w:bidi="ar"/>
              </w:rPr>
              <w:t>2</w:t>
            </w:r>
          </w:p>
        </w:tc>
        <w:tc>
          <w:tcPr>
            <w:tcW w:w="779" w:type="pct"/>
            <w:noWrap w:val="0"/>
            <w:vAlign w:val="top"/>
          </w:tcPr>
          <w:p>
            <w:pPr>
              <w:widowControl/>
              <w:jc w:val="center"/>
              <w:textAlignment w:val="center"/>
              <w:rPr>
                <w:rFonts w:hint="eastAsia" w:ascii="仿宋" w:hAnsi="仿宋" w:cs="仿宋_GB2312"/>
                <w:kern w:val="0"/>
                <w:sz w:val="21"/>
                <w:szCs w:val="21"/>
              </w:rPr>
            </w:pPr>
            <w:r>
              <w:rPr>
                <w:rFonts w:hint="eastAsia" w:ascii="仿宋" w:hAnsi="仿宋" w:cs="仿宋_GB2312"/>
                <w:kern w:val="0"/>
                <w:sz w:val="21"/>
                <w:szCs w:val="21"/>
              </w:rPr>
              <w:t>规范</w:t>
            </w:r>
          </w:p>
        </w:tc>
        <w:tc>
          <w:tcPr>
            <w:tcW w:w="692" w:type="pct"/>
            <w:noWrap w:val="0"/>
            <w:vAlign w:val="top"/>
          </w:tcPr>
          <w:p>
            <w:pPr>
              <w:widowControl/>
              <w:jc w:val="center"/>
              <w:textAlignment w:val="center"/>
              <w:rPr>
                <w:rFonts w:hint="eastAsia" w:ascii="仿宋" w:hAnsi="仿宋" w:eastAsia="仿宋_GB2312" w:cs="仿宋_GB2312"/>
                <w:kern w:val="0"/>
                <w:sz w:val="21"/>
                <w:szCs w:val="21"/>
                <w:lang w:val="en-US" w:eastAsia="zh-CN" w:bidi="ar-SA"/>
              </w:rPr>
            </w:pPr>
            <w:r>
              <w:rPr>
                <w:rFonts w:hint="eastAsia" w:ascii="仿宋" w:hAnsi="仿宋" w:cs="仿宋_GB2312"/>
                <w:kern w:val="0"/>
                <w:sz w:val="21"/>
                <w:szCs w:val="21"/>
              </w:rPr>
              <w:t>规范</w:t>
            </w:r>
          </w:p>
        </w:tc>
        <w:tc>
          <w:tcPr>
            <w:tcW w:w="711" w:type="pct"/>
            <w:noWrap w:val="0"/>
            <w:vAlign w:val="center"/>
          </w:tcPr>
          <w:p>
            <w:pPr>
              <w:widowControl/>
              <w:adjustRightInd w:val="0"/>
              <w:snapToGrid w:val="0"/>
              <w:jc w:val="center"/>
              <w:textAlignment w:val="center"/>
              <w:rPr>
                <w:rFonts w:ascii="仿宋" w:hAnsi="仿宋" w:cs="仿宋_GB2312"/>
                <w:kern w:val="0"/>
                <w:sz w:val="21"/>
                <w:szCs w:val="21"/>
              </w:rPr>
            </w:pPr>
            <w:r>
              <w:rPr>
                <w:rFonts w:hint="eastAsia" w:ascii="仿宋" w:hAnsi="仿宋"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ascii="仿宋" w:hAnsi="仿宋" w:eastAsia="仿宋_GB2312" w:cs="仿宋_GB2312"/>
                <w:kern w:val="0"/>
                <w:sz w:val="21"/>
                <w:szCs w:val="21"/>
                <w:lang w:val="en-US" w:eastAsia="zh-CN" w:bidi="ar-SA"/>
              </w:rPr>
            </w:pPr>
            <w:r>
              <w:rPr>
                <w:rFonts w:hint="eastAsia" w:ascii="仿宋_GB2312" w:hAnsi="仿宋_GB2312" w:cs="仿宋_GB2312"/>
                <w:color w:val="000000"/>
                <w:kern w:val="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jc w:val="center"/>
              <w:textAlignment w:val="center"/>
              <w:rPr>
                <w:rFonts w:ascii="仿宋" w:hAnsi="仿宋" w:cs="宋体"/>
                <w:kern w:val="0"/>
                <w:sz w:val="21"/>
                <w:szCs w:val="21"/>
              </w:rPr>
            </w:pPr>
            <w:r>
              <w:rPr>
                <w:rFonts w:hint="eastAsia" w:ascii="仿宋" w:hAnsi="仿宋" w:cs="宋体"/>
                <w:kern w:val="0"/>
                <w:sz w:val="21"/>
                <w:szCs w:val="21"/>
              </w:rPr>
              <w:t>管理制度健全性</w:t>
            </w:r>
          </w:p>
        </w:tc>
        <w:tc>
          <w:tcPr>
            <w:tcW w:w="649" w:type="pct"/>
            <w:noWrap w:val="0"/>
            <w:vAlign w:val="center"/>
          </w:tcPr>
          <w:p>
            <w:pPr>
              <w:widowControl/>
              <w:adjustRightInd w:val="0"/>
              <w:snapToGrid w:val="0"/>
              <w:jc w:val="center"/>
              <w:textAlignment w:val="center"/>
              <w:rPr>
                <w:rFonts w:hint="eastAsia" w:ascii="仿宋" w:hAnsi="仿宋" w:cs="仿宋_GB2312"/>
                <w:kern w:val="0"/>
                <w:sz w:val="21"/>
                <w:szCs w:val="21"/>
              </w:rPr>
            </w:pPr>
            <w:r>
              <w:rPr>
                <w:rFonts w:hint="eastAsia" w:ascii="仿宋_GB2312" w:hAnsi="仿宋_GB2312" w:cs="仿宋_GB2312"/>
                <w:color w:val="000000"/>
                <w:kern w:val="0"/>
                <w:sz w:val="21"/>
                <w:szCs w:val="21"/>
                <w:lang w:bidi="ar"/>
              </w:rPr>
              <w:t>4</w:t>
            </w:r>
          </w:p>
        </w:tc>
        <w:tc>
          <w:tcPr>
            <w:tcW w:w="779" w:type="pct"/>
            <w:noWrap w:val="0"/>
            <w:vAlign w:val="top"/>
          </w:tcPr>
          <w:p>
            <w:pPr>
              <w:widowControl/>
              <w:jc w:val="center"/>
              <w:textAlignment w:val="center"/>
              <w:rPr>
                <w:rFonts w:hint="eastAsia" w:ascii="仿宋" w:hAnsi="仿宋" w:cs="仿宋_GB2312"/>
                <w:kern w:val="0"/>
                <w:sz w:val="21"/>
                <w:szCs w:val="21"/>
              </w:rPr>
            </w:pPr>
            <w:r>
              <w:rPr>
                <w:rFonts w:hint="eastAsia" w:ascii="仿宋" w:hAnsi="仿宋" w:cs="仿宋_GB2312"/>
                <w:kern w:val="0"/>
                <w:sz w:val="21"/>
                <w:szCs w:val="21"/>
              </w:rPr>
              <w:t>健全</w:t>
            </w:r>
          </w:p>
        </w:tc>
        <w:tc>
          <w:tcPr>
            <w:tcW w:w="692" w:type="pct"/>
            <w:noWrap w:val="0"/>
            <w:vAlign w:val="top"/>
          </w:tcPr>
          <w:p>
            <w:pPr>
              <w:widowControl/>
              <w:jc w:val="center"/>
              <w:textAlignment w:val="center"/>
              <w:rPr>
                <w:rFonts w:hint="eastAsia" w:ascii="仿宋" w:hAnsi="仿宋" w:eastAsia="仿宋_GB2312" w:cs="仿宋_GB2312"/>
                <w:kern w:val="0"/>
                <w:sz w:val="21"/>
                <w:szCs w:val="21"/>
                <w:lang w:val="en-US" w:eastAsia="zh-CN" w:bidi="ar-SA"/>
              </w:rPr>
            </w:pPr>
            <w:r>
              <w:rPr>
                <w:rFonts w:hint="eastAsia" w:ascii="仿宋" w:hAnsi="仿宋" w:cs="仿宋_GB2312"/>
                <w:kern w:val="0"/>
                <w:sz w:val="21"/>
                <w:szCs w:val="21"/>
              </w:rPr>
              <w:t>健全</w:t>
            </w:r>
          </w:p>
        </w:tc>
        <w:tc>
          <w:tcPr>
            <w:tcW w:w="711" w:type="pct"/>
            <w:noWrap w:val="0"/>
            <w:vAlign w:val="center"/>
          </w:tcPr>
          <w:p>
            <w:pPr>
              <w:widowControl/>
              <w:adjustRightInd w:val="0"/>
              <w:snapToGrid w:val="0"/>
              <w:jc w:val="center"/>
              <w:textAlignment w:val="center"/>
              <w:rPr>
                <w:rFonts w:ascii="仿宋" w:hAnsi="仿宋" w:cs="仿宋_GB2312"/>
                <w:kern w:val="0"/>
                <w:sz w:val="21"/>
                <w:szCs w:val="21"/>
              </w:rPr>
            </w:pPr>
            <w:r>
              <w:rPr>
                <w:rFonts w:hint="eastAsia" w:ascii="仿宋" w:hAnsi="仿宋"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hint="eastAsia" w:ascii="仿宋" w:hAnsi="仿宋" w:eastAsia="仿宋_GB2312" w:cs="仿宋_GB2312"/>
                <w:kern w:val="0"/>
                <w:sz w:val="21"/>
                <w:szCs w:val="21"/>
                <w:lang w:val="en-US" w:eastAsia="zh-CN" w:bidi="ar-SA"/>
              </w:rPr>
            </w:pPr>
            <w:r>
              <w:rPr>
                <w:rFonts w:hint="eastAsia" w:ascii="仿宋_GB2312" w:hAnsi="仿宋_GB2312" w:cs="仿宋_GB2312"/>
                <w:color w:val="000000"/>
                <w:kern w:val="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adjustRightInd w:val="0"/>
              <w:snapToGrid w:val="0"/>
              <w:jc w:val="center"/>
              <w:textAlignment w:val="center"/>
              <w:rPr>
                <w:rFonts w:ascii="仿宋" w:hAnsi="仿宋" w:cs="宋体"/>
                <w:kern w:val="0"/>
                <w:sz w:val="21"/>
                <w:szCs w:val="21"/>
              </w:rPr>
            </w:pPr>
            <w:r>
              <w:rPr>
                <w:rFonts w:hint="eastAsia" w:ascii="仿宋_GB2312" w:hAnsi="仿宋_GB2312" w:cs="仿宋_GB2312"/>
                <w:color w:val="000000"/>
                <w:kern w:val="0"/>
                <w:sz w:val="21"/>
                <w:szCs w:val="21"/>
                <w:lang w:bidi="ar"/>
              </w:rPr>
              <w:t>政府采购合规性</w:t>
            </w:r>
          </w:p>
        </w:tc>
        <w:tc>
          <w:tcPr>
            <w:tcW w:w="649" w:type="pct"/>
            <w:noWrap w:val="0"/>
            <w:vAlign w:val="center"/>
          </w:tcPr>
          <w:p>
            <w:pPr>
              <w:widowControl/>
              <w:adjustRightInd w:val="0"/>
              <w:snapToGrid w:val="0"/>
              <w:jc w:val="center"/>
              <w:textAlignment w:val="center"/>
              <w:rPr>
                <w:rFonts w:hint="eastAsia" w:ascii="仿宋" w:hAnsi="仿宋" w:cs="仿宋_GB2312"/>
                <w:kern w:val="0"/>
                <w:sz w:val="21"/>
                <w:szCs w:val="21"/>
              </w:rPr>
            </w:pPr>
            <w:r>
              <w:rPr>
                <w:rFonts w:hint="eastAsia" w:ascii="仿宋_GB2312" w:hAnsi="仿宋_GB2312" w:cs="仿宋_GB2312"/>
                <w:color w:val="000000"/>
                <w:kern w:val="0"/>
                <w:sz w:val="21"/>
                <w:szCs w:val="21"/>
                <w:lang w:bidi="ar"/>
              </w:rPr>
              <w:t>4</w:t>
            </w:r>
          </w:p>
        </w:tc>
        <w:tc>
          <w:tcPr>
            <w:tcW w:w="779" w:type="pct"/>
            <w:noWrap w:val="0"/>
            <w:vAlign w:val="center"/>
          </w:tcPr>
          <w:p>
            <w:pPr>
              <w:widowControl/>
              <w:adjustRightInd w:val="0"/>
              <w:snapToGrid w:val="0"/>
              <w:jc w:val="center"/>
              <w:textAlignment w:val="center"/>
              <w:rPr>
                <w:rFonts w:ascii="仿宋" w:hAnsi="仿宋" w:cs="仿宋_GB2312"/>
                <w:kern w:val="0"/>
                <w:sz w:val="21"/>
                <w:szCs w:val="21"/>
              </w:rPr>
            </w:pPr>
            <w:r>
              <w:rPr>
                <w:rFonts w:hint="eastAsia" w:ascii="仿宋_GB2312" w:hAnsi="仿宋_GB2312" w:cs="仿宋_GB2312"/>
                <w:color w:val="000000"/>
                <w:kern w:val="0"/>
                <w:sz w:val="21"/>
                <w:szCs w:val="21"/>
                <w:lang w:eastAsia="zh-Hans" w:bidi="ar"/>
              </w:rPr>
              <w:t>规范</w:t>
            </w:r>
          </w:p>
        </w:tc>
        <w:tc>
          <w:tcPr>
            <w:tcW w:w="692" w:type="pct"/>
            <w:noWrap w:val="0"/>
            <w:vAlign w:val="center"/>
          </w:tcPr>
          <w:p>
            <w:pPr>
              <w:widowControl/>
              <w:adjustRightInd w:val="0"/>
              <w:snapToGrid w:val="0"/>
              <w:jc w:val="center"/>
              <w:textAlignment w:val="center"/>
              <w:rPr>
                <w:rFonts w:hint="eastAsia" w:ascii="仿宋" w:hAnsi="仿宋" w:eastAsia="仿宋_GB2312" w:cs="仿宋_GB2312"/>
                <w:kern w:val="0"/>
                <w:sz w:val="21"/>
                <w:szCs w:val="21"/>
                <w:lang w:val="en-US" w:eastAsia="zh-CN" w:bidi="ar-SA"/>
              </w:rPr>
            </w:pPr>
            <w:r>
              <w:rPr>
                <w:rFonts w:hint="eastAsia" w:ascii="仿宋_GB2312" w:hAnsi="仿宋_GB2312" w:cs="仿宋_GB2312"/>
                <w:color w:val="000000"/>
                <w:kern w:val="0"/>
                <w:sz w:val="21"/>
                <w:szCs w:val="21"/>
                <w:lang w:eastAsia="zh-Hans" w:bidi="ar"/>
              </w:rPr>
              <w:t>规范</w:t>
            </w:r>
          </w:p>
        </w:tc>
        <w:tc>
          <w:tcPr>
            <w:tcW w:w="711" w:type="pct"/>
            <w:noWrap w:val="0"/>
            <w:vAlign w:val="center"/>
          </w:tcPr>
          <w:p>
            <w:pPr>
              <w:widowControl/>
              <w:adjustRightInd w:val="0"/>
              <w:snapToGrid w:val="0"/>
              <w:jc w:val="center"/>
              <w:textAlignment w:val="center"/>
              <w:rPr>
                <w:rFonts w:ascii="仿宋" w:hAnsi="仿宋" w:cs="仿宋_GB2312"/>
                <w:kern w:val="0"/>
                <w:sz w:val="21"/>
                <w:szCs w:val="21"/>
              </w:rPr>
            </w:pPr>
            <w:r>
              <w:rPr>
                <w:rFonts w:hint="eastAsia" w:ascii="仿宋" w:hAnsi="仿宋"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hint="eastAsia" w:ascii="仿宋" w:hAnsi="仿宋" w:eastAsia="仿宋_GB2312" w:cs="仿宋_GB2312"/>
                <w:kern w:val="0"/>
                <w:sz w:val="21"/>
                <w:szCs w:val="21"/>
                <w:lang w:val="en-US" w:eastAsia="zh-CN" w:bidi="ar-SA"/>
              </w:rPr>
            </w:pPr>
            <w:r>
              <w:rPr>
                <w:rFonts w:hint="eastAsia" w:ascii="仿宋_GB2312" w:hAnsi="仿宋_GB2312" w:cs="仿宋_GB2312"/>
                <w:color w:val="000000"/>
                <w:kern w:val="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adjustRightInd w:val="0"/>
              <w:snapToGrid w:val="0"/>
              <w:jc w:val="center"/>
              <w:textAlignment w:val="center"/>
              <w:rPr>
                <w:rFonts w:ascii="仿宋" w:hAnsi="仿宋" w:cs="宋体"/>
                <w:b/>
                <w:kern w:val="0"/>
                <w:sz w:val="21"/>
                <w:szCs w:val="21"/>
              </w:rPr>
            </w:pPr>
            <w:r>
              <w:rPr>
                <w:rFonts w:hint="eastAsia" w:ascii="仿宋_GB2312" w:hAnsi="仿宋_GB2312" w:cs="仿宋_GB2312"/>
                <w:color w:val="000000"/>
                <w:kern w:val="0"/>
                <w:sz w:val="21"/>
                <w:szCs w:val="21"/>
                <w:lang w:bidi="ar"/>
              </w:rPr>
              <w:t>合同管理规范性</w:t>
            </w:r>
          </w:p>
        </w:tc>
        <w:tc>
          <w:tcPr>
            <w:tcW w:w="649" w:type="pct"/>
            <w:noWrap w:val="0"/>
            <w:vAlign w:val="center"/>
          </w:tcPr>
          <w:p>
            <w:pPr>
              <w:widowControl/>
              <w:adjustRightInd w:val="0"/>
              <w:snapToGrid w:val="0"/>
              <w:jc w:val="center"/>
              <w:textAlignment w:val="center"/>
              <w:rPr>
                <w:rFonts w:hint="eastAsia" w:ascii="仿宋" w:hAnsi="仿宋" w:cs="仿宋_GB2312"/>
                <w:kern w:val="0"/>
                <w:sz w:val="21"/>
                <w:szCs w:val="21"/>
              </w:rPr>
            </w:pPr>
            <w:r>
              <w:rPr>
                <w:rFonts w:hint="eastAsia" w:ascii="仿宋_GB2312" w:hAnsi="仿宋_GB2312" w:cs="仿宋_GB2312"/>
                <w:color w:val="000000"/>
                <w:kern w:val="0"/>
                <w:sz w:val="21"/>
                <w:szCs w:val="21"/>
                <w:lang w:bidi="ar"/>
              </w:rPr>
              <w:t>4</w:t>
            </w:r>
          </w:p>
        </w:tc>
        <w:tc>
          <w:tcPr>
            <w:tcW w:w="779" w:type="pct"/>
            <w:noWrap w:val="0"/>
            <w:vAlign w:val="center"/>
          </w:tcPr>
          <w:p>
            <w:pPr>
              <w:widowControl/>
              <w:adjustRightInd w:val="0"/>
              <w:snapToGrid w:val="0"/>
              <w:jc w:val="center"/>
              <w:textAlignment w:val="center"/>
              <w:rPr>
                <w:rFonts w:hint="eastAsia" w:ascii="仿宋" w:hAnsi="仿宋" w:cs="仿宋_GB2312"/>
                <w:kern w:val="0"/>
                <w:sz w:val="21"/>
                <w:szCs w:val="21"/>
              </w:rPr>
            </w:pPr>
            <w:r>
              <w:rPr>
                <w:rFonts w:hint="eastAsia" w:ascii="仿宋_GB2312" w:hAnsi="仿宋_GB2312" w:cs="仿宋_GB2312"/>
                <w:color w:val="000000"/>
                <w:kern w:val="0"/>
                <w:sz w:val="21"/>
                <w:szCs w:val="21"/>
                <w:lang w:eastAsia="zh-Hans" w:bidi="ar"/>
              </w:rPr>
              <w:t>规范</w:t>
            </w:r>
          </w:p>
        </w:tc>
        <w:tc>
          <w:tcPr>
            <w:tcW w:w="692" w:type="pct"/>
            <w:noWrap w:val="0"/>
            <w:vAlign w:val="center"/>
          </w:tcPr>
          <w:p>
            <w:pPr>
              <w:widowControl/>
              <w:adjustRightInd w:val="0"/>
              <w:snapToGrid w:val="0"/>
              <w:jc w:val="center"/>
              <w:textAlignment w:val="center"/>
              <w:rPr>
                <w:rFonts w:hint="eastAsia" w:ascii="仿宋" w:hAnsi="仿宋" w:eastAsia="仿宋_GB2312" w:cs="仿宋_GB2312"/>
                <w:kern w:val="0"/>
                <w:sz w:val="21"/>
                <w:szCs w:val="21"/>
                <w:lang w:val="en-US" w:eastAsia="zh-CN" w:bidi="ar-SA"/>
              </w:rPr>
            </w:pPr>
            <w:r>
              <w:rPr>
                <w:rFonts w:hint="eastAsia" w:ascii="仿宋_GB2312" w:hAnsi="仿宋_GB2312" w:cs="仿宋_GB2312"/>
                <w:color w:val="000000"/>
                <w:kern w:val="0"/>
                <w:sz w:val="21"/>
                <w:szCs w:val="21"/>
                <w:lang w:eastAsia="zh-Hans" w:bidi="ar"/>
              </w:rPr>
              <w:t>规范</w:t>
            </w:r>
          </w:p>
        </w:tc>
        <w:tc>
          <w:tcPr>
            <w:tcW w:w="711" w:type="pct"/>
            <w:noWrap w:val="0"/>
            <w:vAlign w:val="center"/>
          </w:tcPr>
          <w:p>
            <w:pPr>
              <w:widowControl/>
              <w:adjustRightInd w:val="0"/>
              <w:snapToGrid w:val="0"/>
              <w:jc w:val="center"/>
              <w:textAlignment w:val="center"/>
              <w:rPr>
                <w:rFonts w:ascii="仿宋" w:hAnsi="仿宋" w:cs="仿宋_GB2312"/>
                <w:kern w:val="0"/>
                <w:sz w:val="21"/>
                <w:szCs w:val="21"/>
              </w:rPr>
            </w:pPr>
            <w:r>
              <w:rPr>
                <w:rFonts w:hint="eastAsia" w:ascii="仿宋" w:hAnsi="仿宋" w:cs="仿宋_GB2312"/>
                <w:kern w:val="0"/>
                <w:sz w:val="21"/>
                <w:szCs w:val="21"/>
                <w:lang w:val="en-US" w:eastAsia="zh-CN"/>
              </w:rPr>
              <w:t>100%</w:t>
            </w:r>
          </w:p>
        </w:tc>
        <w:tc>
          <w:tcPr>
            <w:tcW w:w="617" w:type="pct"/>
            <w:noWrap w:val="0"/>
            <w:vAlign w:val="center"/>
          </w:tcPr>
          <w:p>
            <w:pPr>
              <w:widowControl/>
              <w:adjustRightInd w:val="0"/>
              <w:snapToGrid w:val="0"/>
              <w:jc w:val="center"/>
              <w:textAlignment w:val="center"/>
              <w:rPr>
                <w:rFonts w:hint="eastAsia" w:ascii="仿宋" w:hAnsi="仿宋" w:eastAsia="仿宋_GB2312" w:cs="仿宋_GB2312"/>
                <w:kern w:val="0"/>
                <w:sz w:val="21"/>
                <w:szCs w:val="21"/>
                <w:lang w:val="en-US" w:eastAsia="zh-CN" w:bidi="ar-SA"/>
              </w:rPr>
            </w:pPr>
            <w:r>
              <w:rPr>
                <w:rFonts w:hint="eastAsia" w:ascii="仿宋_GB2312" w:hAnsi="仿宋_GB2312" w:cs="仿宋_GB2312"/>
                <w:color w:val="000000"/>
                <w:kern w:val="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49" w:type="pct"/>
            <w:noWrap w:val="0"/>
            <w:vAlign w:val="center"/>
          </w:tcPr>
          <w:p>
            <w:pPr>
              <w:widowControl/>
              <w:jc w:val="center"/>
              <w:rPr>
                <w:rFonts w:ascii="仿宋" w:hAnsi="仿宋" w:cs="宋体"/>
                <w:b/>
                <w:kern w:val="0"/>
                <w:sz w:val="21"/>
                <w:szCs w:val="21"/>
              </w:rPr>
            </w:pPr>
            <w:r>
              <w:rPr>
                <w:rFonts w:ascii="仿宋" w:hAnsi="仿宋" w:cs="宋体"/>
                <w:b/>
                <w:kern w:val="0"/>
                <w:sz w:val="21"/>
                <w:szCs w:val="21"/>
              </w:rPr>
              <w:t>合计</w:t>
            </w:r>
          </w:p>
        </w:tc>
        <w:tc>
          <w:tcPr>
            <w:tcW w:w="649" w:type="pct"/>
            <w:noWrap w:val="0"/>
            <w:vAlign w:val="center"/>
          </w:tcPr>
          <w:p>
            <w:pPr>
              <w:widowControl/>
              <w:jc w:val="center"/>
              <w:rPr>
                <w:rFonts w:ascii="仿宋" w:hAnsi="仿宋" w:cs="宋体"/>
                <w:b/>
                <w:kern w:val="0"/>
                <w:sz w:val="21"/>
                <w:szCs w:val="21"/>
              </w:rPr>
            </w:pPr>
            <w:r>
              <w:rPr>
                <w:rFonts w:ascii="仿宋" w:hAnsi="仿宋" w:cs="宋体"/>
                <w:b/>
                <w:kern w:val="0"/>
                <w:sz w:val="21"/>
                <w:szCs w:val="21"/>
              </w:rPr>
              <w:t>20</w:t>
            </w:r>
          </w:p>
        </w:tc>
        <w:tc>
          <w:tcPr>
            <w:tcW w:w="779" w:type="pct"/>
            <w:noWrap w:val="0"/>
            <w:vAlign w:val="center"/>
          </w:tcPr>
          <w:p>
            <w:pPr>
              <w:widowControl/>
              <w:jc w:val="center"/>
              <w:rPr>
                <w:rFonts w:ascii="仿宋" w:hAnsi="仿宋" w:cs="宋体"/>
                <w:b/>
                <w:kern w:val="0"/>
                <w:sz w:val="21"/>
                <w:szCs w:val="21"/>
              </w:rPr>
            </w:pPr>
          </w:p>
        </w:tc>
        <w:tc>
          <w:tcPr>
            <w:tcW w:w="692" w:type="pct"/>
            <w:noWrap w:val="0"/>
            <w:vAlign w:val="center"/>
          </w:tcPr>
          <w:p>
            <w:pPr>
              <w:widowControl/>
              <w:jc w:val="center"/>
              <w:rPr>
                <w:rFonts w:ascii="仿宋" w:hAnsi="仿宋" w:cs="宋体"/>
                <w:b/>
                <w:kern w:val="0"/>
                <w:sz w:val="21"/>
                <w:szCs w:val="21"/>
              </w:rPr>
            </w:pPr>
          </w:p>
        </w:tc>
        <w:tc>
          <w:tcPr>
            <w:tcW w:w="711" w:type="pct"/>
            <w:noWrap w:val="0"/>
            <w:vAlign w:val="center"/>
          </w:tcPr>
          <w:p>
            <w:pPr>
              <w:widowControl/>
              <w:jc w:val="center"/>
              <w:textAlignment w:val="center"/>
              <w:rPr>
                <w:rFonts w:hint="eastAsia" w:ascii="仿宋" w:hAnsi="仿宋" w:eastAsia="仿宋" w:cs="仿宋"/>
                <w:b/>
                <w:bCs/>
                <w:color w:val="000000"/>
                <w:sz w:val="21"/>
                <w:szCs w:val="21"/>
              </w:rPr>
            </w:pPr>
          </w:p>
        </w:tc>
        <w:tc>
          <w:tcPr>
            <w:tcW w:w="617" w:type="pct"/>
            <w:noWrap w:val="0"/>
            <w:vAlign w:val="center"/>
          </w:tcPr>
          <w:p>
            <w:pPr>
              <w:widowControl/>
              <w:jc w:val="center"/>
              <w:rPr>
                <w:rFonts w:ascii="仿宋" w:hAnsi="仿宋" w:eastAsia="仿宋_GB2312" w:cs="宋体"/>
                <w:b/>
                <w:kern w:val="0"/>
                <w:sz w:val="21"/>
                <w:szCs w:val="21"/>
                <w:lang w:val="en-US" w:eastAsia="zh-CN" w:bidi="ar-SA"/>
              </w:rPr>
            </w:pPr>
            <w:r>
              <w:rPr>
                <w:rFonts w:ascii="仿宋" w:hAnsi="仿宋" w:cs="宋体"/>
                <w:b/>
                <w:kern w:val="0"/>
                <w:sz w:val="21"/>
                <w:szCs w:val="21"/>
              </w:rPr>
              <w:t>20</w:t>
            </w:r>
          </w:p>
        </w:tc>
      </w:tr>
    </w:tbl>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资金到位率：</w:t>
      </w:r>
      <w:r>
        <w:rPr>
          <w:rFonts w:hint="eastAsia" w:ascii="仿宋_GB2312" w:hAnsi="仿宋_GB2312" w:eastAsia="仿宋_GB2312" w:cs="仿宋_GB2312"/>
          <w:bCs/>
          <w:sz w:val="32"/>
          <w:szCs w:val="32"/>
        </w:rPr>
        <w:t>权重分为2分，实际得分为</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该项目总投资金额</w:t>
      </w:r>
      <w:r>
        <w:rPr>
          <w:rFonts w:hint="eastAsia" w:ascii="仿宋_GB2312" w:hAnsi="仿宋_GB2312" w:eastAsia="仿宋_GB2312" w:cs="仿宋_GB2312"/>
          <w:bCs/>
          <w:sz w:val="32"/>
          <w:szCs w:val="32"/>
          <w:lang w:val="en-US" w:eastAsia="zh-CN"/>
        </w:rPr>
        <w:t>7334.84万元。截至2023年6月30日，预算资金6325.75万元，</w:t>
      </w:r>
      <w:r>
        <w:rPr>
          <w:rFonts w:hint="eastAsia" w:ascii="仿宋_GB2312" w:hAnsi="仿宋_GB2312" w:eastAsia="仿宋_GB2312" w:cs="仿宋_GB2312"/>
          <w:bCs/>
          <w:sz w:val="32"/>
          <w:szCs w:val="32"/>
        </w:rPr>
        <w:t>实际到位</w:t>
      </w:r>
      <w:r>
        <w:rPr>
          <w:rFonts w:hint="eastAsia" w:ascii="仿宋_GB2312" w:hAnsi="仿宋_GB2312" w:eastAsia="仿宋_GB2312" w:cs="仿宋_GB2312"/>
          <w:bCs/>
          <w:sz w:val="32"/>
          <w:szCs w:val="32"/>
          <w:lang w:val="en-US" w:eastAsia="zh-CN"/>
        </w:rPr>
        <w:t>6325.75</w:t>
      </w:r>
      <w:r>
        <w:rPr>
          <w:rFonts w:hint="eastAsia" w:ascii="仿宋_GB2312" w:hAnsi="仿宋_GB2312" w:eastAsia="仿宋_GB2312" w:cs="仿宋_GB2312"/>
          <w:bCs/>
          <w:sz w:val="32"/>
          <w:szCs w:val="32"/>
        </w:rPr>
        <w:t>万元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资金到位率为100%。</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预算执行率：</w:t>
      </w:r>
      <w:r>
        <w:rPr>
          <w:rFonts w:hint="eastAsia" w:ascii="仿宋_GB2312" w:hAnsi="仿宋_GB2312" w:eastAsia="仿宋_GB2312" w:cs="仿宋_GB2312"/>
          <w:bCs/>
          <w:sz w:val="32"/>
          <w:szCs w:val="32"/>
        </w:rPr>
        <w:t>权重分为4分，实际得分为</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该项目总投资金额</w:t>
      </w:r>
      <w:r>
        <w:rPr>
          <w:rFonts w:hint="eastAsia" w:ascii="仿宋_GB2312" w:hAnsi="仿宋_GB2312" w:eastAsia="仿宋_GB2312" w:cs="仿宋_GB2312"/>
          <w:bCs/>
          <w:sz w:val="32"/>
          <w:szCs w:val="32"/>
          <w:lang w:val="en-US" w:eastAsia="zh-CN"/>
        </w:rPr>
        <w:t>7334.84万元。截至2023年6月30日，预算资金6325.75万元，</w:t>
      </w:r>
      <w:r>
        <w:rPr>
          <w:rFonts w:hint="eastAsia" w:ascii="仿宋_GB2312" w:hAnsi="仿宋_GB2312" w:eastAsia="仿宋_GB2312" w:cs="仿宋_GB2312"/>
          <w:bCs/>
          <w:sz w:val="32"/>
          <w:szCs w:val="32"/>
          <w:lang w:eastAsia="zh-CN"/>
        </w:rPr>
        <w:t>实际支出</w:t>
      </w:r>
      <w:r>
        <w:rPr>
          <w:rFonts w:hint="eastAsia" w:ascii="仿宋_GB2312" w:hAnsi="仿宋_GB2312" w:eastAsia="仿宋_GB2312" w:cs="仿宋_GB2312"/>
          <w:bCs/>
          <w:sz w:val="32"/>
          <w:szCs w:val="32"/>
          <w:lang w:val="en-US" w:eastAsia="zh-CN"/>
        </w:rPr>
        <w:t>6325.75</w:t>
      </w:r>
      <w:r>
        <w:rPr>
          <w:rFonts w:hint="eastAsia" w:ascii="仿宋_GB2312" w:hAnsi="仿宋_GB2312" w:eastAsia="仿宋_GB2312" w:cs="仿宋_GB2312"/>
          <w:bCs/>
          <w:sz w:val="32"/>
          <w:szCs w:val="32"/>
        </w:rPr>
        <w:t>万元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预算执行率为</w:t>
      </w:r>
      <w:r>
        <w:rPr>
          <w:rFonts w:hint="eastAsia" w:ascii="仿宋_GB2312" w:hAnsi="仿宋_GB2312" w:eastAsia="仿宋_GB2312" w:cs="仿宋_GB2312"/>
          <w:bCs/>
          <w:sz w:val="32"/>
          <w:szCs w:val="32"/>
          <w:lang w:val="en-US" w:eastAsia="zh-CN"/>
        </w:rPr>
        <w:t>100</w:t>
      </w:r>
      <w:r>
        <w:rPr>
          <w:rFonts w:hint="eastAsia" w:ascii="仿宋_GB2312" w:hAnsi="仿宋_GB2312" w:eastAsia="仿宋_GB2312" w:cs="仿宋_GB2312"/>
          <w:bCs/>
          <w:sz w:val="32"/>
          <w:szCs w:val="32"/>
        </w:rPr>
        <w:t>%。</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资金使用合规性</w:t>
      </w:r>
      <w:r>
        <w:rPr>
          <w:rFonts w:hint="eastAsia" w:ascii="仿宋_GB2312" w:hAnsi="仿宋_GB2312" w:eastAsia="仿宋_GB2312" w:cs="仿宋_GB2312"/>
          <w:bCs/>
          <w:sz w:val="32"/>
          <w:szCs w:val="32"/>
        </w:rPr>
        <w:t>：权重分为2分，实际得分为</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w:t>
      </w:r>
      <w:r>
        <w:rPr>
          <w:rFonts w:hint="eastAsia" w:ascii="仿宋_GB2312" w:hAnsi="仿宋_GB2312" w:eastAsia="仿宋_GB2312" w:cs="仿宋_GB2312"/>
          <w:bCs/>
          <w:sz w:val="32"/>
          <w:szCs w:val="32"/>
        </w:rPr>
        <w:t>项目符合国家财经法规和财务管理制度以及专项资金管理办法的规定，资金的拨付有完整的审批程序和手续，符合项目预算批复或合同规定的用途，不存在截留、挤占、挪用、虚列支出等情况。</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管理制度健全性：</w:t>
      </w:r>
      <w:r>
        <w:rPr>
          <w:rFonts w:hint="eastAsia" w:ascii="仿宋_GB2312" w:hAnsi="仿宋_GB2312" w:eastAsia="仿宋_GB2312" w:cs="仿宋_GB2312"/>
          <w:bCs/>
          <w:sz w:val="32"/>
          <w:szCs w:val="32"/>
        </w:rPr>
        <w:t>权重分为4分，实际得分为</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分。一是单位已制定财务管理制度且合法、合规、完整；二是单位该项目管理按照相关合同执行，合法、合规。</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政府采购合规性：</w:t>
      </w:r>
      <w:r>
        <w:rPr>
          <w:rFonts w:hint="eastAsia" w:ascii="仿宋_GB2312" w:hAnsi="仿宋_GB2312" w:eastAsia="仿宋_GB2312" w:cs="仿宋_GB2312"/>
          <w:bCs/>
          <w:sz w:val="32"/>
          <w:szCs w:val="32"/>
        </w:rPr>
        <w:t>权重分为4分，实际得分为</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分。该项目</w:t>
      </w:r>
      <w:r>
        <w:rPr>
          <w:rFonts w:hint="eastAsia" w:ascii="仿宋_GB2312" w:hAnsi="仿宋_GB2312" w:eastAsia="仿宋_GB2312" w:cs="仿宋_GB2312"/>
          <w:bCs/>
          <w:sz w:val="32"/>
          <w:szCs w:val="32"/>
          <w:lang w:eastAsia="zh-CN"/>
        </w:rPr>
        <w:t>政府采购程序合规合法，</w:t>
      </w:r>
      <w:r>
        <w:rPr>
          <w:rFonts w:hint="eastAsia" w:ascii="仿宋_GB2312" w:hAnsi="仿宋_GB2312" w:eastAsia="仿宋_GB2312" w:cs="仿宋_GB2312"/>
          <w:bCs/>
          <w:sz w:val="32"/>
          <w:szCs w:val="32"/>
        </w:rPr>
        <w:t>采购资料完整保存归档。</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合同管理规范性：</w:t>
      </w:r>
      <w:r>
        <w:rPr>
          <w:rFonts w:hint="eastAsia" w:ascii="仿宋_GB2312" w:hAnsi="仿宋_GB2312" w:eastAsia="仿宋_GB2312" w:cs="仿宋_GB2312"/>
          <w:bCs/>
          <w:sz w:val="32"/>
          <w:szCs w:val="32"/>
        </w:rPr>
        <w:t>权重分为4分，实际得分为</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w:t>
      </w:r>
      <w:r>
        <w:rPr>
          <w:rFonts w:hint="eastAsia" w:ascii="仿宋_GB2312" w:hAnsi="仿宋_GB2312" w:eastAsia="仿宋_GB2312" w:cs="仿宋_GB2312"/>
          <w:bCs/>
          <w:sz w:val="32"/>
          <w:szCs w:val="32"/>
        </w:rPr>
        <w:t>合同签订遵守相关法律法规和相关管理规定</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合同内容完整、准确</w:t>
      </w:r>
      <w:r>
        <w:rPr>
          <w:rFonts w:hint="eastAsia" w:ascii="仿宋_GB2312" w:hAnsi="仿宋_GB2312" w:eastAsia="仿宋_GB2312" w:cs="仿宋_GB2312"/>
          <w:bCs/>
          <w:sz w:val="32"/>
          <w:szCs w:val="32"/>
          <w:lang w:eastAsia="zh-CN"/>
        </w:rPr>
        <w:t>。</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18" w:name="_Toc37419453"/>
      <w:r>
        <w:rPr>
          <w:rFonts w:hint="eastAsia" w:ascii="仿宋_GB2312" w:hAnsi="仿宋_GB2312" w:eastAsia="仿宋_GB2312" w:cs="仿宋_GB2312"/>
          <w:b/>
          <w:sz w:val="32"/>
          <w:szCs w:val="32"/>
        </w:rPr>
        <w:t>3.项目产出情况</w:t>
      </w:r>
      <w:bookmarkEnd w:id="18"/>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产出指标从产出数量、产出质量、产出时效等方面进行考察。产出类指标权重25分，实际得分</w:t>
      </w:r>
      <w:r>
        <w:rPr>
          <w:rFonts w:hint="eastAsia" w:ascii="仿宋_GB2312" w:hAnsi="仿宋_GB2312" w:eastAsia="仿宋_GB2312" w:cs="仿宋_GB2312"/>
          <w:bCs/>
          <w:sz w:val="32"/>
          <w:szCs w:val="32"/>
          <w:lang w:val="en-US" w:eastAsia="zh-CN"/>
        </w:rPr>
        <w:t>25</w:t>
      </w:r>
      <w:r>
        <w:rPr>
          <w:rFonts w:hint="eastAsia" w:ascii="仿宋_GB2312" w:hAnsi="仿宋_GB2312" w:eastAsia="仿宋_GB2312" w:cs="仿宋_GB2312"/>
          <w:bCs/>
          <w:sz w:val="32"/>
          <w:szCs w:val="32"/>
        </w:rPr>
        <w:t>分，得分率</w:t>
      </w:r>
      <w:r>
        <w:rPr>
          <w:rFonts w:hint="eastAsia" w:ascii="仿宋_GB2312" w:hAnsi="仿宋_GB2312" w:eastAsia="仿宋_GB2312" w:cs="仿宋_GB2312"/>
          <w:bCs/>
          <w:sz w:val="32"/>
          <w:szCs w:val="32"/>
          <w:lang w:eastAsia="zh-CN"/>
        </w:rPr>
        <w:t>为</w:t>
      </w:r>
      <w:r>
        <w:rPr>
          <w:rFonts w:hint="eastAsia" w:ascii="仿宋_GB2312" w:hAnsi="仿宋_GB2312" w:eastAsia="仿宋_GB2312" w:cs="仿宋_GB2312"/>
          <w:bCs/>
          <w:sz w:val="32"/>
          <w:szCs w:val="32"/>
          <w:lang w:val="en-US" w:eastAsia="zh-CN"/>
        </w:rPr>
        <w:t>100%</w:t>
      </w:r>
      <w:r>
        <w:rPr>
          <w:rFonts w:hint="eastAsia" w:ascii="仿宋_GB2312" w:hAnsi="仿宋_GB2312" w:eastAsia="仿宋_GB2312" w:cs="仿宋_GB2312"/>
          <w:bCs/>
          <w:sz w:val="32"/>
          <w:szCs w:val="32"/>
        </w:rPr>
        <w:t>。产出指标的得分情况如表3-3所示。</w:t>
      </w:r>
    </w:p>
    <w:p>
      <w:pPr>
        <w:widowControl/>
        <w:jc w:val="center"/>
        <w:rPr>
          <w:rFonts w:ascii="仿宋" w:hAnsi="仿宋" w:cs="宋体"/>
          <w:b/>
          <w:bCs/>
          <w:kern w:val="0"/>
          <w:sz w:val="24"/>
        </w:rPr>
      </w:pPr>
      <w:r>
        <w:rPr>
          <w:rFonts w:hint="eastAsia" w:ascii="仿宋" w:hAnsi="仿宋" w:cs="宋体"/>
          <w:b/>
          <w:bCs/>
          <w:kern w:val="0"/>
          <w:sz w:val="24"/>
        </w:rPr>
        <w:t>表3-3  产出指标得分情况</w:t>
      </w:r>
    </w:p>
    <w:tbl>
      <w:tblPr>
        <w:tblStyle w:val="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5"/>
        <w:gridCol w:w="1014"/>
        <w:gridCol w:w="1275"/>
        <w:gridCol w:w="1597"/>
        <w:gridCol w:w="1606"/>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94" w:type="pct"/>
            <w:shd w:val="clear" w:color="000000" w:fill="A6A6A6"/>
            <w:noWrap w:val="0"/>
            <w:vAlign w:val="center"/>
          </w:tcPr>
          <w:p>
            <w:pPr>
              <w:widowControl/>
              <w:jc w:val="center"/>
              <w:rPr>
                <w:rFonts w:hint="eastAsia" w:ascii="仿宋" w:hAnsi="仿宋" w:cs="宋体"/>
                <w:b/>
                <w:bCs/>
                <w:kern w:val="0"/>
                <w:sz w:val="21"/>
                <w:szCs w:val="21"/>
              </w:rPr>
            </w:pPr>
            <w:r>
              <w:rPr>
                <w:rFonts w:hint="eastAsia" w:ascii="仿宋" w:hAnsi="仿宋" w:cs="宋体"/>
                <w:b/>
                <w:bCs/>
                <w:kern w:val="0"/>
                <w:sz w:val="21"/>
                <w:szCs w:val="21"/>
              </w:rPr>
              <w:t>四级指标</w:t>
            </w:r>
          </w:p>
        </w:tc>
        <w:tc>
          <w:tcPr>
            <w:tcW w:w="595"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权重</w:t>
            </w:r>
          </w:p>
        </w:tc>
        <w:tc>
          <w:tcPr>
            <w:tcW w:w="748"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目标值</w:t>
            </w:r>
          </w:p>
        </w:tc>
        <w:tc>
          <w:tcPr>
            <w:tcW w:w="937"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业绩值</w:t>
            </w:r>
          </w:p>
        </w:tc>
        <w:tc>
          <w:tcPr>
            <w:tcW w:w="942"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得分率</w:t>
            </w:r>
          </w:p>
        </w:tc>
        <w:tc>
          <w:tcPr>
            <w:tcW w:w="581"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pct"/>
            <w:noWrap w:val="0"/>
            <w:vAlign w:val="center"/>
          </w:tcPr>
          <w:p>
            <w:pPr>
              <w:widowControl/>
              <w:adjustRightInd w:val="0"/>
              <w:snapToGrid w:val="0"/>
              <w:jc w:val="center"/>
              <w:textAlignment w:val="center"/>
              <w:rPr>
                <w:rFonts w:hint="eastAsia" w:ascii="仿宋" w:hAnsi="仿宋" w:eastAsia="仿宋" w:cs="宋体"/>
                <w:kern w:val="0"/>
                <w:sz w:val="21"/>
                <w:szCs w:val="21"/>
              </w:rPr>
            </w:pPr>
            <w:r>
              <w:rPr>
                <w:rFonts w:hint="eastAsia" w:ascii="仿宋_GB2312" w:hAnsi="仿宋_GB2312" w:cs="仿宋_GB2312"/>
                <w:color w:val="000000"/>
                <w:kern w:val="0"/>
                <w:sz w:val="21"/>
                <w:szCs w:val="21"/>
                <w:lang w:bidi="ar"/>
              </w:rPr>
              <w:t>9条市政道路修补完成率</w:t>
            </w:r>
          </w:p>
        </w:tc>
        <w:tc>
          <w:tcPr>
            <w:tcW w:w="595" w:type="pct"/>
            <w:noWrap w:val="0"/>
            <w:vAlign w:val="center"/>
          </w:tcPr>
          <w:p>
            <w:pPr>
              <w:widowControl/>
              <w:adjustRightInd w:val="0"/>
              <w:snapToGrid w:val="0"/>
              <w:jc w:val="center"/>
              <w:textAlignment w:val="center"/>
              <w:rPr>
                <w:rFonts w:ascii="仿宋" w:hAnsi="仿宋" w:eastAsia="仿宋" w:cs="宋体"/>
                <w:kern w:val="0"/>
                <w:sz w:val="21"/>
                <w:szCs w:val="21"/>
              </w:rPr>
            </w:pPr>
            <w:r>
              <w:rPr>
                <w:rFonts w:hint="eastAsia" w:ascii="仿宋_GB2312" w:hAnsi="仿宋_GB2312" w:cs="仿宋_GB2312"/>
                <w:color w:val="000000"/>
                <w:kern w:val="0"/>
                <w:sz w:val="21"/>
                <w:szCs w:val="21"/>
                <w:lang w:bidi="ar"/>
              </w:rPr>
              <w:t>10</w:t>
            </w:r>
          </w:p>
        </w:tc>
        <w:tc>
          <w:tcPr>
            <w:tcW w:w="748" w:type="pct"/>
            <w:noWrap w:val="0"/>
            <w:vAlign w:val="center"/>
          </w:tcPr>
          <w:p>
            <w:pPr>
              <w:widowControl/>
              <w:adjustRightInd w:val="0"/>
              <w:snapToGrid w:val="0"/>
              <w:jc w:val="center"/>
              <w:textAlignment w:val="center"/>
              <w:rPr>
                <w:rFonts w:ascii="仿宋" w:hAnsi="仿宋" w:eastAsia="仿宋" w:cs="宋体"/>
                <w:kern w:val="0"/>
                <w:sz w:val="21"/>
                <w:szCs w:val="21"/>
              </w:rPr>
            </w:pPr>
            <w:r>
              <w:rPr>
                <w:rFonts w:hint="eastAsia" w:ascii="仿宋_GB2312" w:hAnsi="仿宋_GB2312" w:cs="仿宋_GB2312"/>
                <w:color w:val="000000"/>
                <w:kern w:val="0"/>
                <w:sz w:val="21"/>
                <w:szCs w:val="21"/>
                <w:lang w:bidi="ar"/>
              </w:rPr>
              <w:t>100%</w:t>
            </w:r>
          </w:p>
        </w:tc>
        <w:tc>
          <w:tcPr>
            <w:tcW w:w="937" w:type="pct"/>
            <w:noWrap w:val="0"/>
            <w:vAlign w:val="center"/>
          </w:tcPr>
          <w:p>
            <w:pPr>
              <w:widowControl/>
              <w:adjustRightInd w:val="0"/>
              <w:snapToGrid w:val="0"/>
              <w:jc w:val="center"/>
              <w:textAlignment w:val="center"/>
              <w:rPr>
                <w:rFonts w:ascii="仿宋" w:hAnsi="仿宋" w:eastAsia="仿宋" w:cs="宋体"/>
                <w:kern w:val="0"/>
                <w:sz w:val="21"/>
                <w:szCs w:val="21"/>
                <w:lang w:val="en-US" w:eastAsia="zh-CN" w:bidi="ar-SA"/>
              </w:rPr>
            </w:pPr>
            <w:r>
              <w:rPr>
                <w:rFonts w:hint="eastAsia" w:ascii="仿宋_GB2312" w:hAnsi="仿宋_GB2312" w:cs="仿宋_GB2312"/>
                <w:color w:val="000000"/>
                <w:kern w:val="0"/>
                <w:sz w:val="21"/>
                <w:szCs w:val="21"/>
                <w:lang w:bidi="ar"/>
              </w:rPr>
              <w:t>100%</w:t>
            </w:r>
          </w:p>
        </w:tc>
        <w:tc>
          <w:tcPr>
            <w:tcW w:w="942" w:type="pct"/>
            <w:noWrap w:val="0"/>
            <w:vAlign w:val="center"/>
          </w:tcPr>
          <w:p>
            <w:pPr>
              <w:widowControl/>
              <w:adjustRightInd w:val="0"/>
              <w:snapToGrid w:val="0"/>
              <w:jc w:val="center"/>
              <w:textAlignment w:val="center"/>
              <w:rPr>
                <w:rFonts w:ascii="仿宋" w:hAnsi="仿宋" w:eastAsia="仿宋" w:cs="宋体"/>
                <w:kern w:val="0"/>
                <w:sz w:val="21"/>
                <w:szCs w:val="21"/>
                <w:lang w:val="en-US" w:eastAsia="zh-CN" w:bidi="ar-SA"/>
              </w:rPr>
            </w:pPr>
            <w:r>
              <w:rPr>
                <w:rFonts w:hint="eastAsia" w:ascii="仿宋_GB2312" w:hAnsi="仿宋_GB2312" w:cs="仿宋_GB2312"/>
                <w:color w:val="000000"/>
                <w:kern w:val="0"/>
                <w:sz w:val="21"/>
                <w:szCs w:val="21"/>
                <w:lang w:bidi="ar"/>
              </w:rPr>
              <w:t>100%</w:t>
            </w:r>
          </w:p>
        </w:tc>
        <w:tc>
          <w:tcPr>
            <w:tcW w:w="581" w:type="pct"/>
            <w:noWrap w:val="0"/>
            <w:vAlign w:val="center"/>
          </w:tcPr>
          <w:p>
            <w:pPr>
              <w:widowControl/>
              <w:adjustRightInd w:val="0"/>
              <w:snapToGrid w:val="0"/>
              <w:jc w:val="center"/>
              <w:textAlignment w:val="center"/>
              <w:rPr>
                <w:rFonts w:ascii="仿宋" w:hAnsi="仿宋" w:eastAsia="仿宋" w:cs="宋体"/>
                <w:kern w:val="0"/>
                <w:sz w:val="21"/>
                <w:szCs w:val="21"/>
                <w:lang w:val="en-US" w:eastAsia="zh-CN" w:bidi="ar-SA"/>
              </w:rPr>
            </w:pPr>
            <w:r>
              <w:rPr>
                <w:rFonts w:hint="eastAsia" w:ascii="仿宋_GB2312" w:hAnsi="仿宋_GB2312" w:cs="仿宋_GB2312"/>
                <w:color w:val="000000"/>
                <w:kern w:val="0"/>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pct"/>
            <w:noWrap w:val="0"/>
            <w:vAlign w:val="center"/>
          </w:tcPr>
          <w:p>
            <w:pPr>
              <w:widowControl/>
              <w:adjustRightInd w:val="0"/>
              <w:snapToGrid w:val="0"/>
              <w:jc w:val="center"/>
              <w:textAlignment w:val="center"/>
              <w:rPr>
                <w:rFonts w:hint="eastAsia" w:ascii="仿宋" w:hAnsi="仿宋" w:eastAsia="仿宋"/>
                <w:kern w:val="0"/>
                <w:sz w:val="21"/>
                <w:szCs w:val="21"/>
              </w:rPr>
            </w:pPr>
            <w:r>
              <w:rPr>
                <w:rFonts w:hint="eastAsia" w:ascii="仿宋_GB2312" w:hAnsi="仿宋_GB2312" w:cs="仿宋_GB2312"/>
                <w:color w:val="000000"/>
                <w:kern w:val="0"/>
                <w:sz w:val="21"/>
                <w:szCs w:val="21"/>
                <w:lang w:bidi="ar"/>
              </w:rPr>
              <w:t>项目验收合格率</w:t>
            </w:r>
          </w:p>
        </w:tc>
        <w:tc>
          <w:tcPr>
            <w:tcW w:w="595" w:type="pct"/>
            <w:noWrap w:val="0"/>
            <w:vAlign w:val="center"/>
          </w:tcPr>
          <w:p>
            <w:pPr>
              <w:widowControl/>
              <w:adjustRightInd w:val="0"/>
              <w:snapToGrid w:val="0"/>
              <w:jc w:val="center"/>
              <w:textAlignment w:val="center"/>
              <w:rPr>
                <w:rFonts w:ascii="仿宋" w:hAnsi="仿宋" w:eastAsia="仿宋"/>
                <w:kern w:val="0"/>
                <w:sz w:val="21"/>
                <w:szCs w:val="21"/>
              </w:rPr>
            </w:pPr>
            <w:r>
              <w:rPr>
                <w:rFonts w:hint="eastAsia" w:ascii="仿宋_GB2312" w:hAnsi="仿宋_GB2312" w:cs="仿宋_GB2312"/>
                <w:color w:val="000000"/>
                <w:kern w:val="0"/>
                <w:sz w:val="21"/>
                <w:szCs w:val="21"/>
                <w:lang w:bidi="ar"/>
              </w:rPr>
              <w:t>5</w:t>
            </w:r>
          </w:p>
        </w:tc>
        <w:tc>
          <w:tcPr>
            <w:tcW w:w="748" w:type="pct"/>
            <w:noWrap w:val="0"/>
            <w:vAlign w:val="center"/>
          </w:tcPr>
          <w:p>
            <w:pPr>
              <w:widowControl/>
              <w:adjustRightInd w:val="0"/>
              <w:snapToGrid w:val="0"/>
              <w:jc w:val="center"/>
              <w:textAlignment w:val="center"/>
              <w:rPr>
                <w:rFonts w:ascii="仿宋" w:hAnsi="仿宋"/>
                <w:kern w:val="0"/>
                <w:sz w:val="21"/>
                <w:szCs w:val="21"/>
              </w:rPr>
            </w:pPr>
            <w:r>
              <w:rPr>
                <w:rFonts w:hint="eastAsia" w:ascii="仿宋_GB2312" w:hAnsi="仿宋_GB2312" w:cs="仿宋_GB2312"/>
                <w:color w:val="000000"/>
                <w:kern w:val="0"/>
                <w:sz w:val="21"/>
                <w:szCs w:val="21"/>
                <w:lang w:bidi="ar"/>
              </w:rPr>
              <w:t>100%</w:t>
            </w:r>
          </w:p>
        </w:tc>
        <w:tc>
          <w:tcPr>
            <w:tcW w:w="937" w:type="pct"/>
            <w:noWrap w:val="0"/>
            <w:vAlign w:val="center"/>
          </w:tcPr>
          <w:p>
            <w:pPr>
              <w:widowControl/>
              <w:adjustRightInd w:val="0"/>
              <w:snapToGrid w:val="0"/>
              <w:jc w:val="center"/>
              <w:textAlignment w:val="center"/>
              <w:rPr>
                <w:rFonts w:ascii="仿宋" w:hAnsi="仿宋" w:eastAsia="仿宋_GB2312"/>
                <w:kern w:val="0"/>
                <w:sz w:val="21"/>
                <w:szCs w:val="21"/>
                <w:lang w:val="en-US" w:eastAsia="zh-CN" w:bidi="ar-SA"/>
              </w:rPr>
            </w:pPr>
            <w:r>
              <w:rPr>
                <w:rFonts w:hint="eastAsia" w:ascii="仿宋_GB2312" w:hAnsi="仿宋_GB2312" w:cs="仿宋_GB2312"/>
                <w:color w:val="000000"/>
                <w:kern w:val="0"/>
                <w:sz w:val="21"/>
                <w:szCs w:val="21"/>
                <w:lang w:bidi="ar"/>
              </w:rPr>
              <w:t>100%</w:t>
            </w:r>
          </w:p>
        </w:tc>
        <w:tc>
          <w:tcPr>
            <w:tcW w:w="942" w:type="pct"/>
            <w:noWrap w:val="0"/>
            <w:vAlign w:val="center"/>
          </w:tcPr>
          <w:p>
            <w:pPr>
              <w:widowControl/>
              <w:adjustRightInd w:val="0"/>
              <w:snapToGrid w:val="0"/>
              <w:jc w:val="center"/>
              <w:textAlignment w:val="center"/>
              <w:rPr>
                <w:rFonts w:ascii="仿宋" w:hAnsi="仿宋" w:eastAsia="仿宋_GB2312"/>
                <w:kern w:val="0"/>
                <w:sz w:val="21"/>
                <w:szCs w:val="21"/>
                <w:lang w:val="en-US" w:eastAsia="zh-CN" w:bidi="ar-SA"/>
              </w:rPr>
            </w:pPr>
            <w:r>
              <w:rPr>
                <w:rFonts w:hint="eastAsia" w:ascii="仿宋_GB2312" w:hAnsi="仿宋_GB2312" w:cs="仿宋_GB2312"/>
                <w:color w:val="000000"/>
                <w:kern w:val="0"/>
                <w:sz w:val="21"/>
                <w:szCs w:val="21"/>
                <w:lang w:bidi="ar"/>
              </w:rPr>
              <w:t>100%</w:t>
            </w:r>
          </w:p>
        </w:tc>
        <w:tc>
          <w:tcPr>
            <w:tcW w:w="581" w:type="pct"/>
            <w:noWrap w:val="0"/>
            <w:vAlign w:val="center"/>
          </w:tcPr>
          <w:p>
            <w:pPr>
              <w:widowControl/>
              <w:adjustRightInd w:val="0"/>
              <w:snapToGrid w:val="0"/>
              <w:jc w:val="center"/>
              <w:textAlignment w:val="center"/>
              <w:rPr>
                <w:rFonts w:ascii="仿宋" w:hAnsi="仿宋" w:eastAsia="仿宋"/>
                <w:kern w:val="0"/>
                <w:sz w:val="21"/>
                <w:szCs w:val="21"/>
                <w:lang w:val="en-US" w:eastAsia="zh-CN" w:bidi="ar-SA"/>
              </w:rPr>
            </w:pPr>
            <w:r>
              <w:rPr>
                <w:rFonts w:hint="eastAsia" w:ascii="仿宋_GB2312" w:hAnsi="仿宋_GB2312" w:cs="仿宋_GB2312"/>
                <w:color w:val="000000"/>
                <w:kern w:val="0"/>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pct"/>
            <w:noWrap w:val="0"/>
            <w:vAlign w:val="center"/>
          </w:tcPr>
          <w:p>
            <w:pPr>
              <w:widowControl/>
              <w:adjustRightInd w:val="0"/>
              <w:snapToGrid w:val="0"/>
              <w:jc w:val="center"/>
              <w:textAlignment w:val="center"/>
              <w:rPr>
                <w:rFonts w:hint="eastAsia" w:ascii="仿宋" w:hAnsi="仿宋" w:eastAsia="仿宋"/>
                <w:kern w:val="0"/>
                <w:sz w:val="21"/>
                <w:szCs w:val="21"/>
              </w:rPr>
            </w:pPr>
            <w:r>
              <w:rPr>
                <w:rFonts w:hint="eastAsia" w:ascii="仿宋_GB2312" w:hAnsi="仿宋_GB2312" w:cs="仿宋_GB2312"/>
                <w:color w:val="000000"/>
                <w:kern w:val="0"/>
                <w:sz w:val="21"/>
                <w:szCs w:val="21"/>
                <w:lang w:eastAsia="zh-Hans" w:bidi="ar"/>
              </w:rPr>
              <w:t>项目完成</w:t>
            </w:r>
            <w:r>
              <w:rPr>
                <w:rFonts w:hint="eastAsia" w:ascii="仿宋_GB2312" w:hAnsi="仿宋_GB2312" w:cs="仿宋_GB2312"/>
                <w:color w:val="000000"/>
                <w:kern w:val="0"/>
                <w:sz w:val="21"/>
                <w:szCs w:val="21"/>
                <w:lang w:bidi="ar"/>
              </w:rPr>
              <w:t>及时率</w:t>
            </w:r>
          </w:p>
        </w:tc>
        <w:tc>
          <w:tcPr>
            <w:tcW w:w="595" w:type="pct"/>
            <w:noWrap w:val="0"/>
            <w:vAlign w:val="center"/>
          </w:tcPr>
          <w:p>
            <w:pPr>
              <w:widowControl/>
              <w:adjustRightInd w:val="0"/>
              <w:snapToGrid w:val="0"/>
              <w:jc w:val="center"/>
              <w:textAlignment w:val="center"/>
              <w:rPr>
                <w:rFonts w:ascii="仿宋" w:hAnsi="仿宋" w:eastAsia="仿宋"/>
                <w:kern w:val="0"/>
                <w:sz w:val="21"/>
                <w:szCs w:val="21"/>
              </w:rPr>
            </w:pPr>
            <w:r>
              <w:rPr>
                <w:rFonts w:hint="eastAsia" w:ascii="仿宋_GB2312" w:hAnsi="仿宋_GB2312" w:cs="仿宋_GB2312"/>
                <w:color w:val="000000"/>
                <w:kern w:val="0"/>
                <w:sz w:val="21"/>
                <w:szCs w:val="21"/>
                <w:lang w:bidi="ar"/>
              </w:rPr>
              <w:t>5</w:t>
            </w:r>
          </w:p>
        </w:tc>
        <w:tc>
          <w:tcPr>
            <w:tcW w:w="748" w:type="pct"/>
            <w:noWrap w:val="0"/>
            <w:vAlign w:val="center"/>
          </w:tcPr>
          <w:p>
            <w:pPr>
              <w:widowControl/>
              <w:adjustRightInd w:val="0"/>
              <w:snapToGrid w:val="0"/>
              <w:jc w:val="center"/>
              <w:textAlignment w:val="center"/>
              <w:rPr>
                <w:rFonts w:ascii="仿宋" w:hAnsi="仿宋"/>
                <w:kern w:val="0"/>
                <w:sz w:val="21"/>
                <w:szCs w:val="21"/>
              </w:rPr>
            </w:pPr>
            <w:r>
              <w:rPr>
                <w:rFonts w:hint="eastAsia" w:ascii="仿宋_GB2312" w:hAnsi="仿宋_GB2312" w:cs="仿宋_GB2312"/>
                <w:color w:val="000000"/>
                <w:kern w:val="0"/>
                <w:sz w:val="21"/>
                <w:szCs w:val="21"/>
                <w:lang w:bidi="ar"/>
              </w:rPr>
              <w:t>100%</w:t>
            </w:r>
          </w:p>
        </w:tc>
        <w:tc>
          <w:tcPr>
            <w:tcW w:w="937" w:type="pct"/>
            <w:noWrap w:val="0"/>
            <w:vAlign w:val="center"/>
          </w:tcPr>
          <w:p>
            <w:pPr>
              <w:widowControl/>
              <w:adjustRightInd w:val="0"/>
              <w:snapToGrid w:val="0"/>
              <w:jc w:val="center"/>
              <w:textAlignment w:val="center"/>
              <w:rPr>
                <w:rFonts w:ascii="仿宋" w:hAnsi="仿宋" w:eastAsia="仿宋_GB2312"/>
                <w:kern w:val="0"/>
                <w:sz w:val="21"/>
                <w:szCs w:val="21"/>
                <w:lang w:val="en-US" w:eastAsia="zh-CN" w:bidi="ar-SA"/>
              </w:rPr>
            </w:pPr>
            <w:r>
              <w:rPr>
                <w:rFonts w:hint="eastAsia" w:ascii="仿宋_GB2312" w:hAnsi="仿宋_GB2312" w:cs="仿宋_GB2312"/>
                <w:color w:val="000000"/>
                <w:kern w:val="0"/>
                <w:sz w:val="21"/>
                <w:szCs w:val="21"/>
                <w:lang w:bidi="ar"/>
              </w:rPr>
              <w:t>100%</w:t>
            </w:r>
          </w:p>
        </w:tc>
        <w:tc>
          <w:tcPr>
            <w:tcW w:w="942" w:type="pct"/>
            <w:noWrap w:val="0"/>
            <w:vAlign w:val="center"/>
          </w:tcPr>
          <w:p>
            <w:pPr>
              <w:widowControl/>
              <w:adjustRightInd w:val="0"/>
              <w:snapToGrid w:val="0"/>
              <w:jc w:val="center"/>
              <w:textAlignment w:val="center"/>
              <w:rPr>
                <w:rFonts w:ascii="仿宋" w:hAnsi="仿宋" w:eastAsia="仿宋_GB2312"/>
                <w:kern w:val="0"/>
                <w:sz w:val="21"/>
                <w:szCs w:val="21"/>
                <w:lang w:val="en-US" w:eastAsia="zh-CN" w:bidi="ar-SA"/>
              </w:rPr>
            </w:pPr>
            <w:r>
              <w:rPr>
                <w:rFonts w:hint="eastAsia" w:ascii="仿宋_GB2312" w:hAnsi="仿宋_GB2312" w:cs="仿宋_GB2312"/>
                <w:color w:val="000000"/>
                <w:kern w:val="0"/>
                <w:sz w:val="21"/>
                <w:szCs w:val="21"/>
                <w:lang w:bidi="ar"/>
              </w:rPr>
              <w:t>100%</w:t>
            </w:r>
          </w:p>
        </w:tc>
        <w:tc>
          <w:tcPr>
            <w:tcW w:w="581" w:type="pct"/>
            <w:noWrap w:val="0"/>
            <w:vAlign w:val="center"/>
          </w:tcPr>
          <w:p>
            <w:pPr>
              <w:widowControl/>
              <w:adjustRightInd w:val="0"/>
              <w:snapToGrid w:val="0"/>
              <w:jc w:val="center"/>
              <w:textAlignment w:val="center"/>
              <w:rPr>
                <w:rFonts w:hint="eastAsia" w:ascii="仿宋" w:hAnsi="仿宋" w:eastAsia="仿宋"/>
                <w:kern w:val="0"/>
                <w:sz w:val="21"/>
                <w:szCs w:val="21"/>
                <w:lang w:val="en-US" w:eastAsia="zh-CN" w:bidi="ar-SA"/>
              </w:rPr>
            </w:pPr>
            <w:r>
              <w:rPr>
                <w:rFonts w:hint="eastAsia" w:ascii="仿宋_GB2312" w:hAnsi="仿宋_GB2312" w:cs="仿宋_GB2312"/>
                <w:color w:val="000000"/>
                <w:kern w:val="0"/>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pct"/>
            <w:noWrap w:val="0"/>
            <w:vAlign w:val="center"/>
          </w:tcPr>
          <w:p>
            <w:pPr>
              <w:widowControl/>
              <w:adjustRightInd w:val="0"/>
              <w:snapToGrid w:val="0"/>
              <w:jc w:val="center"/>
              <w:textAlignment w:val="center"/>
              <w:rPr>
                <w:rFonts w:hint="eastAsia" w:ascii="仿宋" w:hAnsi="仿宋" w:eastAsia="仿宋"/>
                <w:kern w:val="0"/>
                <w:sz w:val="21"/>
                <w:szCs w:val="21"/>
              </w:rPr>
            </w:pPr>
            <w:r>
              <w:rPr>
                <w:rFonts w:hint="eastAsia" w:ascii="仿宋_GB2312" w:hAnsi="仿宋_GB2312" w:cs="仿宋_GB2312"/>
                <w:color w:val="000000"/>
                <w:kern w:val="0"/>
                <w:sz w:val="21"/>
                <w:szCs w:val="21"/>
                <w:lang w:bidi="ar"/>
              </w:rPr>
              <w:t>项目成本控制率</w:t>
            </w:r>
          </w:p>
        </w:tc>
        <w:tc>
          <w:tcPr>
            <w:tcW w:w="595" w:type="pct"/>
            <w:noWrap w:val="0"/>
            <w:vAlign w:val="center"/>
          </w:tcPr>
          <w:p>
            <w:pPr>
              <w:widowControl/>
              <w:adjustRightInd w:val="0"/>
              <w:snapToGrid w:val="0"/>
              <w:jc w:val="center"/>
              <w:textAlignment w:val="center"/>
              <w:rPr>
                <w:rFonts w:ascii="仿宋" w:hAnsi="仿宋" w:eastAsia="仿宋"/>
                <w:kern w:val="0"/>
                <w:sz w:val="21"/>
                <w:szCs w:val="21"/>
              </w:rPr>
            </w:pPr>
            <w:r>
              <w:rPr>
                <w:rFonts w:hint="eastAsia" w:ascii="仿宋_GB2312" w:hAnsi="仿宋_GB2312" w:cs="仿宋_GB2312"/>
                <w:color w:val="000000"/>
                <w:kern w:val="0"/>
                <w:sz w:val="21"/>
                <w:szCs w:val="21"/>
                <w:lang w:bidi="ar"/>
              </w:rPr>
              <w:t>5</w:t>
            </w:r>
          </w:p>
        </w:tc>
        <w:tc>
          <w:tcPr>
            <w:tcW w:w="748" w:type="pct"/>
            <w:noWrap w:val="0"/>
            <w:vAlign w:val="center"/>
          </w:tcPr>
          <w:p>
            <w:pPr>
              <w:widowControl/>
              <w:adjustRightInd w:val="0"/>
              <w:snapToGrid w:val="0"/>
              <w:jc w:val="center"/>
              <w:textAlignment w:val="center"/>
              <w:rPr>
                <w:rFonts w:ascii="仿宋" w:hAnsi="仿宋" w:eastAsia="仿宋"/>
                <w:kern w:val="0"/>
                <w:sz w:val="21"/>
                <w:szCs w:val="21"/>
              </w:rPr>
            </w:pPr>
            <w:r>
              <w:rPr>
                <w:rFonts w:hint="eastAsia" w:ascii="仿宋_GB2312" w:hAnsi="仿宋_GB2312" w:cs="仿宋_GB2312"/>
                <w:color w:val="000000"/>
                <w:kern w:val="0"/>
                <w:sz w:val="21"/>
                <w:szCs w:val="21"/>
                <w:lang w:bidi="ar"/>
              </w:rPr>
              <w:t>有效</w:t>
            </w:r>
          </w:p>
        </w:tc>
        <w:tc>
          <w:tcPr>
            <w:tcW w:w="937" w:type="pct"/>
            <w:noWrap w:val="0"/>
            <w:vAlign w:val="center"/>
          </w:tcPr>
          <w:p>
            <w:pPr>
              <w:widowControl/>
              <w:adjustRightInd w:val="0"/>
              <w:snapToGrid w:val="0"/>
              <w:jc w:val="center"/>
              <w:textAlignment w:val="center"/>
              <w:rPr>
                <w:rFonts w:ascii="仿宋" w:hAnsi="仿宋" w:eastAsia="仿宋"/>
                <w:kern w:val="0"/>
                <w:sz w:val="21"/>
                <w:szCs w:val="21"/>
                <w:lang w:val="en-US" w:eastAsia="zh-CN" w:bidi="ar-SA"/>
              </w:rPr>
            </w:pPr>
            <w:r>
              <w:rPr>
                <w:rFonts w:hint="eastAsia" w:ascii="仿宋_GB2312" w:hAnsi="仿宋_GB2312" w:cs="仿宋_GB2312"/>
                <w:color w:val="000000"/>
                <w:kern w:val="0"/>
                <w:sz w:val="21"/>
                <w:szCs w:val="21"/>
                <w:lang w:bidi="ar"/>
              </w:rPr>
              <w:t>有效</w:t>
            </w:r>
          </w:p>
        </w:tc>
        <w:tc>
          <w:tcPr>
            <w:tcW w:w="942" w:type="pct"/>
            <w:noWrap w:val="0"/>
            <w:vAlign w:val="center"/>
          </w:tcPr>
          <w:p>
            <w:pPr>
              <w:widowControl/>
              <w:jc w:val="center"/>
              <w:textAlignment w:val="center"/>
              <w:rPr>
                <w:rFonts w:ascii="仿宋" w:hAnsi="仿宋" w:eastAsia="仿宋"/>
                <w:kern w:val="0"/>
                <w:sz w:val="21"/>
                <w:szCs w:val="21"/>
              </w:rPr>
            </w:pPr>
            <w:r>
              <w:rPr>
                <w:rFonts w:hint="eastAsia" w:ascii="仿宋_GB2312" w:hAnsi="仿宋_GB2312" w:cs="仿宋_GB2312"/>
                <w:color w:val="000000"/>
                <w:kern w:val="0"/>
                <w:sz w:val="21"/>
                <w:szCs w:val="21"/>
                <w:lang w:bidi="ar"/>
              </w:rPr>
              <w:t>100%</w:t>
            </w:r>
          </w:p>
        </w:tc>
        <w:tc>
          <w:tcPr>
            <w:tcW w:w="581" w:type="pct"/>
            <w:noWrap w:val="0"/>
            <w:vAlign w:val="center"/>
          </w:tcPr>
          <w:p>
            <w:pPr>
              <w:widowControl/>
              <w:adjustRightInd w:val="0"/>
              <w:snapToGrid w:val="0"/>
              <w:jc w:val="center"/>
              <w:textAlignment w:val="center"/>
              <w:rPr>
                <w:rFonts w:ascii="仿宋" w:hAnsi="仿宋" w:eastAsia="仿宋"/>
                <w:kern w:val="0"/>
                <w:sz w:val="21"/>
                <w:szCs w:val="21"/>
                <w:lang w:val="en-US" w:eastAsia="zh-CN" w:bidi="ar-SA"/>
              </w:rPr>
            </w:pPr>
            <w:r>
              <w:rPr>
                <w:rFonts w:hint="eastAsia" w:ascii="仿宋_GB2312" w:hAnsi="仿宋_GB2312" w:cs="仿宋_GB2312"/>
                <w:color w:val="000000"/>
                <w:kern w:val="0"/>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194" w:type="pct"/>
            <w:noWrap w:val="0"/>
            <w:vAlign w:val="center"/>
          </w:tcPr>
          <w:p>
            <w:pPr>
              <w:widowControl/>
              <w:jc w:val="center"/>
              <w:rPr>
                <w:rFonts w:hint="eastAsia" w:ascii="仿宋" w:hAnsi="仿宋" w:cs="宋体"/>
                <w:b/>
                <w:kern w:val="0"/>
                <w:sz w:val="21"/>
                <w:szCs w:val="21"/>
              </w:rPr>
            </w:pPr>
            <w:r>
              <w:rPr>
                <w:rFonts w:ascii="仿宋" w:hAnsi="仿宋" w:cs="宋体"/>
                <w:b/>
                <w:kern w:val="0"/>
                <w:sz w:val="21"/>
                <w:szCs w:val="21"/>
              </w:rPr>
              <w:t>合计</w:t>
            </w:r>
          </w:p>
        </w:tc>
        <w:tc>
          <w:tcPr>
            <w:tcW w:w="595" w:type="pct"/>
            <w:noWrap w:val="0"/>
            <w:vAlign w:val="center"/>
          </w:tcPr>
          <w:p>
            <w:pPr>
              <w:widowControl/>
              <w:jc w:val="center"/>
              <w:rPr>
                <w:rFonts w:ascii="仿宋" w:hAnsi="仿宋" w:cs="宋体"/>
                <w:b/>
                <w:kern w:val="0"/>
                <w:sz w:val="21"/>
                <w:szCs w:val="21"/>
              </w:rPr>
            </w:pPr>
            <w:r>
              <w:rPr>
                <w:rFonts w:hint="eastAsia" w:ascii="仿宋" w:hAnsi="仿宋" w:cs="宋体"/>
                <w:b/>
                <w:kern w:val="0"/>
                <w:sz w:val="21"/>
                <w:szCs w:val="21"/>
              </w:rPr>
              <w:t>25</w:t>
            </w:r>
          </w:p>
        </w:tc>
        <w:tc>
          <w:tcPr>
            <w:tcW w:w="748" w:type="pct"/>
            <w:noWrap w:val="0"/>
            <w:vAlign w:val="center"/>
          </w:tcPr>
          <w:p>
            <w:pPr>
              <w:widowControl/>
              <w:jc w:val="center"/>
              <w:rPr>
                <w:rFonts w:hint="eastAsia" w:ascii="仿宋" w:hAnsi="仿宋" w:cs="宋体"/>
                <w:b/>
                <w:kern w:val="0"/>
                <w:sz w:val="21"/>
                <w:szCs w:val="21"/>
              </w:rPr>
            </w:pPr>
          </w:p>
        </w:tc>
        <w:tc>
          <w:tcPr>
            <w:tcW w:w="937" w:type="pct"/>
            <w:noWrap w:val="0"/>
            <w:vAlign w:val="center"/>
          </w:tcPr>
          <w:p>
            <w:pPr>
              <w:widowControl/>
              <w:jc w:val="center"/>
              <w:rPr>
                <w:rFonts w:hint="eastAsia" w:ascii="仿宋" w:hAnsi="仿宋" w:cs="宋体"/>
                <w:b/>
                <w:kern w:val="0"/>
                <w:sz w:val="21"/>
                <w:szCs w:val="21"/>
              </w:rPr>
            </w:pPr>
          </w:p>
        </w:tc>
        <w:tc>
          <w:tcPr>
            <w:tcW w:w="942" w:type="pct"/>
            <w:noWrap w:val="0"/>
            <w:vAlign w:val="center"/>
          </w:tcPr>
          <w:p>
            <w:pPr>
              <w:widowControl/>
              <w:jc w:val="center"/>
              <w:rPr>
                <w:rFonts w:ascii="仿宋" w:hAnsi="仿宋" w:cs="宋体"/>
                <w:b/>
                <w:kern w:val="0"/>
                <w:sz w:val="21"/>
                <w:szCs w:val="21"/>
              </w:rPr>
            </w:pPr>
          </w:p>
        </w:tc>
        <w:tc>
          <w:tcPr>
            <w:tcW w:w="581" w:type="pct"/>
            <w:noWrap w:val="0"/>
            <w:vAlign w:val="center"/>
          </w:tcPr>
          <w:p>
            <w:pPr>
              <w:widowControl/>
              <w:jc w:val="center"/>
              <w:rPr>
                <w:rFonts w:ascii="仿宋" w:hAnsi="仿宋" w:cs="宋体"/>
                <w:b/>
                <w:kern w:val="0"/>
                <w:sz w:val="21"/>
                <w:szCs w:val="21"/>
              </w:rPr>
            </w:pPr>
            <w:r>
              <w:rPr>
                <w:rFonts w:hint="eastAsia" w:ascii="仿宋" w:hAnsi="仿宋" w:cs="宋体"/>
                <w:b/>
                <w:kern w:val="0"/>
                <w:sz w:val="21"/>
                <w:szCs w:val="21"/>
              </w:rPr>
              <w:t>25</w:t>
            </w:r>
          </w:p>
        </w:tc>
      </w:tr>
    </w:tbl>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lang w:eastAsia="zh-CN"/>
        </w:rPr>
        <w:t>项目实际</w:t>
      </w:r>
      <w:r>
        <w:rPr>
          <w:rFonts w:hint="eastAsia" w:ascii="仿宋_GB2312" w:hAnsi="仿宋_GB2312" w:eastAsia="仿宋_GB2312" w:cs="仿宋_GB2312"/>
          <w:b/>
          <w:sz w:val="32"/>
          <w:szCs w:val="32"/>
        </w:rPr>
        <w:t>完成率：</w:t>
      </w:r>
      <w:r>
        <w:rPr>
          <w:rFonts w:hint="eastAsia" w:ascii="仿宋_GB2312" w:hAnsi="仿宋_GB2312" w:eastAsia="仿宋_GB2312" w:cs="仿宋_GB2312"/>
          <w:bCs/>
          <w:sz w:val="32"/>
          <w:szCs w:val="32"/>
        </w:rPr>
        <w:t>权重分为10分，实际得分为</w:t>
      </w:r>
      <w:r>
        <w:rPr>
          <w:rFonts w:hint="eastAsia" w:ascii="仿宋_GB2312" w:hAnsi="仿宋_GB2312" w:eastAsia="仿宋_GB2312" w:cs="仿宋_GB2312"/>
          <w:bCs/>
          <w:sz w:val="32"/>
          <w:szCs w:val="32"/>
          <w:lang w:val="en-US" w:eastAsia="zh-CN"/>
        </w:rPr>
        <w:t>10</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该项目现已投入使用，</w:t>
      </w:r>
      <w:r>
        <w:rPr>
          <w:rFonts w:hint="eastAsia" w:ascii="仿宋_GB2312" w:hAnsi="仿宋_GB2312" w:eastAsia="仿宋_GB2312" w:cs="仿宋_GB2312"/>
          <w:bCs/>
          <w:sz w:val="32"/>
          <w:szCs w:val="32"/>
        </w:rPr>
        <w:t>实际完成率100%</w:t>
      </w:r>
      <w:r>
        <w:rPr>
          <w:rFonts w:hint="eastAsia" w:ascii="仿宋_GB2312" w:hAnsi="仿宋_GB2312" w:eastAsia="仿宋_GB2312" w:cs="仿宋_GB2312"/>
          <w:bCs/>
          <w:sz w:val="32"/>
          <w:szCs w:val="32"/>
          <w:lang w:eastAsia="zh-Hans"/>
        </w:rPr>
        <w:t>。</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
          <w:sz w:val="32"/>
          <w:szCs w:val="32"/>
        </w:rPr>
        <w:t>项目验收合格率：</w:t>
      </w:r>
      <w:r>
        <w:rPr>
          <w:rFonts w:hint="eastAsia" w:ascii="仿宋_GB2312" w:hAnsi="仿宋_GB2312" w:eastAsia="仿宋_GB2312" w:cs="仿宋_GB2312"/>
          <w:bCs/>
          <w:sz w:val="32"/>
          <w:szCs w:val="32"/>
        </w:rPr>
        <w:t>权重分为5分，实际得分为</w:t>
      </w: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该项目于</w:t>
      </w:r>
      <w:r>
        <w:rPr>
          <w:rFonts w:hint="eastAsia" w:ascii="仿宋_GB2312" w:hAnsi="仿宋_GB2312" w:eastAsia="仿宋_GB2312" w:cs="仿宋_GB2312"/>
          <w:bCs/>
          <w:sz w:val="32"/>
          <w:szCs w:val="32"/>
          <w:lang w:val="en-US" w:eastAsia="zh-CN"/>
        </w:rPr>
        <w:t>2021年4月19日竣工验收，并报区城建局备案。</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lang w:eastAsia="zh-Hans"/>
        </w:rPr>
        <w:t>项目完成</w:t>
      </w:r>
      <w:r>
        <w:rPr>
          <w:rFonts w:hint="eastAsia" w:ascii="仿宋_GB2312" w:hAnsi="仿宋_GB2312" w:eastAsia="仿宋_GB2312" w:cs="仿宋_GB2312"/>
          <w:b/>
          <w:sz w:val="32"/>
          <w:szCs w:val="32"/>
        </w:rPr>
        <w:t>及时率：</w:t>
      </w:r>
      <w:r>
        <w:rPr>
          <w:rFonts w:hint="eastAsia" w:ascii="仿宋_GB2312" w:hAnsi="仿宋_GB2312" w:eastAsia="仿宋_GB2312" w:cs="仿宋_GB2312"/>
          <w:bCs/>
          <w:sz w:val="32"/>
          <w:szCs w:val="32"/>
        </w:rPr>
        <w:t>权重分为5分，实际得分为</w:t>
      </w: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w:t>
      </w:r>
      <w:r>
        <w:rPr>
          <w:rFonts w:hint="eastAsia" w:ascii="仿宋_GB2312" w:hAnsi="仿宋_GB2312" w:eastAsia="仿宋_GB2312" w:cs="仿宋_GB2312"/>
          <w:bCs/>
          <w:sz w:val="32"/>
          <w:szCs w:val="32"/>
          <w:lang w:eastAsia="zh-Hans"/>
        </w:rPr>
        <w:t>自</w:t>
      </w:r>
      <w:r>
        <w:rPr>
          <w:rFonts w:hint="eastAsia" w:ascii="仿宋_GB2312" w:hAnsi="仿宋_GB2312" w:eastAsia="仿宋_GB2312" w:cs="仿宋_GB2312"/>
          <w:bCs/>
          <w:sz w:val="32"/>
          <w:szCs w:val="32"/>
          <w:lang w:val="en-US" w:eastAsia="zh-CN"/>
        </w:rPr>
        <w:t>2020年6月22日开工，2021年4月19日竣工验收，已</w:t>
      </w:r>
      <w:r>
        <w:rPr>
          <w:rFonts w:hint="eastAsia" w:ascii="仿宋_GB2312" w:hAnsi="仿宋_GB2312" w:eastAsia="仿宋_GB2312" w:cs="仿宋_GB2312"/>
          <w:bCs/>
          <w:sz w:val="32"/>
          <w:szCs w:val="32"/>
          <w:lang w:eastAsia="zh-Hans"/>
        </w:rPr>
        <w:t>完成全部施工内容</w:t>
      </w:r>
      <w:r>
        <w:rPr>
          <w:rFonts w:hint="eastAsia" w:ascii="仿宋_GB2312" w:hAnsi="仿宋_GB2312" w:eastAsia="仿宋_GB2312" w:cs="仿宋_GB2312"/>
          <w:bCs/>
          <w:sz w:val="32"/>
          <w:szCs w:val="32"/>
        </w:rPr>
        <w:t>。</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项目成本控制率：</w:t>
      </w:r>
      <w:r>
        <w:rPr>
          <w:rFonts w:hint="eastAsia" w:ascii="仿宋_GB2312" w:hAnsi="仿宋_GB2312" w:eastAsia="仿宋_GB2312" w:cs="仿宋_GB2312"/>
          <w:bCs/>
          <w:sz w:val="32"/>
          <w:szCs w:val="32"/>
        </w:rPr>
        <w:t>权重分为5分，实际得分为</w:t>
      </w: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该项目概算总投资为</w:t>
      </w:r>
      <w:r>
        <w:rPr>
          <w:rFonts w:hint="eastAsia" w:ascii="仿宋_GB2312" w:hAnsi="仿宋_GB2312" w:eastAsia="仿宋_GB2312" w:cs="仿宋_GB2312"/>
          <w:bCs/>
          <w:sz w:val="32"/>
          <w:szCs w:val="32"/>
          <w:lang w:val="en-US" w:eastAsia="zh-CN"/>
        </w:rPr>
        <w:t>7598万元，实际总投资为7334.84万元，</w:t>
      </w:r>
      <w:r>
        <w:rPr>
          <w:rFonts w:hint="eastAsia" w:ascii="仿宋_GB2312" w:hAnsi="仿宋_GB2312" w:eastAsia="仿宋_GB2312" w:cs="仿宋_GB2312"/>
          <w:bCs/>
          <w:sz w:val="32"/>
          <w:szCs w:val="32"/>
        </w:rPr>
        <w:t>项目成本控制有效。</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19" w:name="_Toc37419454"/>
      <w:r>
        <w:rPr>
          <w:rFonts w:hint="eastAsia" w:ascii="仿宋_GB2312" w:hAnsi="仿宋_GB2312" w:eastAsia="仿宋_GB2312" w:cs="仿宋_GB2312"/>
          <w:b/>
          <w:sz w:val="32"/>
          <w:szCs w:val="32"/>
        </w:rPr>
        <w:t>4.项目效益情况</w:t>
      </w:r>
      <w:bookmarkEnd w:id="19"/>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效益指标主要从经济效益、社会效益、可持续影响、社会公众或服务对象满意度等方面进行考察，效益类指标权重35分，实际得分</w:t>
      </w:r>
      <w:r>
        <w:rPr>
          <w:rFonts w:hint="eastAsia" w:ascii="仿宋_GB2312" w:hAnsi="仿宋_GB2312" w:eastAsia="仿宋_GB2312" w:cs="仿宋_GB2312"/>
          <w:bCs/>
          <w:sz w:val="32"/>
          <w:szCs w:val="32"/>
          <w:lang w:val="en-US" w:eastAsia="zh-CN"/>
        </w:rPr>
        <w:t>30.2</w:t>
      </w:r>
      <w:r>
        <w:rPr>
          <w:rFonts w:hint="eastAsia" w:ascii="仿宋_GB2312" w:hAnsi="仿宋_GB2312" w:eastAsia="仿宋_GB2312" w:cs="仿宋_GB2312"/>
          <w:bCs/>
          <w:sz w:val="32"/>
          <w:szCs w:val="32"/>
        </w:rPr>
        <w:t>分，得分率为</w:t>
      </w:r>
      <w:r>
        <w:rPr>
          <w:rFonts w:hint="eastAsia" w:ascii="仿宋_GB2312" w:hAnsi="仿宋_GB2312" w:eastAsia="仿宋_GB2312" w:cs="仿宋_GB2312"/>
          <w:bCs/>
          <w:sz w:val="32"/>
          <w:szCs w:val="32"/>
          <w:lang w:val="en-US" w:eastAsia="zh-CN"/>
        </w:rPr>
        <w:t>86.29%</w:t>
      </w:r>
      <w:r>
        <w:rPr>
          <w:rFonts w:hint="eastAsia" w:ascii="仿宋_GB2312" w:hAnsi="仿宋_GB2312" w:eastAsia="仿宋_GB2312" w:cs="仿宋_GB2312"/>
          <w:bCs/>
          <w:sz w:val="32"/>
          <w:szCs w:val="32"/>
        </w:rPr>
        <w:t>。效果指标的得分情况如表3-4所示。</w:t>
      </w:r>
    </w:p>
    <w:p>
      <w:pPr>
        <w:widowControl/>
        <w:jc w:val="center"/>
        <w:rPr>
          <w:rFonts w:ascii="仿宋" w:hAnsi="仿宋" w:cs="宋体"/>
          <w:b/>
          <w:bCs/>
          <w:kern w:val="0"/>
          <w:sz w:val="24"/>
        </w:rPr>
      </w:pPr>
      <w:r>
        <w:rPr>
          <w:rFonts w:hint="eastAsia" w:ascii="仿宋" w:hAnsi="仿宋" w:cs="宋体"/>
          <w:b/>
          <w:bCs/>
          <w:kern w:val="0"/>
          <w:sz w:val="24"/>
        </w:rPr>
        <w:t xml:space="preserve">表3-4  </w:t>
      </w:r>
      <w:bookmarkStart w:id="20" w:name="_Hlk522912257"/>
      <w:r>
        <w:rPr>
          <w:rFonts w:hint="eastAsia" w:ascii="仿宋" w:hAnsi="仿宋" w:cs="宋体"/>
          <w:b/>
          <w:bCs/>
          <w:kern w:val="0"/>
          <w:sz w:val="24"/>
        </w:rPr>
        <w:t>效果指标得分情况</w:t>
      </w:r>
    </w:p>
    <w:bookmarkEnd w:id="20"/>
    <w:tbl>
      <w:tblPr>
        <w:tblStyle w:val="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3"/>
        <w:gridCol w:w="762"/>
        <w:gridCol w:w="1503"/>
        <w:gridCol w:w="1345"/>
        <w:gridCol w:w="1149"/>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627" w:type="pct"/>
            <w:shd w:val="clear" w:color="000000" w:fill="A6A6A6"/>
            <w:noWrap w:val="0"/>
            <w:vAlign w:val="center"/>
          </w:tcPr>
          <w:p>
            <w:pPr>
              <w:widowControl/>
              <w:jc w:val="center"/>
              <w:rPr>
                <w:rFonts w:ascii="仿宋" w:hAnsi="仿宋" w:cs="宋体"/>
                <w:b/>
                <w:bCs/>
                <w:kern w:val="0"/>
                <w:sz w:val="21"/>
                <w:szCs w:val="21"/>
              </w:rPr>
            </w:pPr>
            <w:r>
              <w:rPr>
                <w:rFonts w:hint="eastAsia" w:ascii="仿宋" w:hAnsi="仿宋" w:cs="宋体"/>
                <w:b/>
                <w:bCs/>
                <w:kern w:val="0"/>
                <w:sz w:val="21"/>
                <w:szCs w:val="21"/>
              </w:rPr>
              <w:t>四</w:t>
            </w:r>
            <w:r>
              <w:rPr>
                <w:rFonts w:ascii="仿宋" w:hAnsi="仿宋" w:cs="宋体"/>
                <w:b/>
                <w:bCs/>
                <w:kern w:val="0"/>
                <w:sz w:val="21"/>
                <w:szCs w:val="21"/>
              </w:rPr>
              <w:t>级指标</w:t>
            </w:r>
          </w:p>
        </w:tc>
        <w:tc>
          <w:tcPr>
            <w:tcW w:w="447"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权重</w:t>
            </w:r>
          </w:p>
        </w:tc>
        <w:tc>
          <w:tcPr>
            <w:tcW w:w="882"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目标值</w:t>
            </w:r>
          </w:p>
        </w:tc>
        <w:tc>
          <w:tcPr>
            <w:tcW w:w="789"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业绩值</w:t>
            </w:r>
          </w:p>
        </w:tc>
        <w:tc>
          <w:tcPr>
            <w:tcW w:w="674"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得分率</w:t>
            </w:r>
          </w:p>
        </w:tc>
        <w:tc>
          <w:tcPr>
            <w:tcW w:w="578" w:type="pct"/>
            <w:shd w:val="clear" w:color="000000" w:fill="A6A6A6"/>
            <w:noWrap w:val="0"/>
            <w:vAlign w:val="center"/>
          </w:tcPr>
          <w:p>
            <w:pPr>
              <w:widowControl/>
              <w:jc w:val="center"/>
              <w:rPr>
                <w:rFonts w:ascii="仿宋" w:hAnsi="仿宋" w:cs="宋体"/>
                <w:b/>
                <w:bCs/>
                <w:kern w:val="0"/>
                <w:sz w:val="21"/>
                <w:szCs w:val="21"/>
              </w:rPr>
            </w:pPr>
            <w:r>
              <w:rPr>
                <w:rFonts w:ascii="仿宋" w:hAnsi="仿宋" w:cs="宋体"/>
                <w:b/>
                <w:bCs/>
                <w:kern w:val="0"/>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62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市民投诉率</w:t>
            </w:r>
          </w:p>
        </w:tc>
        <w:tc>
          <w:tcPr>
            <w:tcW w:w="4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w:t>
            </w:r>
          </w:p>
        </w:tc>
        <w:tc>
          <w:tcPr>
            <w:tcW w:w="882"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同比下降</w:t>
            </w:r>
          </w:p>
        </w:tc>
        <w:tc>
          <w:tcPr>
            <w:tcW w:w="789"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bidi="ar"/>
              </w:rPr>
              <w:t>0</w:t>
            </w:r>
          </w:p>
        </w:tc>
        <w:tc>
          <w:tcPr>
            <w:tcW w:w="674"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100%</w:t>
            </w:r>
          </w:p>
        </w:tc>
        <w:tc>
          <w:tcPr>
            <w:tcW w:w="578"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62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工程事故发生数</w:t>
            </w:r>
          </w:p>
        </w:tc>
        <w:tc>
          <w:tcPr>
            <w:tcW w:w="4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6</w:t>
            </w:r>
          </w:p>
        </w:tc>
        <w:tc>
          <w:tcPr>
            <w:tcW w:w="882"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0</w:t>
            </w:r>
          </w:p>
        </w:tc>
        <w:tc>
          <w:tcPr>
            <w:tcW w:w="789"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bidi="ar"/>
              </w:rPr>
              <w:t>显著</w:t>
            </w:r>
          </w:p>
        </w:tc>
        <w:tc>
          <w:tcPr>
            <w:tcW w:w="674"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100%</w:t>
            </w:r>
          </w:p>
        </w:tc>
        <w:tc>
          <w:tcPr>
            <w:tcW w:w="578" w:type="pct"/>
            <w:noWrap w:val="0"/>
            <w:vAlign w:val="center"/>
          </w:tcPr>
          <w:p>
            <w:pPr>
              <w:widowControl/>
              <w:adjustRightInd w:val="0"/>
              <w:snapToGrid w:val="0"/>
              <w:jc w:val="center"/>
              <w:textAlignment w:val="center"/>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627" w:type="pct"/>
            <w:noWrap w:val="0"/>
            <w:vAlign w:val="center"/>
          </w:tcPr>
          <w:p>
            <w:pPr>
              <w:widowControl/>
              <w:adjustRightInd w:val="0"/>
              <w:snapToGrid w:val="0"/>
              <w:jc w:val="center"/>
              <w:textAlignment w:val="center"/>
              <w:rPr>
                <w:rFonts w:hint="eastAsia" w:ascii="仿宋" w:hAnsi="仿宋" w:cs="宋体"/>
                <w:kern w:val="0"/>
                <w:sz w:val="21"/>
                <w:szCs w:val="21"/>
              </w:rPr>
            </w:pPr>
            <w:r>
              <w:rPr>
                <w:rFonts w:hint="eastAsia" w:ascii="仿宋_GB2312" w:hAnsi="仿宋_GB2312" w:cs="仿宋_GB2312"/>
                <w:color w:val="000000"/>
                <w:kern w:val="0"/>
                <w:sz w:val="21"/>
                <w:szCs w:val="21"/>
                <w:lang w:bidi="ar"/>
              </w:rPr>
              <w:t>道路安全隐患解决程度</w:t>
            </w:r>
          </w:p>
        </w:tc>
        <w:tc>
          <w:tcPr>
            <w:tcW w:w="447" w:type="pct"/>
            <w:noWrap w:val="0"/>
            <w:vAlign w:val="center"/>
          </w:tcPr>
          <w:p>
            <w:pPr>
              <w:widowControl/>
              <w:adjustRightInd w:val="0"/>
              <w:snapToGrid w:val="0"/>
              <w:jc w:val="center"/>
              <w:textAlignment w:val="center"/>
              <w:rPr>
                <w:rFonts w:hint="eastAsia" w:ascii="仿宋" w:hAnsi="仿宋" w:cs="宋体"/>
                <w:kern w:val="0"/>
                <w:sz w:val="21"/>
                <w:szCs w:val="21"/>
              </w:rPr>
            </w:pPr>
            <w:r>
              <w:rPr>
                <w:rFonts w:hint="eastAsia" w:ascii="仿宋_GB2312" w:hAnsi="仿宋_GB2312" w:cs="仿宋_GB2312"/>
                <w:color w:val="000000"/>
                <w:kern w:val="0"/>
                <w:sz w:val="21"/>
                <w:szCs w:val="21"/>
                <w:lang w:bidi="ar"/>
              </w:rPr>
              <w:t>6</w:t>
            </w:r>
          </w:p>
        </w:tc>
        <w:tc>
          <w:tcPr>
            <w:tcW w:w="882" w:type="pct"/>
            <w:noWrap w:val="0"/>
            <w:vAlign w:val="center"/>
          </w:tcPr>
          <w:p>
            <w:pPr>
              <w:widowControl/>
              <w:adjustRightInd w:val="0"/>
              <w:snapToGrid w:val="0"/>
              <w:jc w:val="center"/>
              <w:textAlignment w:val="center"/>
              <w:rPr>
                <w:rFonts w:ascii="仿宋" w:hAnsi="仿宋" w:cs="宋体"/>
                <w:kern w:val="0"/>
                <w:sz w:val="21"/>
                <w:szCs w:val="21"/>
              </w:rPr>
            </w:pPr>
            <w:r>
              <w:rPr>
                <w:rFonts w:hint="eastAsia" w:ascii="仿宋_GB2312" w:hAnsi="仿宋_GB2312" w:cs="仿宋_GB2312"/>
                <w:color w:val="000000"/>
                <w:kern w:val="0"/>
                <w:sz w:val="21"/>
                <w:szCs w:val="21"/>
                <w:lang w:bidi="ar"/>
              </w:rPr>
              <w:t>显著</w:t>
            </w:r>
          </w:p>
        </w:tc>
        <w:tc>
          <w:tcPr>
            <w:tcW w:w="789"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bidi="ar"/>
              </w:rPr>
              <w:t>同比下降</w:t>
            </w:r>
          </w:p>
        </w:tc>
        <w:tc>
          <w:tcPr>
            <w:tcW w:w="674"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100%</w:t>
            </w:r>
          </w:p>
        </w:tc>
        <w:tc>
          <w:tcPr>
            <w:tcW w:w="578"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627" w:type="pct"/>
            <w:noWrap w:val="0"/>
            <w:vAlign w:val="center"/>
          </w:tcPr>
          <w:p>
            <w:pPr>
              <w:widowControl/>
              <w:adjustRightInd w:val="0"/>
              <w:snapToGrid w:val="0"/>
              <w:jc w:val="center"/>
              <w:textAlignment w:val="center"/>
              <w:rPr>
                <w:rFonts w:hint="eastAsia" w:ascii="仿宋" w:hAnsi="仿宋" w:cs="宋体"/>
                <w:kern w:val="0"/>
                <w:sz w:val="21"/>
                <w:szCs w:val="21"/>
              </w:rPr>
            </w:pPr>
            <w:r>
              <w:rPr>
                <w:rFonts w:hint="eastAsia" w:ascii="仿宋_GB2312" w:hAnsi="仿宋_GB2312" w:cs="仿宋_GB2312"/>
                <w:color w:val="000000"/>
                <w:kern w:val="0"/>
                <w:sz w:val="21"/>
                <w:szCs w:val="21"/>
                <w:lang w:bidi="ar"/>
              </w:rPr>
              <w:t>道路平整畅通提升程度</w:t>
            </w:r>
          </w:p>
        </w:tc>
        <w:tc>
          <w:tcPr>
            <w:tcW w:w="447" w:type="pct"/>
            <w:noWrap w:val="0"/>
            <w:vAlign w:val="center"/>
          </w:tcPr>
          <w:p>
            <w:pPr>
              <w:widowControl/>
              <w:adjustRightInd w:val="0"/>
              <w:snapToGrid w:val="0"/>
              <w:jc w:val="center"/>
              <w:textAlignment w:val="center"/>
              <w:rPr>
                <w:rFonts w:hint="eastAsia" w:ascii="仿宋" w:hAnsi="仿宋" w:cs="宋体"/>
                <w:kern w:val="0"/>
                <w:sz w:val="21"/>
                <w:szCs w:val="21"/>
              </w:rPr>
            </w:pPr>
            <w:r>
              <w:rPr>
                <w:rFonts w:hint="eastAsia" w:ascii="仿宋_GB2312" w:hAnsi="仿宋_GB2312" w:cs="仿宋_GB2312"/>
                <w:color w:val="000000"/>
                <w:kern w:val="0"/>
                <w:sz w:val="21"/>
                <w:szCs w:val="21"/>
                <w:lang w:bidi="ar"/>
              </w:rPr>
              <w:t>6</w:t>
            </w:r>
          </w:p>
        </w:tc>
        <w:tc>
          <w:tcPr>
            <w:tcW w:w="882" w:type="pct"/>
            <w:noWrap w:val="0"/>
            <w:vAlign w:val="center"/>
          </w:tcPr>
          <w:p>
            <w:pPr>
              <w:widowControl/>
              <w:adjustRightInd w:val="0"/>
              <w:snapToGrid w:val="0"/>
              <w:jc w:val="center"/>
              <w:textAlignment w:val="center"/>
              <w:rPr>
                <w:rFonts w:ascii="仿宋" w:hAnsi="仿宋" w:cs="宋体"/>
                <w:kern w:val="0"/>
                <w:sz w:val="21"/>
                <w:szCs w:val="21"/>
              </w:rPr>
            </w:pPr>
            <w:r>
              <w:rPr>
                <w:rFonts w:hint="eastAsia" w:ascii="仿宋_GB2312" w:hAnsi="仿宋_GB2312" w:cs="仿宋_GB2312"/>
                <w:color w:val="000000"/>
                <w:kern w:val="0"/>
                <w:sz w:val="21"/>
                <w:szCs w:val="21"/>
                <w:lang w:bidi="ar"/>
              </w:rPr>
              <w:t>显著</w:t>
            </w:r>
          </w:p>
        </w:tc>
        <w:tc>
          <w:tcPr>
            <w:tcW w:w="789"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eastAsia="zh-CN" w:bidi="ar"/>
              </w:rPr>
              <w:t>一般</w:t>
            </w:r>
          </w:p>
        </w:tc>
        <w:tc>
          <w:tcPr>
            <w:tcW w:w="674"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60%</w:t>
            </w:r>
          </w:p>
        </w:tc>
        <w:tc>
          <w:tcPr>
            <w:tcW w:w="578" w:type="pct"/>
            <w:noWrap w:val="0"/>
            <w:vAlign w:val="center"/>
          </w:tcPr>
          <w:p>
            <w:pPr>
              <w:widowControl/>
              <w:adjustRightInd w:val="0"/>
              <w:snapToGrid w:val="0"/>
              <w:jc w:val="center"/>
              <w:textAlignment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627" w:type="pct"/>
            <w:noWrap w:val="0"/>
            <w:vAlign w:val="center"/>
          </w:tcPr>
          <w:p>
            <w:pPr>
              <w:widowControl/>
              <w:adjustRightInd w:val="0"/>
              <w:snapToGrid w:val="0"/>
              <w:jc w:val="center"/>
              <w:textAlignment w:val="center"/>
              <w:rPr>
                <w:rFonts w:hint="eastAsia" w:ascii="仿宋" w:hAnsi="仿宋" w:cs="宋体"/>
                <w:kern w:val="0"/>
                <w:sz w:val="21"/>
                <w:szCs w:val="21"/>
              </w:rPr>
            </w:pPr>
            <w:r>
              <w:rPr>
                <w:rFonts w:hint="eastAsia" w:ascii="仿宋_GB2312" w:hAnsi="仿宋_GB2312" w:cs="仿宋_GB2312"/>
                <w:color w:val="000000"/>
                <w:kern w:val="0"/>
                <w:sz w:val="21"/>
                <w:szCs w:val="21"/>
                <w:lang w:bidi="ar"/>
              </w:rPr>
              <w:t>后续维护机制健全程度</w:t>
            </w:r>
          </w:p>
        </w:tc>
        <w:tc>
          <w:tcPr>
            <w:tcW w:w="447" w:type="pct"/>
            <w:noWrap w:val="0"/>
            <w:vAlign w:val="center"/>
          </w:tcPr>
          <w:p>
            <w:pPr>
              <w:widowControl/>
              <w:adjustRightInd w:val="0"/>
              <w:snapToGrid w:val="0"/>
              <w:jc w:val="center"/>
              <w:textAlignment w:val="center"/>
              <w:rPr>
                <w:rFonts w:ascii="仿宋" w:hAnsi="仿宋" w:cs="宋体"/>
                <w:kern w:val="0"/>
                <w:sz w:val="21"/>
                <w:szCs w:val="21"/>
              </w:rPr>
            </w:pPr>
            <w:r>
              <w:rPr>
                <w:rFonts w:hint="eastAsia" w:ascii="仿宋_GB2312" w:hAnsi="仿宋_GB2312" w:cs="仿宋_GB2312"/>
                <w:color w:val="000000"/>
                <w:kern w:val="0"/>
                <w:sz w:val="21"/>
                <w:szCs w:val="21"/>
                <w:lang w:bidi="ar"/>
              </w:rPr>
              <w:t>5</w:t>
            </w:r>
          </w:p>
        </w:tc>
        <w:tc>
          <w:tcPr>
            <w:tcW w:w="882" w:type="pct"/>
            <w:noWrap w:val="0"/>
            <w:vAlign w:val="center"/>
          </w:tcPr>
          <w:p>
            <w:pPr>
              <w:widowControl/>
              <w:adjustRightInd w:val="0"/>
              <w:snapToGrid w:val="0"/>
              <w:jc w:val="center"/>
              <w:textAlignment w:val="center"/>
              <w:rPr>
                <w:rFonts w:ascii="仿宋" w:hAnsi="仿宋" w:cs="宋体"/>
                <w:kern w:val="0"/>
                <w:sz w:val="21"/>
                <w:szCs w:val="21"/>
              </w:rPr>
            </w:pPr>
            <w:r>
              <w:rPr>
                <w:rFonts w:hint="eastAsia" w:ascii="仿宋_GB2312" w:hAnsi="仿宋_GB2312" w:cs="仿宋_GB2312"/>
                <w:color w:val="000000"/>
                <w:kern w:val="0"/>
                <w:sz w:val="21"/>
                <w:szCs w:val="21"/>
                <w:lang w:bidi="ar"/>
              </w:rPr>
              <w:t>建立健全</w:t>
            </w:r>
          </w:p>
        </w:tc>
        <w:tc>
          <w:tcPr>
            <w:tcW w:w="789"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eastAsia="zh-CN" w:bidi="ar"/>
              </w:rPr>
              <w:t>需完善</w:t>
            </w:r>
          </w:p>
        </w:tc>
        <w:tc>
          <w:tcPr>
            <w:tcW w:w="674" w:type="pct"/>
            <w:noWrap w:val="0"/>
            <w:vAlign w:val="center"/>
          </w:tcPr>
          <w:p>
            <w:pPr>
              <w:widowControl/>
              <w:adjustRightInd w:val="0"/>
              <w:snapToGrid w:val="0"/>
              <w:jc w:val="center"/>
              <w:textAlignment w:val="center"/>
              <w:rPr>
                <w:rFonts w:hint="default"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60%</w:t>
            </w:r>
          </w:p>
        </w:tc>
        <w:tc>
          <w:tcPr>
            <w:tcW w:w="578" w:type="pct"/>
            <w:noWrap w:val="0"/>
            <w:vAlign w:val="center"/>
          </w:tcPr>
          <w:p>
            <w:pPr>
              <w:widowControl/>
              <w:adjustRightInd w:val="0"/>
              <w:snapToGrid w:val="0"/>
              <w:jc w:val="center"/>
              <w:textAlignment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627" w:type="pct"/>
            <w:noWrap w:val="0"/>
            <w:vAlign w:val="center"/>
          </w:tcPr>
          <w:p>
            <w:pPr>
              <w:widowControl/>
              <w:adjustRightInd w:val="0"/>
              <w:snapToGrid w:val="0"/>
              <w:jc w:val="center"/>
              <w:textAlignment w:val="center"/>
              <w:rPr>
                <w:rFonts w:hint="eastAsia" w:ascii="仿宋" w:hAnsi="仿宋" w:cs="宋体"/>
                <w:kern w:val="0"/>
                <w:sz w:val="21"/>
                <w:szCs w:val="21"/>
              </w:rPr>
            </w:pPr>
            <w:r>
              <w:rPr>
                <w:rFonts w:hint="eastAsia" w:ascii="仿宋_GB2312" w:hAnsi="仿宋_GB2312" w:cs="仿宋_GB2312"/>
                <w:color w:val="000000"/>
                <w:kern w:val="0"/>
                <w:sz w:val="21"/>
                <w:szCs w:val="21"/>
                <w:lang w:bidi="ar"/>
              </w:rPr>
              <w:t>居民满意度</w:t>
            </w:r>
          </w:p>
        </w:tc>
        <w:tc>
          <w:tcPr>
            <w:tcW w:w="447" w:type="pct"/>
            <w:noWrap w:val="0"/>
            <w:vAlign w:val="center"/>
          </w:tcPr>
          <w:p>
            <w:pPr>
              <w:widowControl/>
              <w:adjustRightInd w:val="0"/>
              <w:snapToGrid w:val="0"/>
              <w:jc w:val="center"/>
              <w:textAlignment w:val="center"/>
              <w:rPr>
                <w:rFonts w:ascii="仿宋" w:hAnsi="仿宋" w:cs="宋体"/>
                <w:kern w:val="0"/>
                <w:sz w:val="21"/>
                <w:szCs w:val="21"/>
              </w:rPr>
            </w:pPr>
            <w:r>
              <w:rPr>
                <w:rFonts w:hint="eastAsia" w:ascii="仿宋_GB2312" w:hAnsi="仿宋_GB2312" w:cs="仿宋_GB2312"/>
                <w:color w:val="000000"/>
                <w:kern w:val="0"/>
                <w:sz w:val="21"/>
                <w:szCs w:val="21"/>
                <w:lang w:bidi="ar"/>
              </w:rPr>
              <w:t>8</w:t>
            </w:r>
          </w:p>
        </w:tc>
        <w:tc>
          <w:tcPr>
            <w:tcW w:w="882" w:type="pct"/>
            <w:noWrap w:val="0"/>
            <w:vAlign w:val="center"/>
          </w:tcPr>
          <w:p>
            <w:pPr>
              <w:widowControl/>
              <w:jc w:val="center"/>
              <w:textAlignment w:val="center"/>
              <w:rPr>
                <w:rFonts w:hint="eastAsia" w:ascii="仿宋" w:hAnsi="仿宋" w:cs="宋体"/>
                <w:kern w:val="0"/>
                <w:sz w:val="21"/>
                <w:szCs w:val="21"/>
              </w:rPr>
            </w:pPr>
            <w:r>
              <w:rPr>
                <w:rFonts w:hint="eastAsia" w:ascii="仿宋" w:hAnsi="仿宋" w:cs="宋体"/>
                <w:kern w:val="0"/>
                <w:sz w:val="21"/>
                <w:szCs w:val="21"/>
              </w:rPr>
              <w:t>≥90%</w:t>
            </w:r>
          </w:p>
        </w:tc>
        <w:tc>
          <w:tcPr>
            <w:tcW w:w="789" w:type="pct"/>
            <w:noWrap w:val="0"/>
            <w:vAlign w:val="center"/>
          </w:tcPr>
          <w:p>
            <w:pPr>
              <w:widowControl/>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9</w:t>
            </w:r>
            <w:r>
              <w:rPr>
                <w:rFonts w:hint="eastAsia" w:ascii="仿宋" w:hAnsi="仿宋" w:eastAsia="仿宋" w:cs="仿宋"/>
                <w:kern w:val="0"/>
                <w:sz w:val="21"/>
                <w:szCs w:val="21"/>
                <w:lang w:val="en-US" w:eastAsia="zh-CN"/>
              </w:rPr>
              <w:t>3.2</w:t>
            </w:r>
            <w:r>
              <w:rPr>
                <w:rFonts w:hint="eastAsia" w:ascii="仿宋" w:hAnsi="仿宋" w:eastAsia="仿宋" w:cs="仿宋"/>
                <w:kern w:val="0"/>
                <w:sz w:val="21"/>
                <w:szCs w:val="21"/>
              </w:rPr>
              <w:t>%</w:t>
            </w:r>
          </w:p>
        </w:tc>
        <w:tc>
          <w:tcPr>
            <w:tcW w:w="674"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100%</w:t>
            </w:r>
          </w:p>
        </w:tc>
        <w:tc>
          <w:tcPr>
            <w:tcW w:w="578" w:type="pct"/>
            <w:noWrap w:val="0"/>
            <w:vAlign w:val="center"/>
          </w:tcPr>
          <w:p>
            <w:pPr>
              <w:widowControl/>
              <w:adjustRightInd w:val="0"/>
              <w:snapToGrid w:val="0"/>
              <w:jc w:val="center"/>
              <w:textAlignment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627" w:type="pct"/>
            <w:noWrap w:val="0"/>
            <w:vAlign w:val="center"/>
          </w:tcPr>
          <w:p>
            <w:pPr>
              <w:widowControl/>
              <w:jc w:val="center"/>
              <w:rPr>
                <w:rFonts w:ascii="仿宋" w:hAnsi="仿宋" w:cs="宋体"/>
                <w:b/>
                <w:kern w:val="0"/>
                <w:sz w:val="21"/>
                <w:szCs w:val="21"/>
              </w:rPr>
            </w:pPr>
            <w:r>
              <w:rPr>
                <w:rFonts w:ascii="仿宋" w:hAnsi="仿宋" w:cs="宋体"/>
                <w:b/>
                <w:kern w:val="0"/>
                <w:sz w:val="21"/>
                <w:szCs w:val="21"/>
              </w:rPr>
              <w:t>合计</w:t>
            </w:r>
          </w:p>
        </w:tc>
        <w:tc>
          <w:tcPr>
            <w:tcW w:w="447" w:type="pct"/>
            <w:noWrap w:val="0"/>
            <w:vAlign w:val="center"/>
          </w:tcPr>
          <w:p>
            <w:pPr>
              <w:widowControl/>
              <w:jc w:val="center"/>
              <w:rPr>
                <w:rFonts w:ascii="仿宋" w:hAnsi="仿宋" w:cs="宋体"/>
                <w:b/>
                <w:kern w:val="0"/>
                <w:sz w:val="21"/>
                <w:szCs w:val="21"/>
              </w:rPr>
            </w:pPr>
            <w:r>
              <w:rPr>
                <w:rFonts w:hint="eastAsia" w:ascii="仿宋" w:hAnsi="仿宋" w:cs="宋体"/>
                <w:b/>
                <w:kern w:val="0"/>
                <w:sz w:val="21"/>
                <w:szCs w:val="21"/>
              </w:rPr>
              <w:t>35</w:t>
            </w:r>
          </w:p>
        </w:tc>
        <w:tc>
          <w:tcPr>
            <w:tcW w:w="882" w:type="pct"/>
            <w:noWrap w:val="0"/>
            <w:vAlign w:val="center"/>
          </w:tcPr>
          <w:p>
            <w:pPr>
              <w:widowControl/>
              <w:jc w:val="center"/>
              <w:rPr>
                <w:rFonts w:ascii="仿宋" w:hAnsi="仿宋" w:cs="宋体"/>
                <w:b/>
                <w:kern w:val="0"/>
                <w:sz w:val="21"/>
                <w:szCs w:val="21"/>
              </w:rPr>
            </w:pPr>
          </w:p>
        </w:tc>
        <w:tc>
          <w:tcPr>
            <w:tcW w:w="789" w:type="pct"/>
            <w:noWrap w:val="0"/>
            <w:vAlign w:val="center"/>
          </w:tcPr>
          <w:p>
            <w:pPr>
              <w:widowControl/>
              <w:jc w:val="center"/>
              <w:rPr>
                <w:rFonts w:hint="eastAsia" w:ascii="仿宋" w:hAnsi="仿宋" w:eastAsia="仿宋" w:cs="仿宋"/>
                <w:b/>
                <w:kern w:val="0"/>
                <w:sz w:val="21"/>
                <w:szCs w:val="21"/>
                <w:lang w:val="en-US" w:eastAsia="zh-CN" w:bidi="ar-SA"/>
              </w:rPr>
            </w:pPr>
          </w:p>
        </w:tc>
        <w:tc>
          <w:tcPr>
            <w:tcW w:w="674" w:type="pct"/>
            <w:noWrap w:val="0"/>
            <w:vAlign w:val="center"/>
          </w:tcPr>
          <w:p>
            <w:pPr>
              <w:widowControl/>
              <w:jc w:val="center"/>
              <w:textAlignment w:val="center"/>
              <w:rPr>
                <w:rFonts w:hint="eastAsia" w:ascii="仿宋" w:hAnsi="仿宋" w:eastAsia="仿宋" w:cs="仿宋"/>
                <w:b/>
                <w:kern w:val="0"/>
                <w:sz w:val="21"/>
                <w:szCs w:val="21"/>
                <w:lang w:val="en-US" w:eastAsia="zh-CN" w:bidi="ar-SA"/>
              </w:rPr>
            </w:pPr>
          </w:p>
        </w:tc>
        <w:tc>
          <w:tcPr>
            <w:tcW w:w="578" w:type="pct"/>
            <w:noWrap w:val="0"/>
            <w:vAlign w:val="center"/>
          </w:tcPr>
          <w:p>
            <w:pPr>
              <w:widowControl/>
              <w:jc w:val="center"/>
              <w:textAlignment w:val="center"/>
              <w:rPr>
                <w:rFonts w:hint="default" w:ascii="仿宋" w:hAnsi="仿宋" w:eastAsia="仿宋" w:cs="仿宋"/>
                <w:b/>
                <w:kern w:val="0"/>
                <w:sz w:val="21"/>
                <w:szCs w:val="21"/>
                <w:lang w:val="en-US" w:eastAsia="zh-CN" w:bidi="ar-SA"/>
              </w:rPr>
            </w:pPr>
            <w:r>
              <w:rPr>
                <w:rFonts w:hint="eastAsia" w:ascii="仿宋" w:hAnsi="仿宋" w:eastAsia="仿宋" w:cs="仿宋"/>
                <w:b/>
                <w:kern w:val="0"/>
                <w:sz w:val="21"/>
                <w:szCs w:val="21"/>
                <w:lang w:val="en-US" w:eastAsia="zh-CN"/>
              </w:rPr>
              <w:t>30.2</w:t>
            </w:r>
          </w:p>
        </w:tc>
      </w:tr>
    </w:tbl>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工程事故发生数：</w:t>
      </w:r>
      <w:r>
        <w:rPr>
          <w:rFonts w:hint="eastAsia" w:ascii="仿宋_GB2312" w:hAnsi="仿宋_GB2312" w:eastAsia="仿宋_GB2312" w:cs="仿宋_GB2312"/>
          <w:bCs/>
          <w:sz w:val="32"/>
          <w:szCs w:val="32"/>
        </w:rPr>
        <w:t>权重分为6分，实际得分为</w:t>
      </w: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分。该工程未发生质量事故及安全事故。</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lang w:eastAsia="zh-CN"/>
        </w:rPr>
        <w:t>生活服务配套问题解</w:t>
      </w:r>
      <w:r>
        <w:rPr>
          <w:rFonts w:hint="eastAsia" w:ascii="仿宋_GB2312" w:hAnsi="仿宋_GB2312" w:eastAsia="仿宋_GB2312" w:cs="仿宋_GB2312"/>
          <w:b/>
          <w:sz w:val="32"/>
          <w:szCs w:val="32"/>
        </w:rPr>
        <w:t>决程度：</w:t>
      </w:r>
      <w:r>
        <w:rPr>
          <w:rFonts w:hint="eastAsia" w:ascii="仿宋_GB2312" w:hAnsi="仿宋_GB2312" w:eastAsia="仿宋_GB2312" w:cs="仿宋_GB2312"/>
          <w:bCs/>
          <w:sz w:val="32"/>
          <w:szCs w:val="32"/>
        </w:rPr>
        <w:t>权重分为6分，实际得分为</w:t>
      </w: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该项目对解决周边小区生活服务配套问题效果显著。</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
          <w:sz w:val="32"/>
          <w:szCs w:val="32"/>
        </w:rPr>
        <w:t>市民投诉率：</w:t>
      </w:r>
      <w:r>
        <w:rPr>
          <w:rFonts w:hint="eastAsia" w:ascii="仿宋_GB2312" w:hAnsi="仿宋_GB2312" w:eastAsia="仿宋_GB2312" w:cs="仿宋_GB2312"/>
          <w:bCs/>
          <w:sz w:val="32"/>
          <w:szCs w:val="32"/>
        </w:rPr>
        <w:t>权重分为</w:t>
      </w: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分，实际得分为</w:t>
      </w: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该项目完成后，生活服务配套问题的市民投诉率同比下降。</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
          <w:sz w:val="32"/>
          <w:szCs w:val="32"/>
          <w:lang w:eastAsia="zh-CN"/>
        </w:rPr>
        <w:t>经济影响：</w:t>
      </w:r>
      <w:r>
        <w:rPr>
          <w:rFonts w:hint="eastAsia" w:ascii="仿宋_GB2312" w:hAnsi="仿宋_GB2312" w:eastAsia="仿宋_GB2312" w:cs="仿宋_GB2312"/>
          <w:bCs/>
          <w:sz w:val="32"/>
          <w:szCs w:val="32"/>
        </w:rPr>
        <w:t>权重分为</w:t>
      </w: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分，实际得分为</w:t>
      </w:r>
      <w:r>
        <w:rPr>
          <w:rFonts w:hint="eastAsia" w:ascii="仿宋_GB2312" w:hAnsi="仿宋_GB2312" w:eastAsia="仿宋_GB2312" w:cs="仿宋_GB2312"/>
          <w:bCs/>
          <w:sz w:val="32"/>
          <w:szCs w:val="32"/>
          <w:lang w:val="en-US" w:eastAsia="zh-CN"/>
        </w:rPr>
        <w:t>3.6</w:t>
      </w:r>
      <w:r>
        <w:rPr>
          <w:rFonts w:hint="eastAsia" w:ascii="仿宋_GB2312" w:hAnsi="仿宋_GB2312" w:eastAsia="仿宋_GB2312" w:cs="仿宋_GB2312"/>
          <w:bCs/>
          <w:sz w:val="32"/>
          <w:szCs w:val="32"/>
        </w:rPr>
        <w:t>分。</w:t>
      </w:r>
      <w:r>
        <w:rPr>
          <w:rFonts w:hint="eastAsia" w:ascii="仿宋_GB2312" w:hAnsi="仿宋_GB2312" w:eastAsia="仿宋_GB2312" w:cs="仿宋_GB2312"/>
          <w:bCs/>
          <w:sz w:val="32"/>
          <w:szCs w:val="32"/>
          <w:lang w:eastAsia="zh-CN"/>
        </w:rPr>
        <w:t>该项目建成后，引进超市、餐饮、教培等多种业态，对促进周边经济发展有一定影响。</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后续</w:t>
      </w:r>
      <w:r>
        <w:rPr>
          <w:rFonts w:hint="eastAsia" w:ascii="仿宋_GB2312" w:hAnsi="仿宋_GB2312" w:eastAsia="仿宋_GB2312" w:cs="仿宋_GB2312"/>
          <w:b/>
          <w:sz w:val="32"/>
          <w:szCs w:val="32"/>
          <w:lang w:eastAsia="zh-CN"/>
        </w:rPr>
        <w:t>运营</w:t>
      </w:r>
      <w:r>
        <w:rPr>
          <w:rFonts w:hint="eastAsia" w:ascii="仿宋_GB2312" w:hAnsi="仿宋_GB2312" w:eastAsia="仿宋_GB2312" w:cs="仿宋_GB2312"/>
          <w:b/>
          <w:sz w:val="32"/>
          <w:szCs w:val="32"/>
        </w:rPr>
        <w:t>机制健全程度：</w:t>
      </w:r>
      <w:r>
        <w:rPr>
          <w:rFonts w:hint="eastAsia" w:ascii="仿宋_GB2312" w:hAnsi="仿宋_GB2312" w:eastAsia="仿宋_GB2312" w:cs="仿宋_GB2312"/>
          <w:bCs/>
          <w:sz w:val="32"/>
          <w:szCs w:val="32"/>
        </w:rPr>
        <w:t>权重分为</w:t>
      </w: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分，实际得分为</w:t>
      </w:r>
      <w:r>
        <w:rPr>
          <w:rFonts w:hint="eastAsia" w:ascii="仿宋_GB2312" w:hAnsi="仿宋_GB2312" w:eastAsia="仿宋_GB2312" w:cs="仿宋_GB2312"/>
          <w:bCs/>
          <w:sz w:val="32"/>
          <w:szCs w:val="32"/>
          <w:lang w:val="en-US" w:eastAsia="zh-CN"/>
        </w:rPr>
        <w:t>3.6</w:t>
      </w:r>
      <w:r>
        <w:rPr>
          <w:rFonts w:hint="eastAsia" w:ascii="仿宋_GB2312" w:hAnsi="仿宋_GB2312" w:eastAsia="仿宋_GB2312" w:cs="仿宋_GB2312"/>
          <w:bCs/>
          <w:sz w:val="32"/>
          <w:szCs w:val="32"/>
        </w:rPr>
        <w:t>分。该项目</w:t>
      </w:r>
      <w:r>
        <w:rPr>
          <w:rFonts w:hint="eastAsia" w:ascii="仿宋_GB2312" w:hAnsi="仿宋_GB2312" w:eastAsia="仿宋_GB2312" w:cs="仿宋_GB2312"/>
          <w:bCs/>
          <w:sz w:val="32"/>
          <w:szCs w:val="32"/>
          <w:lang w:eastAsia="zh-CN"/>
        </w:rPr>
        <w:t>需进一完善后续运营机制，最大限度发挥项目效能</w:t>
      </w:r>
      <w:r>
        <w:rPr>
          <w:rFonts w:hint="eastAsia" w:ascii="仿宋_GB2312" w:hAnsi="仿宋_GB2312" w:eastAsia="仿宋_GB2312" w:cs="仿宋_GB2312"/>
          <w:bCs/>
          <w:sz w:val="32"/>
          <w:szCs w:val="32"/>
        </w:rPr>
        <w:t>。</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居民满意度：</w:t>
      </w:r>
      <w:r>
        <w:rPr>
          <w:rFonts w:hint="eastAsia" w:ascii="仿宋_GB2312" w:hAnsi="仿宋_GB2312" w:eastAsia="仿宋_GB2312" w:cs="仿宋_GB2312"/>
          <w:bCs/>
          <w:sz w:val="32"/>
          <w:szCs w:val="32"/>
        </w:rPr>
        <w:t>权重分为</w:t>
      </w: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分，实际得分为</w:t>
      </w: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分。根据调研</w:t>
      </w:r>
      <w:r>
        <w:rPr>
          <w:rFonts w:hint="eastAsia" w:ascii="仿宋_GB2312" w:hAnsi="仿宋_GB2312" w:eastAsia="仿宋_GB2312" w:cs="仿宋_GB2312"/>
          <w:bCs/>
          <w:sz w:val="32"/>
          <w:szCs w:val="32"/>
          <w:lang w:eastAsia="zh-CN"/>
        </w:rPr>
        <w:t>，该项目</w:t>
      </w:r>
      <w:r>
        <w:rPr>
          <w:rFonts w:hint="eastAsia" w:ascii="仿宋_GB2312" w:hAnsi="仿宋_GB2312" w:eastAsia="仿宋_GB2312" w:cs="仿宋_GB2312"/>
          <w:bCs/>
          <w:sz w:val="32"/>
          <w:szCs w:val="32"/>
        </w:rPr>
        <w:t>的整体满意程度达</w:t>
      </w:r>
      <w:r>
        <w:rPr>
          <w:rFonts w:hint="eastAsia" w:ascii="仿宋_GB2312" w:hAnsi="仿宋_GB2312" w:eastAsia="仿宋_GB2312" w:cs="仿宋_GB2312"/>
          <w:bCs/>
          <w:sz w:val="32"/>
          <w:szCs w:val="32"/>
          <w:lang w:val="en-US" w:eastAsia="zh-CN"/>
        </w:rPr>
        <w:t>93.2</w:t>
      </w:r>
      <w:r>
        <w:rPr>
          <w:rFonts w:hint="eastAsia" w:ascii="仿宋_GB2312" w:hAnsi="仿宋_GB2312" w:eastAsia="仿宋_GB2312" w:cs="仿宋_GB2312"/>
          <w:bCs/>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0"/>
        <w:rPr>
          <w:rFonts w:hint="eastAsia" w:ascii="仿宋_GB2312"/>
          <w:sz w:val="32"/>
          <w:szCs w:val="32"/>
        </w:rPr>
      </w:pPr>
      <w:r>
        <w:rPr>
          <w:rFonts w:hint="eastAsia" w:ascii="黑体" w:hAnsi="黑体" w:eastAsia="黑体"/>
          <w:sz w:val="32"/>
          <w:szCs w:val="32"/>
        </w:rPr>
        <w:t>四、问题和建议</w:t>
      </w:r>
      <w:bookmarkEnd w:id="16"/>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ascii="楷体_GB2312" w:hAnsi="楷体_GB2312" w:eastAsia="楷体_GB2312" w:cs="楷体_GB2312"/>
          <w:kern w:val="0"/>
          <w:sz w:val="32"/>
          <w:szCs w:val="32"/>
        </w:rPr>
      </w:pPr>
      <w:bookmarkStart w:id="21" w:name="_Toc16892"/>
      <w:r>
        <w:rPr>
          <w:rFonts w:hint="eastAsia" w:ascii="楷体_GB2312" w:hAnsi="楷体_GB2312" w:eastAsia="楷体_GB2312" w:cs="楷体_GB2312"/>
          <w:kern w:val="0"/>
          <w:sz w:val="32"/>
          <w:szCs w:val="32"/>
        </w:rPr>
        <w:t>（一）问题</w:t>
      </w:r>
      <w:bookmarkEnd w:id="21"/>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kern w:val="0"/>
          <w:sz w:val="32"/>
          <w:szCs w:val="32"/>
          <w:lang w:eastAsia="zh-CN"/>
        </w:rPr>
      </w:pPr>
      <w:bookmarkStart w:id="22" w:name="_Toc20867"/>
      <w:r>
        <w:rPr>
          <w:rFonts w:hint="eastAsia" w:ascii="仿宋_GB2312" w:hAnsi="仿宋_GB2312" w:eastAsia="仿宋_GB2312" w:cs="仿宋_GB2312"/>
          <w:bCs/>
          <w:kern w:val="0"/>
          <w:sz w:val="32"/>
          <w:szCs w:val="32"/>
          <w:lang w:val="en-US" w:eastAsia="zh-CN"/>
        </w:rPr>
        <w:t>1.</w:t>
      </w:r>
      <w:r>
        <w:rPr>
          <w:rFonts w:hint="eastAsia" w:ascii="仿宋_GB2312" w:hAnsi="仿宋_GB2312" w:eastAsia="仿宋_GB2312" w:cs="仿宋_GB2312"/>
          <w:bCs/>
          <w:kern w:val="0"/>
          <w:sz w:val="32"/>
          <w:szCs w:val="32"/>
        </w:rPr>
        <w:t>绩效</w:t>
      </w:r>
      <w:r>
        <w:rPr>
          <w:rFonts w:hint="eastAsia" w:ascii="仿宋_GB2312" w:hAnsi="仿宋_GB2312" w:eastAsia="仿宋_GB2312" w:cs="仿宋_GB2312"/>
          <w:bCs/>
          <w:kern w:val="0"/>
          <w:sz w:val="32"/>
          <w:szCs w:val="32"/>
          <w:lang w:eastAsia="zh-CN"/>
        </w:rPr>
        <w:t>目标仍需细化</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bCs/>
          <w:kern w:val="0"/>
          <w:sz w:val="32"/>
          <w:szCs w:val="32"/>
        </w:rPr>
        <w:t>绩效目标贯穿项目实施的整个周期，指导着项目的实施方向，</w:t>
      </w:r>
      <w:r>
        <w:rPr>
          <w:rFonts w:hint="eastAsia" w:ascii="仿宋_GB2312" w:hAnsi="仿宋_GB2312" w:eastAsia="仿宋_GB2312" w:cs="仿宋_GB2312"/>
          <w:bCs/>
          <w:kern w:val="0"/>
          <w:sz w:val="32"/>
          <w:szCs w:val="32"/>
          <w:lang w:eastAsia="zh-CN"/>
        </w:rPr>
        <w:t>应该制定与资金量相匹配的、可量化的“绩”和“效”，</w:t>
      </w:r>
      <w:r>
        <w:rPr>
          <w:rFonts w:hint="eastAsia" w:ascii="仿宋_GB2312" w:hAnsi="仿宋_GB2312" w:eastAsia="仿宋_GB2312" w:cs="仿宋_GB2312"/>
          <w:bCs/>
          <w:kern w:val="0"/>
          <w:sz w:val="32"/>
          <w:szCs w:val="32"/>
        </w:rPr>
        <w:t>对项目实施的各个阶段进行考核、监督和引导。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val="en-US" w:eastAsia="zh-CN"/>
        </w:rPr>
        <w:t>2.</w:t>
      </w:r>
      <w:r>
        <w:rPr>
          <w:rFonts w:hint="eastAsia" w:ascii="仿宋_GB2312" w:hAnsi="仿宋_GB2312" w:eastAsia="仿宋_GB2312" w:cs="仿宋_GB2312"/>
          <w:bCs/>
          <w:kern w:val="0"/>
          <w:sz w:val="32"/>
          <w:szCs w:val="32"/>
          <w:lang w:eastAsia="zh-CN"/>
        </w:rPr>
        <w:t>运营机制仍需加强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在后续运营中，</w:t>
      </w:r>
      <w:r>
        <w:rPr>
          <w:rFonts w:hint="eastAsia" w:ascii="仿宋_GB2312" w:hAnsi="仿宋_GB2312" w:eastAsia="仿宋_GB2312" w:cs="仿宋_GB2312"/>
          <w:bCs/>
          <w:kern w:val="0"/>
          <w:sz w:val="32"/>
          <w:szCs w:val="32"/>
        </w:rPr>
        <w:t>该项目</w:t>
      </w:r>
      <w:r>
        <w:rPr>
          <w:rFonts w:hint="eastAsia" w:ascii="仿宋_GB2312" w:hAnsi="仿宋_GB2312" w:eastAsia="仿宋_GB2312" w:cs="仿宋_GB2312"/>
          <w:bCs/>
          <w:kern w:val="0"/>
          <w:sz w:val="32"/>
          <w:szCs w:val="32"/>
          <w:lang w:eastAsia="zh-CN"/>
        </w:rPr>
        <w:t>虽已落地部分业态，但仍有面积空置未得到有效利用，项目效能未得到最大限度的发挥，运营管理水平仍需提高。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1"/>
        <w:rPr>
          <w:rFonts w:hint="eastAsia" w:ascii="楷体_GB2312" w:hAnsi="楷体_GB2312" w:eastAsia="楷体_GB2312" w:cs="楷体_GB2312"/>
          <w:kern w:val="0"/>
          <w:sz w:val="32"/>
          <w:szCs w:val="32"/>
        </w:rPr>
      </w:pPr>
      <w:r>
        <w:rPr>
          <w:rFonts w:hint="eastAsia" w:ascii="楷体_GB2312" w:hAnsi="楷体_GB2312" w:eastAsia="楷体_GB2312" w:cs="楷体_GB2312"/>
          <w:sz w:val="32"/>
          <w:szCs w:val="32"/>
        </w:rPr>
        <w:t>（二）相关建议</w:t>
      </w:r>
      <w:bookmarkEnd w:id="22"/>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kern w:val="0"/>
          <w:sz w:val="32"/>
          <w:szCs w:val="32"/>
          <w:lang w:eastAsia="zh-CN"/>
        </w:rPr>
      </w:pPr>
      <w:bookmarkStart w:id="23" w:name="_Toc24693"/>
      <w:r>
        <w:rPr>
          <w:rFonts w:hint="eastAsia" w:ascii="仿宋_GB2312" w:hAnsi="仿宋_GB2312" w:eastAsia="仿宋_GB2312" w:cs="仿宋_GB2312"/>
          <w:bCs/>
          <w:kern w:val="0"/>
          <w:sz w:val="32"/>
          <w:szCs w:val="32"/>
          <w:lang w:val="en-US" w:eastAsia="zh-CN"/>
        </w:rPr>
        <w:t>1.</w:t>
      </w:r>
      <w:r>
        <w:rPr>
          <w:rFonts w:hint="eastAsia" w:ascii="仿宋_GB2312" w:hAnsi="仿宋_GB2312" w:eastAsia="仿宋_GB2312" w:cs="仿宋_GB2312"/>
          <w:bCs/>
          <w:kern w:val="0"/>
          <w:sz w:val="32"/>
          <w:szCs w:val="32"/>
          <w:lang w:eastAsia="zh-CN"/>
        </w:rPr>
        <w:t>强化预算编制意识，加强预算绩效管理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1</w:t>
      </w:r>
      <w:r>
        <w:rPr>
          <w:rFonts w:hint="eastAsia" w:ascii="仿宋_GB2312" w:hAnsi="仿宋_GB2312" w:eastAsia="仿宋_GB2312" w:cs="仿宋_GB2312"/>
          <w:bCs/>
          <w:kern w:val="0"/>
          <w:sz w:val="32"/>
          <w:szCs w:val="32"/>
          <w:lang w:eastAsia="zh-CN"/>
        </w:rPr>
        <w:t>）强化预算部门主体责任。各部门作为预算编制的主体，应高度重视预算编制工作，结合年度目标工作任务，统筹考虑部门预算收支安排情况，编制切实可行的部门预算。</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2</w:t>
      </w:r>
      <w:r>
        <w:rPr>
          <w:rFonts w:hint="eastAsia" w:ascii="仿宋_GB2312" w:hAnsi="仿宋_GB2312" w:eastAsia="仿宋_GB2312" w:cs="仿宋_GB2312"/>
          <w:bCs/>
          <w:kern w:val="0"/>
          <w:sz w:val="32"/>
          <w:szCs w:val="32"/>
          <w:lang w:eastAsia="zh-CN"/>
        </w:rPr>
        <w:t>）建立重预算、重绩效的文化氛围和良好环境。提高工作人员的绩效管理意识、责任意识，并将绩效管理实施情况纳入考核体系，真正使预算绩效管理有一个良好的发展环境。增强相关人员对预算绩效管理的实际操作能力，实现其稳步发展，使预算工作更为合理，目标更为明确，达到提质增效的目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2.健全运营管理机制，发挥项目最大效能</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仿宋_GB2312" w:hAnsi="仿宋_GB2312" w:eastAsia="仿宋_GB2312" w:cs="仿宋_GB2312"/>
          <w:bCs/>
          <w:kern w:val="0"/>
          <w:sz w:val="32"/>
          <w:szCs w:val="32"/>
          <w:lang w:val="en-US" w:eastAsia="zh-CN" w:bidi="ar-SA"/>
        </w:rPr>
      </w:pPr>
      <w:r>
        <w:rPr>
          <w:rFonts w:hint="eastAsia" w:ascii="仿宋_GB2312" w:hAnsi="仿宋_GB2312" w:eastAsia="仿宋_GB2312" w:cs="仿宋_GB2312"/>
          <w:bCs/>
          <w:kern w:val="0"/>
          <w:sz w:val="32"/>
          <w:szCs w:val="32"/>
          <w:lang w:val="en-US" w:eastAsia="zh-CN" w:bidi="ar-SA"/>
        </w:rPr>
        <w:t>建议坚持“民生功能，优先配置”原则，并将其发扬为主要特征，为邻里中心配备各项基础服务功能，并以不低于45%面积保证落实。打造从“柴米油盐酱醋茶”到“衣食住行玩乐闲”的一站式商业业态组合，从根本上满足了居民对社区生活配套的需求和期待。</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0"/>
        <w:rPr>
          <w:rFonts w:hint="eastAsia" w:ascii="黑体" w:hAnsi="黑体" w:eastAsia="黑体"/>
          <w:sz w:val="32"/>
          <w:szCs w:val="32"/>
        </w:rPr>
      </w:pPr>
      <w:r>
        <w:rPr>
          <w:rFonts w:hint="eastAsia" w:ascii="黑体" w:hAnsi="黑体" w:eastAsia="黑体"/>
          <w:sz w:val="32"/>
          <w:szCs w:val="32"/>
        </w:rPr>
        <w:t>五、评价结论</w:t>
      </w:r>
      <w:bookmarkEnd w:id="23"/>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kern w:val="0"/>
          <w:sz w:val="32"/>
          <w:szCs w:val="32"/>
        </w:rPr>
      </w:pPr>
      <w:bookmarkStart w:id="24" w:name="_Toc29629"/>
      <w:r>
        <w:rPr>
          <w:rFonts w:hint="eastAsia" w:ascii="仿宋_GB2312" w:hAnsi="仿宋_GB2312" w:eastAsia="仿宋_GB2312" w:cs="仿宋_GB2312"/>
          <w:bCs/>
          <w:kern w:val="0"/>
          <w:sz w:val="32"/>
          <w:szCs w:val="32"/>
        </w:rPr>
        <w:t>从总体上看，</w:t>
      </w:r>
      <w:r>
        <w:rPr>
          <w:rFonts w:hint="eastAsia" w:ascii="仿宋_GB2312" w:hAnsi="仿宋_GB2312" w:eastAsia="仿宋_GB2312" w:cs="仿宋_GB2312"/>
          <w:bCs/>
          <w:kern w:val="0"/>
          <w:sz w:val="32"/>
          <w:szCs w:val="32"/>
          <w:lang w:val="en-US" w:eastAsia="zh-CN"/>
        </w:rPr>
        <w:t>2号邻里中心项目</w:t>
      </w:r>
      <w:r>
        <w:rPr>
          <w:rFonts w:hint="eastAsia" w:ascii="仿宋_GB2312" w:hAnsi="仿宋_GB2312" w:eastAsia="仿宋_GB2312" w:cs="仿宋_GB2312"/>
          <w:bCs/>
          <w:kern w:val="0"/>
          <w:sz w:val="32"/>
          <w:szCs w:val="32"/>
        </w:rPr>
        <w:t>发挥了</w:t>
      </w:r>
      <w:r>
        <w:rPr>
          <w:rFonts w:hint="eastAsia" w:ascii="仿宋_GB2312" w:hAnsi="仿宋_GB2312" w:eastAsia="仿宋_GB2312" w:cs="仿宋_GB2312"/>
          <w:bCs/>
          <w:kern w:val="0"/>
          <w:sz w:val="32"/>
          <w:szCs w:val="32"/>
          <w:lang w:eastAsia="zh-CN"/>
        </w:rPr>
        <w:t>较好</w:t>
      </w:r>
      <w:r>
        <w:rPr>
          <w:rFonts w:hint="eastAsia" w:ascii="仿宋_GB2312" w:hAnsi="仿宋_GB2312" w:eastAsia="仿宋_GB2312" w:cs="仿宋_GB2312"/>
          <w:bCs/>
          <w:kern w:val="0"/>
          <w:sz w:val="32"/>
          <w:szCs w:val="32"/>
        </w:rPr>
        <w:t>的作用。但在实际评价过程中，发现工作中存在绩效</w:t>
      </w:r>
      <w:r>
        <w:rPr>
          <w:rFonts w:hint="eastAsia" w:ascii="仿宋_GB2312" w:hAnsi="仿宋_GB2312" w:eastAsia="仿宋_GB2312" w:cs="仿宋_GB2312"/>
          <w:bCs/>
          <w:kern w:val="0"/>
          <w:sz w:val="32"/>
          <w:szCs w:val="32"/>
          <w:lang w:eastAsia="zh-CN"/>
        </w:rPr>
        <w:t>目标不细化、运营机制需完善</w:t>
      </w:r>
      <w:r>
        <w:rPr>
          <w:rFonts w:hint="eastAsia" w:ascii="仿宋_GB2312" w:hAnsi="仿宋_GB2312" w:eastAsia="仿宋_GB2312" w:cs="仿宋_GB2312"/>
          <w:bCs/>
          <w:kern w:val="0"/>
          <w:sz w:val="32"/>
          <w:szCs w:val="32"/>
        </w:rPr>
        <w:t>等问题，</w:t>
      </w:r>
      <w:r>
        <w:rPr>
          <w:rFonts w:hint="eastAsia" w:ascii="仿宋_GB2312" w:hAnsi="仿宋_GB2312" w:eastAsia="仿宋_GB2312" w:cs="仿宋_GB2312"/>
          <w:bCs/>
          <w:kern w:val="0"/>
          <w:sz w:val="32"/>
          <w:szCs w:val="32"/>
          <w:lang w:eastAsia="zh-CN"/>
        </w:rPr>
        <w:t>应</w:t>
      </w:r>
      <w:r>
        <w:rPr>
          <w:rFonts w:hint="eastAsia" w:ascii="仿宋_GB2312" w:hAnsi="仿宋_GB2312" w:eastAsia="仿宋_GB2312" w:cs="仿宋_GB2312"/>
          <w:bCs/>
          <w:kern w:val="0"/>
          <w:sz w:val="32"/>
          <w:szCs w:val="32"/>
        </w:rPr>
        <w:t>今后的工作中予以调整和完善。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评价组按照确认的指标评价体系及评分标准，通过前期调研、基础数据填报、访谈、问卷调查、现场核查，分析后进行独立客观公正的评判，最终评分结果如下：</w:t>
      </w:r>
      <w:r>
        <w:rPr>
          <w:rFonts w:hint="eastAsia" w:ascii="仿宋_GB2312" w:hAnsi="仿宋_GB2312" w:eastAsia="仿宋_GB2312" w:cs="仿宋_GB2312"/>
          <w:bCs/>
          <w:kern w:val="0"/>
          <w:sz w:val="32"/>
          <w:szCs w:val="32"/>
          <w:lang w:val="en-US" w:eastAsia="zh-CN"/>
        </w:rPr>
        <w:t>91.7</w:t>
      </w:r>
      <w:r>
        <w:rPr>
          <w:rFonts w:hint="eastAsia" w:ascii="仿宋_GB2312" w:hAnsi="仿宋_GB2312" w:eastAsia="仿宋_GB2312" w:cs="仿宋_GB2312"/>
          <w:bCs/>
          <w:kern w:val="0"/>
          <w:sz w:val="32"/>
          <w:szCs w:val="32"/>
        </w:rPr>
        <w:t>分，绩效评级为</w:t>
      </w:r>
      <w:r>
        <w:rPr>
          <w:rFonts w:hint="eastAsia" w:ascii="仿宋_GB2312" w:hAnsi="仿宋_GB2312" w:eastAsia="仿宋_GB2312" w:cs="仿宋_GB2312"/>
          <w:bCs/>
          <w:kern w:val="0"/>
          <w:sz w:val="32"/>
          <w:szCs w:val="32"/>
          <w:lang w:eastAsia="zh-CN"/>
        </w:rPr>
        <w:t>“优”</w:t>
      </w:r>
      <w:r>
        <w:rPr>
          <w:rFonts w:hint="eastAsia" w:ascii="仿宋_GB2312" w:hAnsi="仿宋_GB2312" w:eastAsia="仿宋_GB2312" w:cs="仿宋_GB2312"/>
          <w:bCs/>
          <w:kern w:val="0"/>
          <w:sz w:val="32"/>
          <w:szCs w:val="32"/>
        </w:rPr>
        <w:t>。各部分权重和得分情况见表5-1。</w:t>
      </w:r>
    </w:p>
    <w:p>
      <w:pPr>
        <w:spacing w:line="560" w:lineRule="exact"/>
        <w:ind w:firstLine="482" w:firstLineChars="200"/>
        <w:jc w:val="center"/>
        <w:rPr>
          <w:rFonts w:hint="eastAsia" w:ascii="仿宋_GB2312" w:hAnsi="仿宋"/>
          <w:b/>
          <w:bCs/>
          <w:sz w:val="24"/>
          <w:szCs w:val="21"/>
        </w:rPr>
      </w:pPr>
      <w:r>
        <w:rPr>
          <w:rFonts w:hint="eastAsia" w:ascii="仿宋_GB2312" w:hAnsi="仿宋"/>
          <w:b/>
          <w:bCs/>
          <w:sz w:val="24"/>
          <w:szCs w:val="21"/>
        </w:rPr>
        <w:t>表5-1  绩效得分整体情况表</w:t>
      </w:r>
    </w:p>
    <w:tbl>
      <w:tblPr>
        <w:tblStyle w:val="7"/>
        <w:tblW w:w="4997" w:type="pct"/>
        <w:jc w:val="center"/>
        <w:tblLayout w:type="autofit"/>
        <w:tblCellMar>
          <w:top w:w="0" w:type="dxa"/>
          <w:left w:w="108" w:type="dxa"/>
          <w:bottom w:w="0" w:type="dxa"/>
          <w:right w:w="108" w:type="dxa"/>
        </w:tblCellMar>
      </w:tblPr>
      <w:tblGrid>
        <w:gridCol w:w="2510"/>
        <w:gridCol w:w="1834"/>
        <w:gridCol w:w="1927"/>
        <w:gridCol w:w="2246"/>
      </w:tblGrid>
      <w:tr>
        <w:tblPrEx>
          <w:tblCellMar>
            <w:top w:w="0" w:type="dxa"/>
            <w:left w:w="108" w:type="dxa"/>
            <w:bottom w:w="0" w:type="dxa"/>
            <w:right w:w="108" w:type="dxa"/>
          </w:tblCellMar>
        </w:tblPrEx>
        <w:trPr>
          <w:trHeight w:val="397" w:hRule="atLeast"/>
          <w:tblHeader/>
          <w:jc w:val="center"/>
        </w:trPr>
        <w:tc>
          <w:tcPr>
            <w:tcW w:w="1473" w:type="pct"/>
            <w:tcBorders>
              <w:top w:val="single" w:color="auto" w:sz="4" w:space="0"/>
              <w:left w:val="single" w:color="auto" w:sz="4" w:space="0"/>
              <w:bottom w:val="single" w:color="auto" w:sz="4" w:space="0"/>
              <w:right w:val="single" w:color="auto" w:sz="4" w:space="0"/>
            </w:tcBorders>
            <w:shd w:val="clear" w:color="000000" w:fill="A6A6A6"/>
            <w:noWrap w:val="0"/>
            <w:vAlign w:val="center"/>
          </w:tcPr>
          <w:p>
            <w:pPr>
              <w:jc w:val="center"/>
              <w:rPr>
                <w:rFonts w:hint="eastAsia" w:ascii="仿宋_GB2312" w:hAnsi="仿宋"/>
                <w:b/>
                <w:color w:val="000000"/>
                <w:sz w:val="21"/>
                <w:szCs w:val="21"/>
              </w:rPr>
            </w:pPr>
            <w:r>
              <w:rPr>
                <w:rFonts w:hint="eastAsia" w:ascii="仿宋_GB2312" w:hAnsi="仿宋"/>
                <w:b/>
                <w:color w:val="000000"/>
                <w:sz w:val="21"/>
                <w:szCs w:val="21"/>
              </w:rPr>
              <w:t>指标</w:t>
            </w:r>
          </w:p>
        </w:tc>
        <w:tc>
          <w:tcPr>
            <w:tcW w:w="1076" w:type="pct"/>
            <w:tcBorders>
              <w:top w:val="single" w:color="auto" w:sz="4" w:space="0"/>
              <w:left w:val="nil"/>
              <w:bottom w:val="single" w:color="auto" w:sz="4" w:space="0"/>
              <w:right w:val="single" w:color="auto" w:sz="4" w:space="0"/>
            </w:tcBorders>
            <w:shd w:val="clear" w:color="000000" w:fill="A6A6A6"/>
            <w:noWrap w:val="0"/>
            <w:vAlign w:val="center"/>
          </w:tcPr>
          <w:p>
            <w:pPr>
              <w:jc w:val="center"/>
              <w:rPr>
                <w:rFonts w:hint="eastAsia" w:ascii="仿宋_GB2312" w:hAnsi="仿宋"/>
                <w:b/>
                <w:color w:val="000000"/>
                <w:sz w:val="21"/>
                <w:szCs w:val="21"/>
              </w:rPr>
            </w:pPr>
            <w:r>
              <w:rPr>
                <w:rFonts w:hint="eastAsia" w:ascii="仿宋_GB2312" w:hAnsi="仿宋"/>
                <w:b/>
                <w:color w:val="000000"/>
                <w:sz w:val="21"/>
                <w:szCs w:val="21"/>
              </w:rPr>
              <w:t>权重</w:t>
            </w:r>
          </w:p>
        </w:tc>
        <w:tc>
          <w:tcPr>
            <w:tcW w:w="1131" w:type="pct"/>
            <w:tcBorders>
              <w:top w:val="single" w:color="auto" w:sz="4" w:space="0"/>
              <w:left w:val="nil"/>
              <w:bottom w:val="single" w:color="auto" w:sz="4" w:space="0"/>
              <w:right w:val="single" w:color="auto" w:sz="4" w:space="0"/>
            </w:tcBorders>
            <w:shd w:val="clear" w:color="000000" w:fill="A6A6A6"/>
            <w:noWrap w:val="0"/>
            <w:vAlign w:val="center"/>
          </w:tcPr>
          <w:p>
            <w:pPr>
              <w:jc w:val="center"/>
              <w:rPr>
                <w:rFonts w:hint="eastAsia" w:ascii="仿宋_GB2312" w:hAnsi="仿宋"/>
                <w:b/>
                <w:color w:val="000000"/>
                <w:sz w:val="21"/>
                <w:szCs w:val="21"/>
              </w:rPr>
            </w:pPr>
            <w:r>
              <w:rPr>
                <w:rFonts w:hint="eastAsia" w:ascii="仿宋_GB2312" w:hAnsi="仿宋"/>
                <w:b/>
                <w:color w:val="000000"/>
                <w:sz w:val="21"/>
                <w:szCs w:val="21"/>
              </w:rPr>
              <w:t>分值</w:t>
            </w:r>
          </w:p>
        </w:tc>
        <w:tc>
          <w:tcPr>
            <w:tcW w:w="1318" w:type="pct"/>
            <w:tcBorders>
              <w:top w:val="single" w:color="auto" w:sz="4" w:space="0"/>
              <w:left w:val="nil"/>
              <w:bottom w:val="single" w:color="auto" w:sz="4" w:space="0"/>
              <w:right w:val="single" w:color="auto" w:sz="4" w:space="0"/>
            </w:tcBorders>
            <w:shd w:val="clear" w:color="000000" w:fill="A6A6A6"/>
            <w:noWrap w:val="0"/>
            <w:vAlign w:val="center"/>
          </w:tcPr>
          <w:p>
            <w:pPr>
              <w:jc w:val="center"/>
              <w:rPr>
                <w:rFonts w:hint="eastAsia" w:ascii="仿宋_GB2312" w:hAnsi="仿宋"/>
                <w:b/>
                <w:color w:val="000000"/>
                <w:sz w:val="21"/>
                <w:szCs w:val="21"/>
              </w:rPr>
            </w:pPr>
            <w:r>
              <w:rPr>
                <w:rFonts w:hint="eastAsia" w:ascii="仿宋_GB2312" w:hAnsi="仿宋"/>
                <w:b/>
                <w:color w:val="000000"/>
                <w:sz w:val="21"/>
                <w:szCs w:val="21"/>
              </w:rPr>
              <w:t>得分率</w:t>
            </w:r>
          </w:p>
        </w:tc>
      </w:tr>
      <w:tr>
        <w:tblPrEx>
          <w:tblCellMar>
            <w:top w:w="0" w:type="dxa"/>
            <w:left w:w="108" w:type="dxa"/>
            <w:bottom w:w="0" w:type="dxa"/>
            <w:right w:w="108" w:type="dxa"/>
          </w:tblCellMar>
        </w:tblPrEx>
        <w:trPr>
          <w:trHeight w:val="397" w:hRule="atLeast"/>
          <w:jc w:val="center"/>
        </w:trPr>
        <w:tc>
          <w:tcPr>
            <w:tcW w:w="1473" w:type="pct"/>
            <w:tcBorders>
              <w:top w:val="nil"/>
              <w:left w:val="single" w:color="auto" w:sz="4" w:space="0"/>
              <w:bottom w:val="single" w:color="auto" w:sz="4" w:space="0"/>
              <w:right w:val="single" w:color="auto" w:sz="4" w:space="0"/>
            </w:tcBorders>
            <w:noWrap w:val="0"/>
            <w:vAlign w:val="center"/>
          </w:tcPr>
          <w:p>
            <w:pPr>
              <w:jc w:val="center"/>
              <w:rPr>
                <w:rFonts w:hint="eastAsia" w:ascii="仿宋_GB2312" w:hAnsi="仿宋"/>
                <w:color w:val="000000"/>
                <w:sz w:val="21"/>
                <w:szCs w:val="21"/>
              </w:rPr>
            </w:pPr>
            <w:r>
              <w:rPr>
                <w:rFonts w:hint="eastAsia" w:ascii="仿宋_GB2312" w:hAnsi="仿宋"/>
                <w:color w:val="000000"/>
                <w:sz w:val="21"/>
                <w:szCs w:val="21"/>
              </w:rPr>
              <w:t>A.投入</w:t>
            </w:r>
          </w:p>
        </w:tc>
        <w:tc>
          <w:tcPr>
            <w:tcW w:w="1076" w:type="pct"/>
            <w:tcBorders>
              <w:top w:val="nil"/>
              <w:left w:val="nil"/>
              <w:bottom w:val="single" w:color="auto" w:sz="4" w:space="0"/>
              <w:right w:val="single" w:color="auto" w:sz="4" w:space="0"/>
            </w:tcBorders>
            <w:noWrap w:val="0"/>
            <w:vAlign w:val="center"/>
          </w:tcPr>
          <w:p>
            <w:pPr>
              <w:widowControl/>
              <w:jc w:val="center"/>
              <w:textAlignment w:val="center"/>
              <w:rPr>
                <w:rFonts w:ascii="仿宋_GB2312" w:hAnsi="仿宋"/>
                <w:color w:val="000000"/>
                <w:sz w:val="21"/>
                <w:szCs w:val="21"/>
              </w:rPr>
            </w:pPr>
            <w:r>
              <w:rPr>
                <w:rFonts w:hint="eastAsia" w:ascii="仿宋_GB2312" w:hAnsi="等线" w:cs="仿宋_GB2312"/>
                <w:color w:val="000000"/>
                <w:kern w:val="0"/>
                <w:sz w:val="21"/>
                <w:szCs w:val="21"/>
                <w:lang w:bidi="ar"/>
              </w:rPr>
              <w:t>20</w:t>
            </w:r>
          </w:p>
        </w:tc>
        <w:tc>
          <w:tcPr>
            <w:tcW w:w="1131" w:type="pct"/>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kern w:val="2"/>
                <w:sz w:val="21"/>
                <w:szCs w:val="21"/>
                <w:lang w:val="en-US" w:eastAsia="zh-CN" w:bidi="ar-SA"/>
              </w:rPr>
            </w:pPr>
            <w:r>
              <w:rPr>
                <w:rFonts w:hint="eastAsia" w:ascii="仿宋_GB2312" w:hAnsi="仿宋"/>
                <w:color w:val="000000"/>
                <w:sz w:val="21"/>
                <w:szCs w:val="21"/>
                <w:lang w:val="en-US" w:eastAsia="zh-CN"/>
              </w:rPr>
              <w:t>16.5</w:t>
            </w:r>
          </w:p>
        </w:tc>
        <w:tc>
          <w:tcPr>
            <w:tcW w:w="1318" w:type="pct"/>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kern w:val="2"/>
                <w:sz w:val="21"/>
                <w:szCs w:val="21"/>
                <w:lang w:val="en-US" w:eastAsia="zh-CN" w:bidi="ar-SA"/>
              </w:rPr>
            </w:pPr>
            <w:r>
              <w:rPr>
                <w:rFonts w:hint="eastAsia" w:ascii="仿宋_GB2312" w:hAnsi="仿宋"/>
                <w:color w:val="000000"/>
                <w:sz w:val="21"/>
                <w:szCs w:val="21"/>
                <w:lang w:val="en-US" w:eastAsia="zh-CN"/>
              </w:rPr>
              <w:t>82.5%</w:t>
            </w:r>
          </w:p>
        </w:tc>
      </w:tr>
      <w:tr>
        <w:tblPrEx>
          <w:tblCellMar>
            <w:top w:w="0" w:type="dxa"/>
            <w:left w:w="108" w:type="dxa"/>
            <w:bottom w:w="0" w:type="dxa"/>
            <w:right w:w="108" w:type="dxa"/>
          </w:tblCellMar>
        </w:tblPrEx>
        <w:trPr>
          <w:trHeight w:val="397" w:hRule="atLeast"/>
          <w:jc w:val="center"/>
        </w:trPr>
        <w:tc>
          <w:tcPr>
            <w:tcW w:w="1473" w:type="pct"/>
            <w:tcBorders>
              <w:top w:val="nil"/>
              <w:left w:val="single" w:color="auto" w:sz="4" w:space="0"/>
              <w:bottom w:val="single" w:color="auto" w:sz="4" w:space="0"/>
              <w:right w:val="single" w:color="auto" w:sz="4" w:space="0"/>
            </w:tcBorders>
            <w:noWrap w:val="0"/>
            <w:vAlign w:val="center"/>
          </w:tcPr>
          <w:p>
            <w:pPr>
              <w:jc w:val="center"/>
              <w:rPr>
                <w:rFonts w:hint="eastAsia" w:ascii="仿宋_GB2312" w:hAnsi="仿宋"/>
                <w:color w:val="000000"/>
                <w:sz w:val="21"/>
                <w:szCs w:val="21"/>
              </w:rPr>
            </w:pPr>
            <w:r>
              <w:rPr>
                <w:rFonts w:hint="eastAsia" w:ascii="仿宋_GB2312" w:hAnsi="仿宋"/>
                <w:color w:val="000000"/>
                <w:sz w:val="21"/>
                <w:szCs w:val="21"/>
              </w:rPr>
              <w:t>B.过程</w:t>
            </w:r>
          </w:p>
        </w:tc>
        <w:tc>
          <w:tcPr>
            <w:tcW w:w="1076" w:type="pct"/>
            <w:tcBorders>
              <w:top w:val="nil"/>
              <w:left w:val="nil"/>
              <w:bottom w:val="single" w:color="auto" w:sz="4" w:space="0"/>
              <w:right w:val="single" w:color="auto" w:sz="4" w:space="0"/>
            </w:tcBorders>
            <w:noWrap w:val="0"/>
            <w:vAlign w:val="center"/>
          </w:tcPr>
          <w:p>
            <w:pPr>
              <w:widowControl/>
              <w:jc w:val="center"/>
              <w:textAlignment w:val="center"/>
              <w:rPr>
                <w:rFonts w:ascii="仿宋_GB2312" w:hAnsi="仿宋"/>
                <w:color w:val="000000"/>
                <w:sz w:val="21"/>
                <w:szCs w:val="21"/>
              </w:rPr>
            </w:pPr>
            <w:r>
              <w:rPr>
                <w:rFonts w:hint="eastAsia" w:ascii="仿宋_GB2312" w:hAnsi="等线" w:cs="仿宋_GB2312"/>
                <w:color w:val="000000"/>
                <w:kern w:val="0"/>
                <w:sz w:val="21"/>
                <w:szCs w:val="21"/>
                <w:lang w:bidi="ar"/>
              </w:rPr>
              <w:t>20</w:t>
            </w:r>
          </w:p>
        </w:tc>
        <w:tc>
          <w:tcPr>
            <w:tcW w:w="1131" w:type="pct"/>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kern w:val="2"/>
                <w:sz w:val="21"/>
                <w:szCs w:val="21"/>
                <w:lang w:val="en-US" w:eastAsia="zh-CN" w:bidi="ar-SA"/>
              </w:rPr>
            </w:pPr>
            <w:r>
              <w:rPr>
                <w:rFonts w:hint="eastAsia" w:ascii="仿宋_GB2312" w:hAnsi="仿宋"/>
                <w:color w:val="000000"/>
                <w:sz w:val="21"/>
                <w:szCs w:val="21"/>
                <w:lang w:val="en-US" w:eastAsia="zh-CN"/>
              </w:rPr>
              <w:t>20</w:t>
            </w:r>
          </w:p>
        </w:tc>
        <w:tc>
          <w:tcPr>
            <w:tcW w:w="1318" w:type="pct"/>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kern w:val="2"/>
                <w:sz w:val="21"/>
                <w:szCs w:val="21"/>
                <w:lang w:val="en-US" w:eastAsia="zh-CN" w:bidi="ar-SA"/>
              </w:rPr>
            </w:pPr>
            <w:r>
              <w:rPr>
                <w:rFonts w:hint="eastAsia" w:ascii="仿宋_GB2312" w:hAnsi="仿宋"/>
                <w:color w:val="000000"/>
                <w:sz w:val="21"/>
                <w:szCs w:val="21"/>
                <w:lang w:val="en-US" w:eastAsia="zh-CN"/>
              </w:rPr>
              <w:t>100%</w:t>
            </w:r>
          </w:p>
        </w:tc>
      </w:tr>
      <w:tr>
        <w:tblPrEx>
          <w:tblCellMar>
            <w:top w:w="0" w:type="dxa"/>
            <w:left w:w="108" w:type="dxa"/>
            <w:bottom w:w="0" w:type="dxa"/>
            <w:right w:w="108" w:type="dxa"/>
          </w:tblCellMar>
        </w:tblPrEx>
        <w:trPr>
          <w:trHeight w:val="397" w:hRule="atLeast"/>
          <w:jc w:val="center"/>
        </w:trPr>
        <w:tc>
          <w:tcPr>
            <w:tcW w:w="1473" w:type="pct"/>
            <w:tcBorders>
              <w:top w:val="nil"/>
              <w:left w:val="single" w:color="auto" w:sz="4" w:space="0"/>
              <w:bottom w:val="single" w:color="auto" w:sz="4" w:space="0"/>
              <w:right w:val="single" w:color="auto" w:sz="4" w:space="0"/>
            </w:tcBorders>
            <w:noWrap w:val="0"/>
            <w:vAlign w:val="center"/>
          </w:tcPr>
          <w:p>
            <w:pPr>
              <w:jc w:val="center"/>
              <w:rPr>
                <w:rFonts w:hint="eastAsia" w:ascii="仿宋_GB2312" w:hAnsi="仿宋"/>
                <w:color w:val="000000"/>
                <w:sz w:val="21"/>
                <w:szCs w:val="21"/>
              </w:rPr>
            </w:pPr>
            <w:r>
              <w:rPr>
                <w:rFonts w:hint="eastAsia" w:ascii="仿宋_GB2312" w:hAnsi="仿宋"/>
                <w:color w:val="000000"/>
                <w:sz w:val="21"/>
                <w:szCs w:val="21"/>
              </w:rPr>
              <w:t>C.产出</w:t>
            </w:r>
          </w:p>
        </w:tc>
        <w:tc>
          <w:tcPr>
            <w:tcW w:w="1076" w:type="pct"/>
            <w:tcBorders>
              <w:top w:val="nil"/>
              <w:left w:val="nil"/>
              <w:bottom w:val="single" w:color="auto" w:sz="4" w:space="0"/>
              <w:right w:val="single" w:color="auto" w:sz="4" w:space="0"/>
            </w:tcBorders>
            <w:noWrap w:val="0"/>
            <w:vAlign w:val="center"/>
          </w:tcPr>
          <w:p>
            <w:pPr>
              <w:widowControl/>
              <w:jc w:val="center"/>
              <w:textAlignment w:val="center"/>
              <w:rPr>
                <w:rFonts w:ascii="仿宋_GB2312" w:hAnsi="仿宋"/>
                <w:color w:val="000000"/>
                <w:sz w:val="21"/>
                <w:szCs w:val="21"/>
              </w:rPr>
            </w:pPr>
            <w:r>
              <w:rPr>
                <w:rFonts w:hint="eastAsia" w:ascii="仿宋_GB2312" w:hAnsi="等线" w:cs="仿宋_GB2312"/>
                <w:color w:val="000000"/>
                <w:kern w:val="0"/>
                <w:sz w:val="21"/>
                <w:szCs w:val="21"/>
                <w:lang w:bidi="ar"/>
              </w:rPr>
              <w:t>25</w:t>
            </w:r>
          </w:p>
        </w:tc>
        <w:tc>
          <w:tcPr>
            <w:tcW w:w="1131" w:type="pct"/>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kern w:val="2"/>
                <w:sz w:val="21"/>
                <w:szCs w:val="21"/>
                <w:lang w:val="en-US" w:eastAsia="zh-CN" w:bidi="ar-SA"/>
              </w:rPr>
            </w:pPr>
            <w:r>
              <w:rPr>
                <w:rFonts w:hint="eastAsia" w:ascii="仿宋_GB2312" w:hAnsi="仿宋"/>
                <w:color w:val="000000"/>
                <w:sz w:val="21"/>
                <w:szCs w:val="21"/>
                <w:lang w:val="en-US" w:eastAsia="zh-CN"/>
              </w:rPr>
              <w:t>25</w:t>
            </w:r>
          </w:p>
        </w:tc>
        <w:tc>
          <w:tcPr>
            <w:tcW w:w="1318" w:type="pct"/>
            <w:tcBorders>
              <w:top w:val="nil"/>
              <w:left w:val="nil"/>
              <w:bottom w:val="single" w:color="auto" w:sz="4" w:space="0"/>
              <w:right w:val="single" w:color="auto" w:sz="4" w:space="0"/>
            </w:tcBorders>
            <w:noWrap w:val="0"/>
            <w:vAlign w:val="center"/>
          </w:tcPr>
          <w:p>
            <w:pPr>
              <w:widowControl/>
              <w:jc w:val="center"/>
              <w:textAlignment w:val="center"/>
              <w:rPr>
                <w:rFonts w:hint="eastAsia" w:ascii="仿宋_GB2312" w:hAnsi="仿宋" w:eastAsia="仿宋_GB2312"/>
                <w:color w:val="000000"/>
                <w:kern w:val="2"/>
                <w:sz w:val="21"/>
                <w:szCs w:val="21"/>
                <w:lang w:val="en-US" w:eastAsia="zh-CN" w:bidi="ar-SA"/>
              </w:rPr>
            </w:pPr>
            <w:r>
              <w:rPr>
                <w:rFonts w:hint="eastAsia" w:ascii="仿宋_GB2312" w:hAnsi="仿宋"/>
                <w:color w:val="000000"/>
                <w:sz w:val="21"/>
                <w:szCs w:val="21"/>
                <w:lang w:val="en-US" w:eastAsia="zh-CN"/>
              </w:rPr>
              <w:t>100%</w:t>
            </w:r>
          </w:p>
        </w:tc>
      </w:tr>
      <w:tr>
        <w:tblPrEx>
          <w:tblCellMar>
            <w:top w:w="0" w:type="dxa"/>
            <w:left w:w="108" w:type="dxa"/>
            <w:bottom w:w="0" w:type="dxa"/>
            <w:right w:w="108" w:type="dxa"/>
          </w:tblCellMar>
        </w:tblPrEx>
        <w:trPr>
          <w:trHeight w:val="397" w:hRule="atLeast"/>
          <w:jc w:val="center"/>
        </w:trPr>
        <w:tc>
          <w:tcPr>
            <w:tcW w:w="1473" w:type="pct"/>
            <w:tcBorders>
              <w:top w:val="nil"/>
              <w:left w:val="single" w:color="auto" w:sz="4" w:space="0"/>
              <w:bottom w:val="single" w:color="auto" w:sz="4" w:space="0"/>
              <w:right w:val="single" w:color="auto" w:sz="4" w:space="0"/>
            </w:tcBorders>
            <w:noWrap w:val="0"/>
            <w:vAlign w:val="center"/>
          </w:tcPr>
          <w:p>
            <w:pPr>
              <w:jc w:val="center"/>
              <w:rPr>
                <w:rFonts w:hint="eastAsia" w:ascii="仿宋_GB2312" w:hAnsi="仿宋"/>
                <w:color w:val="000000"/>
                <w:sz w:val="21"/>
                <w:szCs w:val="21"/>
              </w:rPr>
            </w:pPr>
            <w:r>
              <w:rPr>
                <w:rFonts w:hint="eastAsia" w:ascii="仿宋_GB2312" w:hAnsi="仿宋"/>
                <w:color w:val="000000"/>
                <w:sz w:val="21"/>
                <w:szCs w:val="21"/>
              </w:rPr>
              <w:t>D.效果</w:t>
            </w:r>
          </w:p>
        </w:tc>
        <w:tc>
          <w:tcPr>
            <w:tcW w:w="1076" w:type="pct"/>
            <w:tcBorders>
              <w:top w:val="nil"/>
              <w:left w:val="nil"/>
              <w:bottom w:val="single" w:color="auto" w:sz="4" w:space="0"/>
              <w:right w:val="single" w:color="auto" w:sz="4" w:space="0"/>
            </w:tcBorders>
            <w:noWrap w:val="0"/>
            <w:vAlign w:val="center"/>
          </w:tcPr>
          <w:p>
            <w:pPr>
              <w:widowControl/>
              <w:jc w:val="center"/>
              <w:textAlignment w:val="center"/>
              <w:rPr>
                <w:rFonts w:ascii="仿宋_GB2312" w:hAnsi="仿宋"/>
                <w:color w:val="000000"/>
                <w:sz w:val="21"/>
                <w:szCs w:val="21"/>
              </w:rPr>
            </w:pPr>
            <w:r>
              <w:rPr>
                <w:rFonts w:hint="eastAsia" w:ascii="仿宋_GB2312" w:hAnsi="等线" w:cs="仿宋_GB2312"/>
                <w:color w:val="000000"/>
                <w:kern w:val="0"/>
                <w:sz w:val="21"/>
                <w:szCs w:val="21"/>
                <w:lang w:bidi="ar"/>
              </w:rPr>
              <w:t>35</w:t>
            </w:r>
          </w:p>
        </w:tc>
        <w:tc>
          <w:tcPr>
            <w:tcW w:w="1131" w:type="pct"/>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color w:val="000000"/>
                <w:kern w:val="2"/>
                <w:sz w:val="21"/>
                <w:szCs w:val="21"/>
                <w:lang w:val="en-US" w:eastAsia="zh-CN" w:bidi="ar-SA"/>
              </w:rPr>
            </w:pPr>
            <w:r>
              <w:rPr>
                <w:rFonts w:hint="eastAsia" w:ascii="仿宋_GB2312" w:hAnsi="仿宋"/>
                <w:color w:val="000000"/>
                <w:sz w:val="21"/>
                <w:szCs w:val="21"/>
                <w:lang w:val="en-US" w:eastAsia="zh-CN"/>
              </w:rPr>
              <w:t>30.2</w:t>
            </w:r>
          </w:p>
        </w:tc>
        <w:tc>
          <w:tcPr>
            <w:tcW w:w="1318" w:type="pct"/>
            <w:tcBorders>
              <w:top w:val="nil"/>
              <w:left w:val="nil"/>
              <w:bottom w:val="single" w:color="auto" w:sz="4" w:space="0"/>
              <w:right w:val="single" w:color="auto" w:sz="4" w:space="0"/>
            </w:tcBorders>
            <w:noWrap w:val="0"/>
            <w:vAlign w:val="center"/>
          </w:tcPr>
          <w:p>
            <w:pPr>
              <w:widowControl/>
              <w:jc w:val="center"/>
              <w:textAlignment w:val="center"/>
              <w:rPr>
                <w:rFonts w:hint="eastAsia" w:ascii="仿宋_GB2312" w:hAnsi="仿宋" w:eastAsia="仿宋_GB2312"/>
                <w:color w:val="000000"/>
                <w:kern w:val="2"/>
                <w:sz w:val="21"/>
                <w:szCs w:val="21"/>
                <w:lang w:val="en-US" w:eastAsia="zh-CN" w:bidi="ar-SA"/>
              </w:rPr>
            </w:pPr>
            <w:r>
              <w:rPr>
                <w:rFonts w:hint="eastAsia" w:ascii="仿宋_GB2312" w:hAnsi="仿宋"/>
                <w:color w:val="000000"/>
                <w:sz w:val="21"/>
                <w:szCs w:val="21"/>
                <w:lang w:val="en-US" w:eastAsia="zh-CN"/>
              </w:rPr>
              <w:t>86.29%</w:t>
            </w:r>
          </w:p>
        </w:tc>
      </w:tr>
      <w:tr>
        <w:tblPrEx>
          <w:tblCellMar>
            <w:top w:w="0" w:type="dxa"/>
            <w:left w:w="108" w:type="dxa"/>
            <w:bottom w:w="0" w:type="dxa"/>
            <w:right w:w="108" w:type="dxa"/>
          </w:tblCellMar>
        </w:tblPrEx>
        <w:trPr>
          <w:trHeight w:val="397" w:hRule="atLeast"/>
          <w:jc w:val="center"/>
        </w:trPr>
        <w:tc>
          <w:tcPr>
            <w:tcW w:w="1473" w:type="pct"/>
            <w:tcBorders>
              <w:top w:val="nil"/>
              <w:left w:val="single" w:color="auto" w:sz="4" w:space="0"/>
              <w:bottom w:val="single" w:color="auto" w:sz="4" w:space="0"/>
              <w:right w:val="single" w:color="auto" w:sz="4" w:space="0"/>
            </w:tcBorders>
            <w:noWrap w:val="0"/>
            <w:vAlign w:val="center"/>
          </w:tcPr>
          <w:p>
            <w:pPr>
              <w:jc w:val="center"/>
              <w:rPr>
                <w:rFonts w:hint="eastAsia" w:ascii="仿宋_GB2312" w:hAnsi="仿宋"/>
                <w:b/>
                <w:bCs/>
                <w:color w:val="000000"/>
                <w:sz w:val="21"/>
                <w:szCs w:val="21"/>
              </w:rPr>
            </w:pPr>
            <w:r>
              <w:rPr>
                <w:rFonts w:hint="eastAsia" w:ascii="仿宋_GB2312" w:hAnsi="仿宋"/>
                <w:b/>
                <w:bCs/>
                <w:color w:val="000000"/>
                <w:sz w:val="21"/>
                <w:szCs w:val="21"/>
              </w:rPr>
              <w:t>合计</w:t>
            </w:r>
          </w:p>
        </w:tc>
        <w:tc>
          <w:tcPr>
            <w:tcW w:w="1076" w:type="pct"/>
            <w:tcBorders>
              <w:top w:val="nil"/>
              <w:left w:val="nil"/>
              <w:bottom w:val="single" w:color="auto" w:sz="4" w:space="0"/>
              <w:right w:val="single" w:color="auto" w:sz="4" w:space="0"/>
            </w:tcBorders>
            <w:noWrap w:val="0"/>
            <w:vAlign w:val="center"/>
          </w:tcPr>
          <w:p>
            <w:pPr>
              <w:widowControl/>
              <w:jc w:val="center"/>
              <w:textAlignment w:val="center"/>
              <w:rPr>
                <w:rFonts w:hint="eastAsia" w:ascii="仿宋_GB2312" w:hAnsi="仿宋"/>
                <w:b/>
                <w:bCs/>
                <w:color w:val="000000"/>
                <w:sz w:val="21"/>
                <w:szCs w:val="21"/>
              </w:rPr>
            </w:pPr>
            <w:r>
              <w:rPr>
                <w:rFonts w:hint="eastAsia" w:ascii="仿宋_GB2312" w:hAnsi="等线" w:cs="仿宋_GB2312"/>
                <w:b/>
                <w:bCs/>
                <w:color w:val="000000"/>
                <w:kern w:val="0"/>
                <w:sz w:val="21"/>
                <w:szCs w:val="21"/>
                <w:lang w:bidi="ar"/>
              </w:rPr>
              <w:t>100</w:t>
            </w:r>
          </w:p>
        </w:tc>
        <w:tc>
          <w:tcPr>
            <w:tcW w:w="1131" w:type="pct"/>
            <w:tcBorders>
              <w:top w:val="nil"/>
              <w:left w:val="nil"/>
              <w:bottom w:val="single" w:color="auto" w:sz="4" w:space="0"/>
              <w:right w:val="single" w:color="auto" w:sz="4" w:space="0"/>
            </w:tcBorders>
            <w:noWrap w:val="0"/>
            <w:vAlign w:val="center"/>
          </w:tcPr>
          <w:p>
            <w:pPr>
              <w:widowControl/>
              <w:jc w:val="center"/>
              <w:textAlignment w:val="center"/>
              <w:rPr>
                <w:rFonts w:hint="default" w:ascii="仿宋_GB2312" w:hAnsi="仿宋" w:eastAsia="仿宋_GB2312"/>
                <w:b/>
                <w:bCs/>
                <w:color w:val="000000"/>
                <w:kern w:val="2"/>
                <w:sz w:val="21"/>
                <w:szCs w:val="21"/>
                <w:lang w:val="en-US" w:eastAsia="zh-CN" w:bidi="ar-SA"/>
              </w:rPr>
            </w:pPr>
            <w:r>
              <w:rPr>
                <w:rFonts w:hint="eastAsia" w:ascii="仿宋_GB2312" w:hAnsi="仿宋"/>
                <w:b/>
                <w:bCs/>
                <w:color w:val="000000"/>
                <w:sz w:val="21"/>
                <w:szCs w:val="21"/>
                <w:lang w:val="en-US" w:eastAsia="zh-CN"/>
              </w:rPr>
              <w:t>91.7</w:t>
            </w:r>
          </w:p>
        </w:tc>
        <w:tc>
          <w:tcPr>
            <w:tcW w:w="1318" w:type="pct"/>
            <w:tcBorders>
              <w:top w:val="nil"/>
              <w:left w:val="nil"/>
              <w:bottom w:val="single" w:color="auto" w:sz="4" w:space="0"/>
              <w:right w:val="single" w:color="auto" w:sz="4" w:space="0"/>
            </w:tcBorders>
            <w:noWrap w:val="0"/>
            <w:vAlign w:val="center"/>
          </w:tcPr>
          <w:p>
            <w:pPr>
              <w:widowControl/>
              <w:jc w:val="center"/>
              <w:textAlignment w:val="center"/>
              <w:rPr>
                <w:rFonts w:hint="eastAsia" w:ascii="仿宋_GB2312" w:hAnsi="仿宋" w:eastAsia="仿宋_GB2312"/>
                <w:b/>
                <w:bCs/>
                <w:color w:val="000000"/>
                <w:kern w:val="2"/>
                <w:sz w:val="21"/>
                <w:szCs w:val="21"/>
                <w:lang w:val="en-US" w:eastAsia="zh-CN" w:bidi="ar-SA"/>
              </w:rPr>
            </w:pPr>
            <w:r>
              <w:rPr>
                <w:rFonts w:hint="eastAsia" w:ascii="仿宋_GB2312" w:hAnsi="仿宋"/>
                <w:b/>
                <w:bCs/>
                <w:color w:val="000000"/>
                <w:sz w:val="21"/>
                <w:szCs w:val="21"/>
                <w:lang w:val="en-US" w:eastAsia="zh-CN"/>
              </w:rPr>
              <w:t>91.7%</w:t>
            </w:r>
          </w:p>
        </w:tc>
      </w:tr>
      <w:bookmarkEnd w:id="24"/>
    </w:tbl>
    <w:p>
      <w:pPr>
        <w:adjustRightInd w:val="0"/>
        <w:snapToGrid w:val="0"/>
        <w:spacing w:line="580" w:lineRule="exact"/>
        <w:outlineLvl w:val="0"/>
        <w:rPr>
          <w:rFonts w:hint="eastAsia" w:ascii="黑体" w:hAnsi="黑体" w:eastAsia="黑体"/>
          <w:sz w:val="32"/>
          <w:szCs w:val="32"/>
        </w:rPr>
        <w:sectPr>
          <w:footerReference r:id="rId6" w:type="default"/>
          <w:pgSz w:w="11906" w:h="16838"/>
          <w:pgMar w:top="1440" w:right="1800" w:bottom="1440" w:left="1800" w:header="737" w:footer="851" w:gutter="0"/>
          <w:pgNumType w:start="1"/>
          <w:cols w:space="720" w:num="1"/>
          <w:docGrid w:type="lines" w:linePitch="408" w:charSpace="0"/>
        </w:sectPr>
      </w:pPr>
      <w:bookmarkStart w:id="25" w:name="_Toc20350"/>
    </w:p>
    <w:bookmarkEnd w:id="25"/>
    <w:p>
      <w:pPr>
        <w:adjustRightInd w:val="0"/>
        <w:snapToGrid w:val="0"/>
        <w:spacing w:line="574" w:lineRule="exact"/>
        <w:ind w:firstLine="640" w:firstLineChars="200"/>
        <w:outlineLvl w:val="0"/>
        <w:rPr>
          <w:rFonts w:hint="eastAsia" w:ascii="黑体" w:hAnsi="黑体" w:eastAsia="黑体" w:cs="Times New Roman"/>
          <w:sz w:val="32"/>
          <w:szCs w:val="32"/>
        </w:rPr>
      </w:pPr>
      <w:r>
        <w:rPr>
          <w:rFonts w:hint="eastAsia" w:ascii="黑体" w:hAnsi="黑体" w:eastAsia="黑体" w:cs="Times New Roman"/>
          <w:sz w:val="32"/>
          <w:szCs w:val="32"/>
          <w:lang w:eastAsia="zh-CN"/>
        </w:rPr>
        <w:t>六、</w:t>
      </w:r>
      <w:r>
        <w:rPr>
          <w:rFonts w:hint="eastAsia" w:ascii="黑体" w:hAnsi="黑体" w:eastAsia="黑体" w:cs="Times New Roman"/>
          <w:sz w:val="32"/>
          <w:szCs w:val="32"/>
        </w:rPr>
        <w:t xml:space="preserve">附件 </w:t>
      </w:r>
    </w:p>
    <w:p>
      <w:pPr>
        <w:adjustRightInd w:val="0"/>
        <w:snapToGrid w:val="0"/>
        <w:spacing w:line="574"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附件1 综合评分表</w:t>
      </w:r>
    </w:p>
    <w:tbl>
      <w:tblPr>
        <w:tblStyle w:val="7"/>
        <w:tblW w:w="495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29"/>
        <w:gridCol w:w="926"/>
        <w:gridCol w:w="1086"/>
        <w:gridCol w:w="632"/>
        <w:gridCol w:w="1821"/>
        <w:gridCol w:w="778"/>
        <w:gridCol w:w="2325"/>
        <w:gridCol w:w="2715"/>
        <w:gridCol w:w="728"/>
        <w:gridCol w:w="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blHeader/>
        </w:trPr>
        <w:tc>
          <w:tcPr>
            <w:tcW w:w="377"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一级</w:t>
            </w:r>
            <w:r>
              <w:rPr>
                <w:rFonts w:hint="eastAsia" w:ascii="仿宋_GB2312" w:hAnsi="仿宋_GB2312" w:cs="仿宋_GB2312"/>
                <w:b/>
                <w:bCs/>
                <w:color w:val="000000"/>
                <w:kern w:val="0"/>
                <w:sz w:val="21"/>
                <w:szCs w:val="21"/>
                <w:lang w:bidi="ar"/>
              </w:rPr>
              <w:br w:type="textWrapping"/>
            </w:r>
            <w:r>
              <w:rPr>
                <w:rFonts w:hint="eastAsia" w:ascii="仿宋_GB2312" w:hAnsi="仿宋_GB2312" w:cs="仿宋_GB2312"/>
                <w:b/>
                <w:bCs/>
                <w:color w:val="000000"/>
                <w:kern w:val="0"/>
                <w:sz w:val="21"/>
                <w:szCs w:val="21"/>
                <w:lang w:bidi="ar"/>
              </w:rPr>
              <w:t>指标</w:t>
            </w:r>
          </w:p>
        </w:tc>
        <w:tc>
          <w:tcPr>
            <w:tcW w:w="437"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二级指标</w:t>
            </w:r>
          </w:p>
        </w:tc>
        <w:tc>
          <w:tcPr>
            <w:tcW w:w="329"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三级指标</w:t>
            </w:r>
          </w:p>
        </w:tc>
        <w:tc>
          <w:tcPr>
            <w:tcW w:w="386"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四级指标</w:t>
            </w:r>
          </w:p>
        </w:tc>
        <w:tc>
          <w:tcPr>
            <w:tcW w:w="224"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权重</w:t>
            </w:r>
          </w:p>
        </w:tc>
        <w:tc>
          <w:tcPr>
            <w:tcW w:w="647"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指标解释</w:t>
            </w:r>
          </w:p>
        </w:tc>
        <w:tc>
          <w:tcPr>
            <w:tcW w:w="276"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标杆值</w:t>
            </w:r>
          </w:p>
        </w:tc>
        <w:tc>
          <w:tcPr>
            <w:tcW w:w="826"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评分标准</w:t>
            </w:r>
          </w:p>
        </w:tc>
        <w:tc>
          <w:tcPr>
            <w:tcW w:w="965"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评分过程</w:t>
            </w:r>
          </w:p>
        </w:tc>
        <w:tc>
          <w:tcPr>
            <w:tcW w:w="258"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得分</w:t>
            </w:r>
          </w:p>
        </w:tc>
        <w:tc>
          <w:tcPr>
            <w:tcW w:w="269" w:type="pct"/>
            <w:shd w:val="clear" w:color="auto" w:fill="BEBEBE"/>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5" w:hRule="atLeast"/>
        </w:trPr>
        <w:tc>
          <w:tcPr>
            <w:tcW w:w="377"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决策</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（20分）</w:t>
            </w:r>
          </w:p>
        </w:tc>
        <w:tc>
          <w:tcPr>
            <w:tcW w:w="437"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项目立项（6分）</w:t>
            </w: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立项依据充分性</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3</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项目立项是否符合法律法规、相关政策、发展规划以及部门职责，用以反映和考核项目立项依据情况。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充分</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①项目立项是否符合国家法律法规、国民经济发展规划和相关政策；</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②项目立项是否符合行业发展规划和政策要求；</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③项目立项是否与部门职责范围相符，属于部门履职所需；</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④项目是否属于公共财政支持范围，是否符合中央、地方事权支出责任划分原则；</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⑤项目是否与相关部门同类项目或部门内部相关项目不重复。</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5项各占1/5权重分，每有一项不满足，则扣除相应权重分。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权重分为3.00分，实际得分为3.00分。</w:t>
            </w:r>
            <w:r>
              <w:rPr>
                <w:rFonts w:hint="eastAsia" w:ascii="仿宋_GB2312" w:hAnsi="仿宋_GB2312" w:cs="仿宋_GB2312"/>
                <w:color w:val="000000"/>
                <w:kern w:val="0"/>
                <w:sz w:val="21"/>
                <w:szCs w:val="21"/>
                <w:lang w:eastAsia="zh-CN" w:bidi="ar"/>
              </w:rPr>
              <w:t>该</w:t>
            </w:r>
            <w:r>
              <w:rPr>
                <w:rFonts w:hint="eastAsia" w:ascii="仿宋_GB2312" w:hAnsi="仿宋_GB2312" w:cs="仿宋_GB2312"/>
                <w:color w:val="000000"/>
                <w:kern w:val="0"/>
                <w:sz w:val="21"/>
                <w:szCs w:val="21"/>
                <w:lang w:bidi="ar"/>
              </w:rPr>
              <w:t>项目</w:t>
            </w:r>
            <w:r>
              <w:rPr>
                <w:rFonts w:hint="eastAsia" w:ascii="仿宋_GB2312" w:hAnsi="仿宋_GB2312" w:cs="仿宋_GB2312"/>
                <w:color w:val="000000"/>
                <w:kern w:val="0"/>
                <w:sz w:val="21"/>
                <w:szCs w:val="21"/>
                <w:lang w:eastAsia="zh-CN" w:bidi="ar"/>
              </w:rPr>
              <w:t>经开发区主任办公会议集体决策，经发改部门立项，</w:t>
            </w:r>
            <w:r>
              <w:rPr>
                <w:rFonts w:hint="eastAsia" w:ascii="仿宋_GB2312" w:hAnsi="仿宋_GB2312" w:cs="仿宋_GB2312"/>
                <w:color w:val="000000"/>
                <w:kern w:val="0"/>
                <w:sz w:val="21"/>
                <w:szCs w:val="21"/>
                <w:lang w:bidi="ar"/>
              </w:rPr>
              <w:t>立项符合国家法律法规、国民经济发展规划和相关政策；符合行业发展规划和政策要求；与部门职责范围相符，属于部门履职所需；属于公共财政支持范围，符合中央、地方事权支出责任划分原则；与相关部门同类项目不重复。根据评分标准，该指标得100%权重分，即3.00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3.00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立项程序规范性</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3</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项目的申请、设立过程是否符合相关要求，用以反映和考核项目立项的规范情况。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规范</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①项目按照规定的程序申请设立；</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②所提交的文件、材料符合相关要求；</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③事前已经过必要的可行性研究、专家论证、风险评估、绩效评估、集体决策等。</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若①②③齐全得权重100%；如不符合①得0分；缺②扣权重1/3；缺③扣权重1/3。</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该项目</w:t>
            </w:r>
            <w:r>
              <w:rPr>
                <w:rFonts w:hint="eastAsia" w:ascii="仿宋_GB2312" w:hAnsi="仿宋_GB2312" w:cs="仿宋_GB2312"/>
                <w:color w:val="000000"/>
                <w:kern w:val="0"/>
                <w:sz w:val="21"/>
                <w:szCs w:val="21"/>
                <w:lang w:bidi="ar"/>
              </w:rPr>
              <w:t>按照规定的程序申请设立并符合相关要求，根据评分标准，该指标得100%权重分，即3分。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3.00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绩效目标（6分）</w:t>
            </w: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绩效目标合理性</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3</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项目所设定的绩效目标是否依据充分，是否符合客观实际，用以反映和考核项目绩效目标与项目实施的相符情况。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合理</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①项目有绩效目标；</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②项目绩效目标与实际工作内容具有相关性；</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③项目预期产出效益和效果符合正常的业绩水平；</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④绩效目标与预算确定的项目投资额或资金量相匹配。</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4项各占1/4权重分，每有一项不满足，则扣除相应权重分。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w:t>
            </w:r>
            <w:r>
              <w:rPr>
                <w:rFonts w:hint="eastAsia" w:ascii="仿宋_GB2312" w:hAnsi="仿宋_GB2312" w:cs="仿宋_GB2312"/>
                <w:color w:val="000000"/>
                <w:kern w:val="0"/>
                <w:sz w:val="21"/>
                <w:szCs w:val="21"/>
                <w:lang w:bidi="ar"/>
              </w:rPr>
              <w:t>项目</w:t>
            </w:r>
            <w:r>
              <w:rPr>
                <w:rFonts w:hint="eastAsia" w:ascii="仿宋_GB2312" w:hAnsi="仿宋_GB2312" w:cs="仿宋_GB2312"/>
                <w:color w:val="000000"/>
                <w:kern w:val="0"/>
                <w:sz w:val="21"/>
                <w:szCs w:val="21"/>
                <w:lang w:eastAsia="zh-CN" w:bidi="ar"/>
              </w:rPr>
              <w:t>绩效目标不够充分，不能完全体现项目实施情况。</w:t>
            </w:r>
            <w:r>
              <w:rPr>
                <w:rFonts w:hint="eastAsia" w:ascii="仿宋_GB2312" w:hAnsi="仿宋_GB2312" w:cs="仿宋_GB2312"/>
                <w:color w:val="000000"/>
                <w:kern w:val="0"/>
                <w:sz w:val="21"/>
                <w:szCs w:val="21"/>
                <w:lang w:bidi="ar"/>
              </w:rPr>
              <w:t>根据评分标准，本项得50%权重分，即1.50分。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1.50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绩效指标明确性</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3</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依据绩效目标设定的绩效指标是否清晰、细化、可衡量等，用以反映和考核项目绩效目标的明细化情况。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明确</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①将项目绩效目标细化分解为具体的绩效指标；</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②指标值清晰、可衡量；</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③指标值与项目年度任务数或计划数相对应。</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3项各占1/3权重分，每有一项不满足，则扣除相应权重分。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该项目绩效目标仍需细化，需加强</w:t>
            </w:r>
            <w:r>
              <w:rPr>
                <w:rFonts w:hint="eastAsia" w:ascii="仿宋_GB2312" w:hAnsi="仿宋_GB2312" w:cs="仿宋_GB2312"/>
                <w:color w:val="000000"/>
                <w:kern w:val="0"/>
                <w:sz w:val="21"/>
                <w:szCs w:val="21"/>
                <w:lang w:bidi="ar"/>
              </w:rPr>
              <w:t>评价指标值</w:t>
            </w:r>
            <w:r>
              <w:rPr>
                <w:rFonts w:hint="eastAsia" w:ascii="仿宋_GB2312" w:hAnsi="仿宋_GB2312" w:cs="仿宋_GB2312"/>
                <w:color w:val="000000"/>
                <w:kern w:val="0"/>
                <w:sz w:val="21"/>
                <w:szCs w:val="21"/>
                <w:lang w:eastAsia="zh-CN" w:bidi="ar"/>
              </w:rPr>
              <w:t>的</w:t>
            </w:r>
            <w:r>
              <w:rPr>
                <w:rFonts w:hint="eastAsia" w:ascii="仿宋_GB2312" w:hAnsi="仿宋_GB2312" w:cs="仿宋_GB2312"/>
                <w:color w:val="000000"/>
                <w:kern w:val="0"/>
                <w:sz w:val="21"/>
                <w:szCs w:val="21"/>
                <w:lang w:bidi="ar"/>
              </w:rPr>
              <w:t>清晰</w:t>
            </w:r>
            <w:r>
              <w:rPr>
                <w:rFonts w:hint="eastAsia" w:ascii="仿宋_GB2312" w:hAnsi="仿宋_GB2312" w:cs="仿宋_GB2312"/>
                <w:color w:val="000000"/>
                <w:kern w:val="0"/>
                <w:sz w:val="21"/>
                <w:szCs w:val="21"/>
                <w:lang w:eastAsia="zh-CN" w:bidi="ar"/>
              </w:rPr>
              <w:t>度</w:t>
            </w:r>
            <w:r>
              <w:rPr>
                <w:rFonts w:hint="eastAsia" w:ascii="仿宋_GB2312" w:hAnsi="仿宋_GB2312" w:cs="仿宋_GB2312"/>
                <w:color w:val="000000"/>
                <w:kern w:val="0"/>
                <w:sz w:val="21"/>
                <w:szCs w:val="21"/>
                <w:lang w:bidi="ar"/>
              </w:rPr>
              <w:t>、可衡量度。根据评分标准，本项得</w:t>
            </w:r>
            <w:r>
              <w:rPr>
                <w:rFonts w:hint="eastAsia" w:ascii="仿宋_GB2312" w:hAnsi="仿宋_GB2312" w:cs="仿宋_GB2312"/>
                <w:color w:val="000000"/>
                <w:kern w:val="0"/>
                <w:sz w:val="21"/>
                <w:szCs w:val="21"/>
                <w:lang w:val="en-US" w:eastAsia="zh-CN" w:bidi="ar"/>
              </w:rPr>
              <w:t>33.33</w:t>
            </w:r>
            <w:r>
              <w:rPr>
                <w:rFonts w:hint="eastAsia" w:ascii="仿宋_GB2312" w:hAnsi="仿宋_GB2312" w:cs="仿宋_GB2312"/>
                <w:color w:val="000000"/>
                <w:kern w:val="0"/>
                <w:sz w:val="21"/>
                <w:szCs w:val="21"/>
                <w:lang w:bidi="ar"/>
              </w:rPr>
              <w:t>%权重分，即</w:t>
            </w:r>
            <w:r>
              <w:rPr>
                <w:rFonts w:hint="eastAsia" w:ascii="仿宋_GB2312" w:hAnsi="仿宋_GB2312" w:cs="仿宋_GB2312"/>
                <w:color w:val="000000"/>
                <w:kern w:val="0"/>
                <w:sz w:val="21"/>
                <w:szCs w:val="21"/>
                <w:lang w:val="en-US" w:eastAsia="zh-CN" w:bidi="ar"/>
              </w:rPr>
              <w:t>1</w:t>
            </w:r>
            <w:r>
              <w:rPr>
                <w:rFonts w:hint="eastAsia" w:ascii="仿宋_GB2312" w:hAnsi="仿宋_GB2312" w:cs="仿宋_GB2312"/>
                <w:color w:val="000000"/>
                <w:kern w:val="0"/>
                <w:sz w:val="21"/>
                <w:szCs w:val="21"/>
                <w:lang w:bidi="ar"/>
              </w:rPr>
              <w:t>分。</w:t>
            </w:r>
          </w:p>
        </w:tc>
        <w:tc>
          <w:tcPr>
            <w:tcW w:w="258" w:type="pct"/>
            <w:noWrap w:val="0"/>
            <w:vAlign w:val="center"/>
          </w:tcPr>
          <w:p>
            <w:pPr>
              <w:widowControl/>
              <w:adjustRightInd w:val="0"/>
              <w:snapToGrid w:val="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1</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val="en-US" w:eastAsia="zh-CN" w:bidi="ar"/>
              </w:rPr>
              <w:t>50</w:t>
            </w:r>
            <w:r>
              <w:rPr>
                <w:rFonts w:hint="eastAsia" w:ascii="仿宋_GB2312" w:hAnsi="仿宋_GB2312" w:cs="仿宋_GB2312"/>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资金投入（8分）</w:t>
            </w: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预算编制科学性</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项目预算编制是否经过科学论证、有明确标准，资金额度与年度目标是否相适应，用以反映和考核项目预算编制的科学性、合理性情况。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科学</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①预算编制经过科学论证；</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②预算内容与项目内容匹配；</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③预算额度测算依据充分，按照标准编制；</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④预算确定的项目投资额或资金量与工作任务相匹配。</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4项各占1/4权重分，每有一项不满足，则扣除相应权重分。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w:t>
            </w:r>
            <w:r>
              <w:rPr>
                <w:rFonts w:hint="eastAsia" w:ascii="仿宋_GB2312" w:hAnsi="仿宋_GB2312" w:cs="仿宋_GB2312"/>
                <w:color w:val="000000"/>
                <w:kern w:val="0"/>
                <w:sz w:val="21"/>
                <w:szCs w:val="21"/>
                <w:lang w:bidi="ar"/>
              </w:rPr>
              <w:t>项目预算编制经过</w:t>
            </w:r>
            <w:r>
              <w:rPr>
                <w:rFonts w:hint="eastAsia" w:ascii="仿宋_GB2312" w:hAnsi="仿宋_GB2312" w:cs="仿宋_GB2312"/>
                <w:color w:val="000000"/>
                <w:kern w:val="0"/>
                <w:sz w:val="21"/>
                <w:szCs w:val="21"/>
                <w:lang w:eastAsia="zh-CN" w:bidi="ar"/>
              </w:rPr>
              <w:t>科学</w:t>
            </w:r>
            <w:r>
              <w:rPr>
                <w:rFonts w:hint="eastAsia" w:ascii="仿宋_GB2312" w:hAnsi="仿宋_GB2312" w:cs="仿宋_GB2312"/>
                <w:color w:val="000000"/>
                <w:kern w:val="0"/>
                <w:sz w:val="21"/>
                <w:szCs w:val="21"/>
                <w:lang w:bidi="ar"/>
              </w:rPr>
              <w:t>论证；预算内容与项目内容匹配；预算额度测算依据充分；预算确定的项目资金量与工作任务相匹配。根据评分标准，该指标得100%权重分，即4分。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资金分配合理性</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考察项目资金分配是否有测算依据，预算安排内容与专项资金的设立目的及年度工作重点是否一致，用以反映和考核项目预算资金分配的科学性、合理性。</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合理</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①项目资金分配有测算依据得1/2权重分；</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②根据预算安排内容与专项资金的设立目的及年度工作重点的匹配程度判断，分别得年度剩余权重的100%、75%、50%、25%和0%。</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该项目未涉及分项资金分配，预算安排内容与专项资金的设立目的及年度工作重点的匹配。根据评分标准，该指标得100%权重分，即4分。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过程</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（20分）</w:t>
            </w:r>
          </w:p>
        </w:tc>
        <w:tc>
          <w:tcPr>
            <w:tcW w:w="437"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资金管理（8分）</w:t>
            </w: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资金到位率</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2</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实际到位资金与预算资金的比率，用以反映和考核资金落实情况对项目实施的总体保障程度。资金到位率=（实际到位资金/预算资金）*100%。</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资金到位率达100%得相应权重的100%，每下降1%扣5%权重，扣完相应权重为止。</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该项目总投资金额</w:t>
            </w:r>
            <w:r>
              <w:rPr>
                <w:rFonts w:hint="eastAsia" w:ascii="仿宋_GB2312" w:hAnsi="仿宋_GB2312" w:cs="仿宋_GB2312"/>
                <w:color w:val="000000"/>
                <w:kern w:val="0"/>
                <w:sz w:val="21"/>
                <w:szCs w:val="21"/>
                <w:lang w:val="en-US" w:eastAsia="zh-CN" w:bidi="ar"/>
              </w:rPr>
              <w:t>7334.84万元。截至2023年6月30日，预算资金6325.75万元，</w:t>
            </w:r>
            <w:r>
              <w:rPr>
                <w:rFonts w:hint="eastAsia" w:ascii="仿宋_GB2312" w:hAnsi="仿宋_GB2312" w:cs="仿宋_GB2312"/>
                <w:color w:val="000000"/>
                <w:kern w:val="0"/>
                <w:sz w:val="21"/>
                <w:szCs w:val="21"/>
                <w:lang w:bidi="ar"/>
              </w:rPr>
              <w:t>实际到位</w:t>
            </w:r>
            <w:r>
              <w:rPr>
                <w:rFonts w:hint="eastAsia" w:ascii="仿宋_GB2312" w:hAnsi="仿宋_GB2312" w:cs="仿宋_GB2312"/>
                <w:color w:val="000000"/>
                <w:kern w:val="0"/>
                <w:sz w:val="21"/>
                <w:szCs w:val="21"/>
                <w:lang w:val="en-US" w:eastAsia="zh-CN" w:bidi="ar"/>
              </w:rPr>
              <w:t>6325.75</w:t>
            </w:r>
            <w:r>
              <w:rPr>
                <w:rFonts w:hint="eastAsia" w:ascii="仿宋_GB2312" w:hAnsi="仿宋_GB2312" w:cs="仿宋_GB2312"/>
                <w:color w:val="000000"/>
                <w:kern w:val="0"/>
                <w:sz w:val="21"/>
                <w:szCs w:val="21"/>
                <w:lang w:bidi="ar"/>
              </w:rPr>
              <w:t>万元</w:t>
            </w:r>
            <w:r>
              <w:rPr>
                <w:rFonts w:hint="eastAsia" w:ascii="仿宋_GB2312" w:hAnsi="仿宋_GB2312" w:cs="仿宋_GB2312"/>
                <w:color w:val="000000"/>
                <w:kern w:val="0"/>
                <w:sz w:val="21"/>
                <w:szCs w:val="21"/>
                <w:lang w:eastAsia="zh-CN" w:bidi="ar"/>
              </w:rPr>
              <w:t>，</w:t>
            </w:r>
            <w:r>
              <w:rPr>
                <w:rFonts w:hint="eastAsia" w:ascii="仿宋_GB2312" w:hAnsi="仿宋_GB2312" w:cs="仿宋_GB2312"/>
                <w:color w:val="000000"/>
                <w:kern w:val="0"/>
                <w:sz w:val="21"/>
                <w:szCs w:val="21"/>
                <w:lang w:bidi="ar"/>
              </w:rPr>
              <w:t>资金到位率为100%。根据评分标准，该指标得100%权重分，即2.00分。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2.00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预算执行率</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项目预算资金是否按照计划执行，用以反映或考核项目预算执行情况。预算执行率=（实际支出金额/实际到位资金）×100%。</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得分=预算执行率×权重分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该项目总投资金额</w:t>
            </w:r>
            <w:r>
              <w:rPr>
                <w:rFonts w:hint="eastAsia" w:ascii="仿宋_GB2312" w:hAnsi="仿宋_GB2312" w:cs="仿宋_GB2312"/>
                <w:color w:val="000000"/>
                <w:kern w:val="0"/>
                <w:sz w:val="21"/>
                <w:szCs w:val="21"/>
                <w:lang w:val="en-US" w:eastAsia="zh-CN" w:bidi="ar"/>
              </w:rPr>
              <w:t>7334.84万元。截至2023年6月30日，预算资金6325.75万元，</w:t>
            </w:r>
            <w:r>
              <w:rPr>
                <w:rFonts w:hint="eastAsia" w:ascii="仿宋_GB2312" w:hAnsi="仿宋_GB2312" w:cs="仿宋_GB2312"/>
                <w:color w:val="000000"/>
                <w:kern w:val="0"/>
                <w:sz w:val="21"/>
                <w:szCs w:val="21"/>
                <w:lang w:eastAsia="zh-CN" w:bidi="ar"/>
              </w:rPr>
              <w:t>实际支出</w:t>
            </w:r>
            <w:r>
              <w:rPr>
                <w:rFonts w:hint="eastAsia" w:ascii="仿宋_GB2312" w:hAnsi="仿宋_GB2312" w:cs="仿宋_GB2312"/>
                <w:color w:val="000000"/>
                <w:kern w:val="0"/>
                <w:sz w:val="21"/>
                <w:szCs w:val="21"/>
                <w:lang w:val="en-US" w:eastAsia="zh-CN" w:bidi="ar"/>
              </w:rPr>
              <w:t>6325.75</w:t>
            </w:r>
            <w:r>
              <w:rPr>
                <w:rFonts w:hint="eastAsia" w:ascii="仿宋_GB2312" w:hAnsi="仿宋_GB2312" w:cs="仿宋_GB2312"/>
                <w:color w:val="000000"/>
                <w:kern w:val="0"/>
                <w:sz w:val="21"/>
                <w:szCs w:val="21"/>
                <w:lang w:bidi="ar"/>
              </w:rPr>
              <w:t>万元</w:t>
            </w:r>
            <w:r>
              <w:rPr>
                <w:rFonts w:hint="eastAsia" w:ascii="仿宋_GB2312" w:hAnsi="仿宋_GB2312" w:cs="仿宋_GB2312"/>
                <w:color w:val="000000"/>
                <w:kern w:val="0"/>
                <w:sz w:val="21"/>
                <w:szCs w:val="21"/>
                <w:lang w:eastAsia="zh-CN" w:bidi="ar"/>
              </w:rPr>
              <w:t>，</w:t>
            </w:r>
            <w:r>
              <w:rPr>
                <w:rFonts w:hint="eastAsia" w:ascii="仿宋_GB2312" w:hAnsi="仿宋_GB2312" w:cs="仿宋_GB2312"/>
                <w:color w:val="000000"/>
                <w:kern w:val="0"/>
                <w:sz w:val="21"/>
                <w:szCs w:val="21"/>
                <w:lang w:bidi="ar"/>
              </w:rPr>
              <w:t>预算执行率为</w:t>
            </w:r>
            <w:r>
              <w:rPr>
                <w:rFonts w:hint="eastAsia" w:ascii="仿宋_GB2312" w:hAnsi="仿宋_GB2312" w:cs="仿宋_GB2312"/>
                <w:color w:val="000000"/>
                <w:kern w:val="0"/>
                <w:sz w:val="21"/>
                <w:szCs w:val="21"/>
                <w:lang w:val="en-US" w:eastAsia="zh-CN" w:bidi="ar"/>
              </w:rPr>
              <w:t>100</w:t>
            </w:r>
            <w:r>
              <w:rPr>
                <w:rFonts w:hint="eastAsia" w:ascii="仿宋_GB2312" w:hAnsi="仿宋_GB2312" w:cs="仿宋_GB2312"/>
                <w:color w:val="000000"/>
                <w:kern w:val="0"/>
                <w:sz w:val="21"/>
                <w:szCs w:val="21"/>
                <w:lang w:bidi="ar"/>
              </w:rPr>
              <w:t>%。根据评分标准，该指标得</w:t>
            </w:r>
            <w:r>
              <w:rPr>
                <w:rFonts w:hint="eastAsia" w:ascii="仿宋_GB2312" w:hAnsi="仿宋_GB2312" w:cs="仿宋_GB2312"/>
                <w:color w:val="000000"/>
                <w:kern w:val="0"/>
                <w:sz w:val="21"/>
                <w:szCs w:val="21"/>
                <w:lang w:val="en-US" w:eastAsia="zh-CN" w:bidi="ar"/>
              </w:rPr>
              <w:t>100</w:t>
            </w:r>
            <w:r>
              <w:rPr>
                <w:rFonts w:hint="eastAsia" w:ascii="仿宋_GB2312" w:hAnsi="仿宋_GB2312" w:cs="仿宋_GB2312"/>
                <w:color w:val="000000"/>
                <w:kern w:val="0"/>
                <w:sz w:val="21"/>
                <w:szCs w:val="21"/>
                <w:lang w:bidi="ar"/>
              </w:rPr>
              <w:t>%权重分，即</w:t>
            </w:r>
            <w:r>
              <w:rPr>
                <w:rFonts w:hint="eastAsia" w:ascii="仿宋_GB2312" w:hAnsi="仿宋_GB2312" w:cs="仿宋_GB2312"/>
                <w:color w:val="000000"/>
                <w:kern w:val="0"/>
                <w:sz w:val="21"/>
                <w:szCs w:val="21"/>
                <w:lang w:val="en-US" w:eastAsia="zh-CN" w:bidi="ar"/>
              </w:rPr>
              <w:t>4</w:t>
            </w:r>
            <w:r>
              <w:rPr>
                <w:rFonts w:hint="eastAsia" w:ascii="仿宋_GB2312" w:hAnsi="仿宋_GB2312" w:cs="仿宋_GB2312"/>
                <w:color w:val="000000"/>
                <w:kern w:val="0"/>
                <w:sz w:val="21"/>
                <w:szCs w:val="21"/>
                <w:lang w:bidi="ar"/>
              </w:rPr>
              <w:t>分。</w:t>
            </w:r>
          </w:p>
        </w:tc>
        <w:tc>
          <w:tcPr>
            <w:tcW w:w="258" w:type="pct"/>
            <w:noWrap w:val="0"/>
            <w:vAlign w:val="center"/>
          </w:tcPr>
          <w:p>
            <w:pPr>
              <w:widowControl/>
              <w:adjustRightInd w:val="0"/>
              <w:snapToGrid w:val="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4.00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val="en-US" w:eastAsia="zh-CN" w:bidi="ar"/>
              </w:rPr>
              <w:t>100</w:t>
            </w:r>
            <w:r>
              <w:rPr>
                <w:rFonts w:hint="eastAsia" w:ascii="仿宋_GB2312" w:hAnsi="仿宋_GB2312" w:cs="仿宋_GB2312"/>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9"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资金使用合规性</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2</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项目资金使用是否符合相关的财务管理制度规定，用以反映和考核项目资金的规范运行情况。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合规</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①符合国家财经法规和财务管理制度以及有关专项资金管理办法的规定；</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②资金的拨付有完整的审批程序和手续；</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③符合项目预算批复或合同规定的用途；</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④不存在截留、挤占、挪用、虚列支出等情况。</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4项全部符合视为使用合规，得满分；存在①或③或④不满足时属于严重违规事项，本项指标不得分；在①③④同时符合，②不符合时，本项指标得75%权重分；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w:t>
            </w:r>
            <w:r>
              <w:rPr>
                <w:rFonts w:hint="eastAsia" w:ascii="仿宋_GB2312" w:hAnsi="仿宋_GB2312" w:cs="仿宋_GB2312"/>
                <w:color w:val="000000"/>
                <w:kern w:val="0"/>
                <w:sz w:val="21"/>
                <w:szCs w:val="21"/>
                <w:lang w:bidi="ar"/>
              </w:rPr>
              <w:t>项目符合国家财经法规和财务管理制度以及专项资金管理办法的规定，资金的拨付有完整的审批程序和手续，符合项目预算批复或合同规定的用途，不存在截留、挤占、挪用、虚列支出等情况。根据评分标准，该指标得100%权重分，即2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2.00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组织实施（12分）</w:t>
            </w: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管理制度健全性</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项目实施单位的管理制度是否健全，是否已制定或具有相应的财务和业务管理制度，财务和业务管理制度是否合法、合规、完整。用以反映和考核财务和业务管理制度对项目顺利实施的保障情况。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健全</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①制定或具有相应的财务管理制度；</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②制定或具有相应的业务管理制度；                            ③牵头跨部门资金应建立组织调度、协同推进等相关机制；</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④财务管理制度合法、合规、完整；</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⑤业务管理制度合法、合规、完整。</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5项各占1/5权重分，每有一项不满足，则扣除相应权重分。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一是单位已制定财务管理制度且合法、合规、完整；二是单位该项目管理按照相关合同执行，合法、合规。根据评分标准，该指标得100%权重分，即</w:t>
            </w:r>
            <w:r>
              <w:rPr>
                <w:rFonts w:hint="eastAsia" w:ascii="仿宋_GB2312" w:hAnsi="仿宋_GB2312" w:cs="仿宋_GB2312"/>
                <w:color w:val="000000"/>
                <w:kern w:val="0"/>
                <w:sz w:val="21"/>
                <w:szCs w:val="21"/>
                <w:lang w:val="en-US" w:eastAsia="zh-CN" w:bidi="ar"/>
              </w:rPr>
              <w:t>4</w:t>
            </w:r>
            <w:r>
              <w:rPr>
                <w:rFonts w:hint="eastAsia" w:ascii="仿宋_GB2312" w:hAnsi="仿宋_GB2312" w:cs="仿宋_GB2312"/>
                <w:color w:val="000000"/>
                <w:kern w:val="0"/>
                <w:sz w:val="21"/>
                <w:szCs w:val="21"/>
                <w:lang w:bidi="ar"/>
              </w:rPr>
              <w:t>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制度执行有效性</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政府采购合规性</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项目实施是否符合相关管理规定，用以反映和考核相关管理制度的有效执行情况。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Hans" w:bidi="ar"/>
              </w:rPr>
              <w:t>规范</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①政府采购遵守相关法律法规和相关管理规定；</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②政府采购资料完整、准确；</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每有一项不满足，则扣除相应权重分。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该项目政府采购程序合规合法，采购资料完整保存归档。根据评分标准，该指标得100%权重分，即</w:t>
            </w:r>
            <w:r>
              <w:rPr>
                <w:rFonts w:hint="eastAsia" w:ascii="仿宋_GB2312" w:hAnsi="仿宋_GB2312" w:cs="仿宋_GB2312"/>
                <w:color w:val="000000"/>
                <w:kern w:val="0"/>
                <w:sz w:val="21"/>
                <w:szCs w:val="21"/>
                <w:lang w:val="en-US" w:eastAsia="zh-CN" w:bidi="ar"/>
              </w:rPr>
              <w:t>4</w:t>
            </w:r>
            <w:r>
              <w:rPr>
                <w:rFonts w:hint="eastAsia" w:ascii="仿宋_GB2312" w:hAnsi="仿宋_GB2312" w:cs="仿宋_GB2312"/>
                <w:color w:val="000000"/>
                <w:kern w:val="0"/>
                <w:sz w:val="21"/>
                <w:szCs w:val="21"/>
                <w:lang w:bidi="ar"/>
              </w:rPr>
              <w:t>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0"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合同管理规范性</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4</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项目实施是否符合相关管理规定，用以反映和考核相关管理制度的有效执行情况。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Hans" w:bidi="ar"/>
              </w:rPr>
              <w:t>规范</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①合同签订遵守相关法律法规和相关管理规定；</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②合同内容完整、准确；</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每有一项不满足，则扣除相应权重分。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该项目</w:t>
            </w:r>
            <w:r>
              <w:rPr>
                <w:rFonts w:hint="eastAsia" w:ascii="仿宋_GB2312" w:hAnsi="仿宋_GB2312" w:cs="仿宋_GB2312"/>
                <w:color w:val="000000"/>
                <w:kern w:val="0"/>
                <w:sz w:val="21"/>
                <w:szCs w:val="21"/>
                <w:lang w:bidi="ar"/>
              </w:rPr>
              <w:t>合同签订遵守相关法律法规和相关管理规定</w:t>
            </w:r>
            <w:r>
              <w:rPr>
                <w:rFonts w:hint="eastAsia" w:ascii="仿宋_GB2312" w:hAnsi="仿宋_GB2312" w:cs="仿宋_GB2312"/>
                <w:color w:val="000000"/>
                <w:kern w:val="0"/>
                <w:sz w:val="21"/>
                <w:szCs w:val="21"/>
                <w:lang w:eastAsia="zh-CN" w:bidi="ar"/>
              </w:rPr>
              <w:t>，</w:t>
            </w:r>
            <w:r>
              <w:rPr>
                <w:rFonts w:hint="eastAsia" w:ascii="仿宋_GB2312" w:hAnsi="仿宋_GB2312" w:cs="仿宋_GB2312"/>
                <w:color w:val="000000"/>
                <w:kern w:val="0"/>
                <w:sz w:val="21"/>
                <w:szCs w:val="21"/>
                <w:lang w:bidi="ar"/>
              </w:rPr>
              <w:t>合同内容完整、准确</w:t>
            </w:r>
            <w:r>
              <w:rPr>
                <w:rFonts w:hint="eastAsia" w:ascii="仿宋_GB2312" w:hAnsi="仿宋_GB2312" w:cs="仿宋_GB2312"/>
                <w:color w:val="000000"/>
                <w:kern w:val="0"/>
                <w:sz w:val="21"/>
                <w:szCs w:val="21"/>
                <w:lang w:eastAsia="zh-CN" w:bidi="ar"/>
              </w:rPr>
              <w:t>。</w:t>
            </w:r>
            <w:r>
              <w:rPr>
                <w:rFonts w:hint="eastAsia" w:ascii="仿宋_GB2312" w:hAnsi="仿宋_GB2312" w:cs="仿宋_GB2312"/>
                <w:color w:val="000000"/>
                <w:kern w:val="0"/>
                <w:sz w:val="21"/>
                <w:szCs w:val="21"/>
                <w:lang w:bidi="ar"/>
              </w:rPr>
              <w:t>根据评分标准，该指标得</w:t>
            </w:r>
            <w:r>
              <w:rPr>
                <w:rFonts w:hint="eastAsia" w:ascii="仿宋_GB2312" w:hAnsi="仿宋_GB2312" w:cs="仿宋_GB2312"/>
                <w:color w:val="000000"/>
                <w:kern w:val="0"/>
                <w:sz w:val="21"/>
                <w:szCs w:val="21"/>
                <w:lang w:val="en-US" w:eastAsia="zh-CN" w:bidi="ar"/>
              </w:rPr>
              <w:t>100</w:t>
            </w:r>
            <w:r>
              <w:rPr>
                <w:rFonts w:hint="eastAsia" w:ascii="仿宋_GB2312" w:hAnsi="仿宋_GB2312" w:cs="仿宋_GB2312"/>
                <w:color w:val="000000"/>
                <w:kern w:val="0"/>
                <w:sz w:val="21"/>
                <w:szCs w:val="21"/>
                <w:lang w:bidi="ar"/>
              </w:rPr>
              <w:t>%权重分，即</w:t>
            </w:r>
            <w:r>
              <w:rPr>
                <w:rFonts w:hint="eastAsia" w:ascii="仿宋_GB2312" w:hAnsi="仿宋_GB2312" w:cs="仿宋_GB2312"/>
                <w:color w:val="000000"/>
                <w:kern w:val="0"/>
                <w:sz w:val="21"/>
                <w:szCs w:val="21"/>
                <w:lang w:val="en-US" w:eastAsia="zh-CN" w:bidi="ar"/>
              </w:rPr>
              <w:t>4</w:t>
            </w:r>
            <w:r>
              <w:rPr>
                <w:rFonts w:hint="eastAsia" w:ascii="仿宋_GB2312" w:hAnsi="仿宋_GB2312" w:cs="仿宋_GB2312"/>
                <w:color w:val="000000"/>
                <w:kern w:val="0"/>
                <w:sz w:val="21"/>
                <w:szCs w:val="21"/>
                <w:lang w:bidi="ar"/>
              </w:rPr>
              <w:t>分。</w:t>
            </w:r>
          </w:p>
        </w:tc>
        <w:tc>
          <w:tcPr>
            <w:tcW w:w="258" w:type="pct"/>
            <w:noWrap w:val="0"/>
            <w:vAlign w:val="center"/>
          </w:tcPr>
          <w:p>
            <w:pPr>
              <w:widowControl/>
              <w:adjustRightInd w:val="0"/>
              <w:snapToGrid w:val="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4.00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val="en-US" w:eastAsia="zh-CN" w:bidi="ar"/>
              </w:rPr>
              <w:t>100</w:t>
            </w:r>
            <w:r>
              <w:rPr>
                <w:rFonts w:hint="eastAsia" w:ascii="仿宋_GB2312" w:hAnsi="仿宋_GB2312" w:cs="仿宋_GB2312"/>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377"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产出</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(25分）</w:t>
            </w:r>
          </w:p>
        </w:tc>
        <w:tc>
          <w:tcPr>
            <w:tcW w:w="43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产出数量（10分）</w:t>
            </w: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实际完成率</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val="en-US" w:eastAsia="zh-CN" w:bidi="ar"/>
              </w:rPr>
              <w:t>项目实际</w:t>
            </w:r>
            <w:r>
              <w:rPr>
                <w:rFonts w:hint="eastAsia" w:ascii="仿宋_GB2312" w:hAnsi="仿宋_GB2312" w:cs="仿宋_GB2312"/>
                <w:color w:val="000000"/>
                <w:kern w:val="0"/>
                <w:sz w:val="21"/>
                <w:szCs w:val="21"/>
                <w:lang w:bidi="ar"/>
              </w:rPr>
              <w:t>完成率</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考察</w:t>
            </w:r>
            <w:r>
              <w:rPr>
                <w:rFonts w:hint="eastAsia" w:ascii="仿宋_GB2312" w:hAnsi="仿宋_GB2312" w:cs="仿宋_GB2312"/>
                <w:color w:val="000000"/>
                <w:kern w:val="0"/>
                <w:sz w:val="21"/>
                <w:szCs w:val="21"/>
                <w:lang w:val="en-US" w:eastAsia="zh-CN" w:bidi="ar"/>
              </w:rPr>
              <w:t>2号邻里中心工程</w:t>
            </w:r>
            <w:r>
              <w:rPr>
                <w:rFonts w:hint="eastAsia" w:ascii="仿宋_GB2312" w:hAnsi="仿宋_GB2312" w:cs="仿宋_GB2312"/>
                <w:color w:val="000000"/>
                <w:kern w:val="0"/>
                <w:sz w:val="21"/>
                <w:szCs w:val="21"/>
                <w:lang w:bidi="ar"/>
              </w:rPr>
              <w:t>完成情况。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Hans" w:bidi="ar"/>
              </w:rPr>
              <w:t>工程</w:t>
            </w:r>
            <w:r>
              <w:rPr>
                <w:rFonts w:hint="eastAsia" w:ascii="仿宋_GB2312" w:hAnsi="仿宋_GB2312" w:cs="仿宋_GB2312"/>
                <w:color w:val="000000"/>
                <w:kern w:val="0"/>
                <w:sz w:val="21"/>
                <w:szCs w:val="21"/>
                <w:lang w:bidi="ar"/>
              </w:rPr>
              <w:t>完成率=（实际完成任务数/按计划应完成任务数）*100%</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完成率达100%，则得满分，每降低1%，扣除5%权重分，扣完为止。</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该项目现已投入使用，</w:t>
            </w:r>
            <w:r>
              <w:rPr>
                <w:rFonts w:hint="eastAsia" w:ascii="仿宋_GB2312" w:hAnsi="仿宋_GB2312" w:cs="仿宋_GB2312"/>
                <w:color w:val="000000"/>
                <w:kern w:val="0"/>
                <w:sz w:val="21"/>
                <w:szCs w:val="21"/>
                <w:lang w:bidi="ar"/>
              </w:rPr>
              <w:t>实际完成率100%</w:t>
            </w:r>
            <w:r>
              <w:rPr>
                <w:rFonts w:hint="eastAsia" w:ascii="仿宋_GB2312" w:hAnsi="仿宋_GB2312" w:cs="仿宋_GB2312"/>
                <w:color w:val="000000"/>
                <w:kern w:val="0"/>
                <w:sz w:val="21"/>
                <w:szCs w:val="21"/>
                <w:lang w:eastAsia="zh-Hans" w:bidi="ar"/>
              </w:rPr>
              <w:t>。根据评分标准，该指标得</w:t>
            </w:r>
            <w:r>
              <w:rPr>
                <w:rFonts w:hint="eastAsia" w:ascii="仿宋_GB2312" w:hAnsi="仿宋_GB2312" w:cs="仿宋_GB2312"/>
                <w:color w:val="000000"/>
                <w:kern w:val="0"/>
                <w:sz w:val="21"/>
                <w:szCs w:val="21"/>
                <w:lang w:bidi="ar"/>
              </w:rPr>
              <w:t>10</w:t>
            </w:r>
            <w:r>
              <w:rPr>
                <w:rFonts w:hint="eastAsia" w:ascii="仿宋_GB2312" w:hAnsi="仿宋_GB2312" w:cs="仿宋_GB2312"/>
                <w:color w:val="000000"/>
                <w:kern w:val="0"/>
                <w:sz w:val="21"/>
                <w:szCs w:val="21"/>
                <w:lang w:eastAsia="zh-Hans" w:bidi="ar"/>
              </w:rPr>
              <w:t>0%权重分，即</w:t>
            </w:r>
            <w:r>
              <w:rPr>
                <w:rFonts w:hint="eastAsia" w:ascii="仿宋_GB2312" w:hAnsi="仿宋_GB2312" w:cs="仿宋_GB2312"/>
                <w:color w:val="000000"/>
                <w:kern w:val="0"/>
                <w:sz w:val="21"/>
                <w:szCs w:val="21"/>
                <w:lang w:bidi="ar"/>
              </w:rPr>
              <w:t>10</w:t>
            </w:r>
            <w:r>
              <w:rPr>
                <w:rFonts w:hint="eastAsia" w:ascii="仿宋_GB2312" w:hAnsi="仿宋_GB2312" w:cs="仿宋_GB2312"/>
                <w:color w:val="000000"/>
                <w:kern w:val="0"/>
                <w:sz w:val="21"/>
                <w:szCs w:val="21"/>
                <w:lang w:eastAsia="zh-Hans" w:bidi="ar"/>
              </w:rPr>
              <w:t>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产出质量（5分）</w:t>
            </w: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质量达标率</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项目验收合格率</w:t>
            </w:r>
          </w:p>
        </w:tc>
        <w:tc>
          <w:tcPr>
            <w:tcW w:w="224" w:type="pct"/>
            <w:noWrap/>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5</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考察</w:t>
            </w:r>
            <w:r>
              <w:rPr>
                <w:rFonts w:hint="eastAsia" w:ascii="仿宋_GB2312" w:hAnsi="仿宋_GB2312" w:cs="仿宋_GB2312"/>
                <w:color w:val="000000"/>
                <w:kern w:val="0"/>
                <w:sz w:val="21"/>
                <w:szCs w:val="21"/>
                <w:lang w:val="en-US" w:eastAsia="zh-CN" w:bidi="ar"/>
              </w:rPr>
              <w:t>2号邻里中心工程</w:t>
            </w:r>
            <w:r>
              <w:rPr>
                <w:rFonts w:hint="eastAsia" w:ascii="仿宋_GB2312" w:hAnsi="仿宋_GB2312" w:cs="仿宋_GB2312"/>
                <w:color w:val="000000"/>
                <w:kern w:val="0"/>
                <w:sz w:val="21"/>
                <w:szCs w:val="21"/>
                <w:lang w:eastAsia="zh-Hans" w:bidi="ar"/>
              </w:rPr>
              <w:t>验收情况</w:t>
            </w:r>
            <w:r>
              <w:rPr>
                <w:rFonts w:hint="eastAsia" w:ascii="仿宋_GB2312" w:hAnsi="仿宋_GB2312" w:cs="仿宋_GB2312"/>
                <w:color w:val="000000"/>
                <w:kern w:val="0"/>
                <w:sz w:val="21"/>
                <w:szCs w:val="21"/>
                <w:lang w:bidi="ar"/>
              </w:rPr>
              <w:t>。</w:t>
            </w:r>
          </w:p>
        </w:tc>
        <w:tc>
          <w:tcPr>
            <w:tcW w:w="276" w:type="pct"/>
            <w:noWrap/>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验收合格率=（</w:t>
            </w:r>
            <w:r>
              <w:rPr>
                <w:rFonts w:hint="eastAsia" w:ascii="仿宋_GB2312" w:hAnsi="仿宋_GB2312" w:cs="仿宋_GB2312"/>
                <w:color w:val="000000"/>
                <w:kern w:val="0"/>
                <w:sz w:val="21"/>
                <w:szCs w:val="21"/>
                <w:lang w:eastAsia="zh-Hans" w:bidi="ar"/>
              </w:rPr>
              <w:t>验收合格</w:t>
            </w:r>
            <w:r>
              <w:rPr>
                <w:rFonts w:hint="eastAsia" w:ascii="仿宋_GB2312" w:hAnsi="仿宋_GB2312" w:cs="仿宋_GB2312"/>
                <w:color w:val="000000"/>
                <w:kern w:val="0"/>
                <w:sz w:val="21"/>
                <w:szCs w:val="21"/>
                <w:lang w:bidi="ar"/>
              </w:rPr>
              <w:t>工作数/工作数）；</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验收合格率达100%，则得满分，每降低1%，扣除5%权重分，扣完为止。</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该项目于</w:t>
            </w:r>
            <w:r>
              <w:rPr>
                <w:rFonts w:hint="eastAsia" w:ascii="仿宋_GB2312" w:hAnsi="仿宋_GB2312" w:cs="仿宋_GB2312"/>
                <w:color w:val="000000"/>
                <w:kern w:val="0"/>
                <w:sz w:val="21"/>
                <w:szCs w:val="21"/>
                <w:lang w:val="en-US" w:eastAsia="zh-CN" w:bidi="ar"/>
              </w:rPr>
              <w:t>2021年4月19日竣工验收，并报区城建局备案。</w:t>
            </w:r>
            <w:r>
              <w:rPr>
                <w:rFonts w:hint="eastAsia" w:ascii="仿宋_GB2312" w:hAnsi="仿宋_GB2312" w:cs="仿宋_GB2312"/>
                <w:color w:val="000000"/>
                <w:kern w:val="0"/>
                <w:sz w:val="21"/>
                <w:szCs w:val="21"/>
                <w:lang w:bidi="ar"/>
              </w:rPr>
              <w:t>根据评分标准，该指标得100%权重分，即5分。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5.00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产出时效</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（5分）</w:t>
            </w: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完成及时率</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Hans" w:bidi="ar"/>
              </w:rPr>
              <w:t>项目完成</w:t>
            </w:r>
            <w:r>
              <w:rPr>
                <w:rFonts w:hint="eastAsia" w:ascii="仿宋_GB2312" w:hAnsi="仿宋_GB2312" w:cs="仿宋_GB2312"/>
                <w:color w:val="000000"/>
                <w:kern w:val="0"/>
                <w:sz w:val="21"/>
                <w:szCs w:val="21"/>
                <w:lang w:bidi="ar"/>
              </w:rPr>
              <w:t>及时率</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5</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考察</w:t>
            </w:r>
            <w:r>
              <w:rPr>
                <w:rFonts w:hint="eastAsia" w:ascii="仿宋_GB2312" w:hAnsi="仿宋_GB2312" w:cs="仿宋_GB2312"/>
                <w:color w:val="000000"/>
                <w:kern w:val="0"/>
                <w:sz w:val="21"/>
                <w:szCs w:val="21"/>
                <w:lang w:val="en-US" w:eastAsia="zh-CN" w:bidi="ar"/>
              </w:rPr>
              <w:t>2号邻里中心工程</w:t>
            </w:r>
            <w:r>
              <w:rPr>
                <w:rFonts w:hint="eastAsia" w:ascii="仿宋_GB2312" w:hAnsi="仿宋_GB2312" w:cs="仿宋_GB2312"/>
                <w:color w:val="000000"/>
                <w:kern w:val="0"/>
                <w:sz w:val="21"/>
                <w:szCs w:val="21"/>
                <w:lang w:bidi="ar"/>
              </w:rPr>
              <w:t>完成及时性情况。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Hans" w:bidi="ar"/>
              </w:rPr>
              <w:t>工程</w:t>
            </w:r>
            <w:r>
              <w:rPr>
                <w:rFonts w:hint="eastAsia" w:ascii="仿宋_GB2312" w:hAnsi="仿宋_GB2312" w:cs="仿宋_GB2312"/>
                <w:color w:val="000000"/>
                <w:kern w:val="0"/>
                <w:sz w:val="21"/>
                <w:szCs w:val="21"/>
                <w:lang w:bidi="ar"/>
              </w:rPr>
              <w:t>完成及时率达100%，则得满分，未达到，根据专家判断得相应75%、50%、25%和0%权重分。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该项目</w:t>
            </w:r>
            <w:r>
              <w:rPr>
                <w:rFonts w:hint="eastAsia" w:ascii="仿宋_GB2312" w:hAnsi="仿宋_GB2312" w:cs="仿宋_GB2312"/>
                <w:color w:val="000000"/>
                <w:kern w:val="0"/>
                <w:sz w:val="21"/>
                <w:szCs w:val="21"/>
                <w:lang w:eastAsia="zh-Hans" w:bidi="ar"/>
              </w:rPr>
              <w:t>自</w:t>
            </w:r>
            <w:r>
              <w:rPr>
                <w:rFonts w:hint="eastAsia" w:ascii="仿宋_GB2312" w:hAnsi="仿宋_GB2312" w:cs="仿宋_GB2312"/>
                <w:color w:val="000000"/>
                <w:kern w:val="0"/>
                <w:sz w:val="21"/>
                <w:szCs w:val="21"/>
                <w:lang w:val="en-US" w:eastAsia="zh-CN" w:bidi="ar"/>
              </w:rPr>
              <w:t>2020年6月22日开工，2021年4月19日竣工验收，已</w:t>
            </w:r>
            <w:r>
              <w:rPr>
                <w:rFonts w:hint="eastAsia" w:ascii="仿宋_GB2312" w:hAnsi="仿宋_GB2312" w:cs="仿宋_GB2312"/>
                <w:color w:val="000000"/>
                <w:kern w:val="0"/>
                <w:sz w:val="21"/>
                <w:szCs w:val="21"/>
                <w:lang w:eastAsia="zh-Hans" w:bidi="ar"/>
              </w:rPr>
              <w:t>完成全部施工内容</w:t>
            </w:r>
            <w:r>
              <w:rPr>
                <w:rFonts w:hint="eastAsia" w:ascii="仿宋_GB2312" w:hAnsi="仿宋_GB2312" w:cs="仿宋_GB2312"/>
                <w:color w:val="000000"/>
                <w:kern w:val="0"/>
                <w:sz w:val="21"/>
                <w:szCs w:val="21"/>
                <w:lang w:bidi="ar"/>
              </w:rPr>
              <w:t>。综合评价，该指标得100%权重分，即5分。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5.00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3"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产出成本</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（5分）</w:t>
            </w: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成本节约率</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项目成本控制率</w:t>
            </w:r>
          </w:p>
        </w:tc>
        <w:tc>
          <w:tcPr>
            <w:tcW w:w="224"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5</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控制在批复的预算内的项目个数/已完成支付的预算项目总个数×100%</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得分=项目成本控制率×权重分。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该项目概算总投资为</w:t>
            </w:r>
            <w:r>
              <w:rPr>
                <w:rFonts w:hint="eastAsia" w:ascii="仿宋_GB2312" w:hAnsi="仿宋_GB2312" w:cs="仿宋_GB2312"/>
                <w:color w:val="000000"/>
                <w:kern w:val="0"/>
                <w:sz w:val="21"/>
                <w:szCs w:val="21"/>
                <w:lang w:val="en-US" w:eastAsia="zh-CN" w:bidi="ar"/>
              </w:rPr>
              <w:t>7598万元，实际总投资为7334.84万元，项目成本控制有效。</w:t>
            </w:r>
            <w:r>
              <w:rPr>
                <w:rFonts w:hint="eastAsia" w:ascii="仿宋_GB2312" w:hAnsi="仿宋_GB2312" w:cs="仿宋_GB2312"/>
                <w:color w:val="000000"/>
                <w:kern w:val="0"/>
                <w:sz w:val="21"/>
                <w:szCs w:val="21"/>
                <w:lang w:bidi="ar"/>
              </w:rPr>
              <w:t>根据评分标准，该指标得100%权重分，即5.00分。</w:t>
            </w:r>
          </w:p>
        </w:tc>
        <w:tc>
          <w:tcPr>
            <w:tcW w:w="258"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5.00</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0" w:hRule="atLeast"/>
        </w:trPr>
        <w:tc>
          <w:tcPr>
            <w:tcW w:w="377"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效益</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（35分）</w:t>
            </w:r>
          </w:p>
        </w:tc>
        <w:tc>
          <w:tcPr>
            <w:tcW w:w="437"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项目效益（</w:t>
            </w:r>
            <w:r>
              <w:rPr>
                <w:rFonts w:hint="eastAsia" w:ascii="仿宋_GB2312" w:hAnsi="仿宋_GB2312" w:cs="仿宋_GB2312"/>
                <w:color w:val="000000"/>
                <w:kern w:val="0"/>
                <w:sz w:val="21"/>
                <w:szCs w:val="21"/>
                <w:lang w:val="en-US" w:eastAsia="zh-CN" w:bidi="ar"/>
              </w:rPr>
              <w:t>30</w:t>
            </w:r>
            <w:r>
              <w:rPr>
                <w:rFonts w:hint="eastAsia" w:ascii="仿宋_GB2312" w:hAnsi="仿宋_GB2312" w:cs="仿宋_GB2312"/>
                <w:color w:val="000000"/>
                <w:kern w:val="0"/>
                <w:sz w:val="21"/>
                <w:szCs w:val="21"/>
                <w:lang w:bidi="ar"/>
              </w:rPr>
              <w:t>分）</w:t>
            </w:r>
          </w:p>
        </w:tc>
        <w:tc>
          <w:tcPr>
            <w:tcW w:w="329" w:type="pct"/>
            <w:vMerge w:val="restar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社会效益</w:t>
            </w:r>
          </w:p>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工程事故发生数</w:t>
            </w:r>
          </w:p>
        </w:tc>
        <w:tc>
          <w:tcPr>
            <w:tcW w:w="224"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6</w:t>
            </w:r>
          </w:p>
        </w:tc>
        <w:tc>
          <w:tcPr>
            <w:tcW w:w="647"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考察工程建设期间事故及安全事故发生情况。</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0起</w:t>
            </w:r>
          </w:p>
        </w:tc>
        <w:tc>
          <w:tcPr>
            <w:tcW w:w="826"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未发生造成经济损失超过5万元的质量事故、未造成人员重伤及以上危害或直接经济损失未超过20万元的安全事故时，得100%权重分；否则，不得分。</w:t>
            </w:r>
          </w:p>
        </w:tc>
        <w:tc>
          <w:tcPr>
            <w:tcW w:w="965"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该</w:t>
            </w:r>
            <w:r>
              <w:rPr>
                <w:rFonts w:hint="eastAsia" w:ascii="仿宋_GB2312" w:hAnsi="仿宋_GB2312" w:cs="仿宋_GB2312"/>
                <w:color w:val="000000"/>
                <w:kern w:val="0"/>
                <w:sz w:val="21"/>
                <w:szCs w:val="21"/>
                <w:lang w:eastAsia="zh-CN" w:bidi="ar"/>
              </w:rPr>
              <w:t>项目</w:t>
            </w:r>
            <w:r>
              <w:rPr>
                <w:rFonts w:hint="eastAsia" w:ascii="仿宋_GB2312" w:hAnsi="仿宋_GB2312" w:cs="仿宋_GB2312"/>
                <w:color w:val="000000"/>
                <w:kern w:val="0"/>
                <w:sz w:val="21"/>
                <w:szCs w:val="21"/>
                <w:lang w:bidi="ar"/>
              </w:rPr>
              <w:t>未发生质量事故及安全事故。根据评分标准，该指标得100%权重分，即6分。</w:t>
            </w:r>
          </w:p>
        </w:tc>
        <w:tc>
          <w:tcPr>
            <w:tcW w:w="258" w:type="pct"/>
            <w:noWrap w:val="0"/>
            <w:vAlign w:val="center"/>
          </w:tcPr>
          <w:p>
            <w:pPr>
              <w:widowControl/>
              <w:adjustRightInd w:val="0"/>
              <w:snapToGrid w:val="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6</w:t>
            </w:r>
            <w:r>
              <w:rPr>
                <w:rFonts w:hint="eastAsia" w:ascii="仿宋_GB2312" w:hAnsi="仿宋_GB2312" w:cs="仿宋_GB2312"/>
                <w:color w:val="000000"/>
                <w:kern w:val="0"/>
                <w:sz w:val="21"/>
                <w:szCs w:val="21"/>
                <w:lang w:val="en-US" w:eastAsia="zh-CN" w:bidi="ar"/>
              </w:rPr>
              <w:t>.00</w:t>
            </w:r>
          </w:p>
        </w:tc>
        <w:tc>
          <w:tcPr>
            <w:tcW w:w="269"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86"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eastAsia="zh-CN" w:bidi="ar"/>
              </w:rPr>
              <w:t>生活服务配套问题解</w:t>
            </w:r>
            <w:r>
              <w:rPr>
                <w:rFonts w:hint="eastAsia" w:ascii="仿宋_GB2312" w:hAnsi="仿宋_GB2312" w:cs="仿宋_GB2312"/>
                <w:color w:val="000000"/>
                <w:kern w:val="0"/>
                <w:sz w:val="21"/>
                <w:szCs w:val="21"/>
                <w:lang w:bidi="ar"/>
              </w:rPr>
              <w:t>决程度</w:t>
            </w:r>
          </w:p>
        </w:tc>
        <w:tc>
          <w:tcPr>
            <w:tcW w:w="224"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6</w:t>
            </w:r>
          </w:p>
        </w:tc>
        <w:tc>
          <w:tcPr>
            <w:tcW w:w="647"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eastAsia="zh-CN" w:bidi="ar"/>
              </w:rPr>
              <w:t>考察项目对周边小区生活服务配套问题的</w:t>
            </w:r>
            <w:r>
              <w:rPr>
                <w:rFonts w:hint="eastAsia" w:ascii="仿宋_GB2312" w:hAnsi="仿宋_GB2312" w:cs="仿宋_GB2312"/>
                <w:color w:val="000000"/>
                <w:kern w:val="0"/>
                <w:sz w:val="21"/>
                <w:szCs w:val="21"/>
                <w:lang w:bidi="ar"/>
              </w:rPr>
              <w:t>解决程度。</w:t>
            </w:r>
          </w:p>
        </w:tc>
        <w:tc>
          <w:tcPr>
            <w:tcW w:w="276"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显著</w:t>
            </w:r>
          </w:p>
        </w:tc>
        <w:tc>
          <w:tcPr>
            <w:tcW w:w="826"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按照显著、较显著、一般和不显著四级进行评分。分别得100%、80%、60%和0%权重分。加权后按实际得分率得分。</w:t>
            </w:r>
          </w:p>
        </w:tc>
        <w:tc>
          <w:tcPr>
            <w:tcW w:w="965"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eastAsia="zh-CN" w:bidi="ar"/>
              </w:rPr>
              <w:t>该项目对解决周边小区生活服务配套问题效果显著。</w:t>
            </w:r>
            <w:r>
              <w:rPr>
                <w:rFonts w:hint="eastAsia" w:ascii="仿宋_GB2312" w:hAnsi="仿宋_GB2312" w:cs="仿宋_GB2312"/>
                <w:color w:val="000000"/>
                <w:kern w:val="0"/>
                <w:sz w:val="21"/>
                <w:szCs w:val="21"/>
                <w:lang w:bidi="ar"/>
              </w:rPr>
              <w:t>根据评分标准，该指标得</w:t>
            </w:r>
            <w:r>
              <w:rPr>
                <w:rFonts w:hint="eastAsia" w:ascii="仿宋_GB2312" w:hAnsi="仿宋_GB2312" w:cs="仿宋_GB2312"/>
                <w:color w:val="000000"/>
                <w:kern w:val="0"/>
                <w:sz w:val="21"/>
                <w:szCs w:val="21"/>
                <w:lang w:val="en-US" w:eastAsia="zh-CN" w:bidi="ar"/>
              </w:rPr>
              <w:t>100</w:t>
            </w:r>
            <w:r>
              <w:rPr>
                <w:rFonts w:hint="eastAsia" w:ascii="仿宋_GB2312" w:hAnsi="仿宋_GB2312" w:cs="仿宋_GB2312"/>
                <w:color w:val="000000"/>
                <w:kern w:val="0"/>
                <w:sz w:val="21"/>
                <w:szCs w:val="21"/>
                <w:lang w:bidi="ar"/>
              </w:rPr>
              <w:t>%权重分，即</w:t>
            </w:r>
            <w:r>
              <w:rPr>
                <w:rFonts w:hint="eastAsia" w:ascii="仿宋_GB2312" w:hAnsi="仿宋_GB2312" w:cs="仿宋_GB2312"/>
                <w:color w:val="000000"/>
                <w:kern w:val="0"/>
                <w:sz w:val="21"/>
                <w:szCs w:val="21"/>
                <w:lang w:val="en-US" w:eastAsia="zh-CN" w:bidi="ar"/>
              </w:rPr>
              <w:t>6</w:t>
            </w:r>
            <w:r>
              <w:rPr>
                <w:rFonts w:hint="eastAsia" w:ascii="仿宋_GB2312" w:hAnsi="仿宋_GB2312" w:cs="仿宋_GB2312"/>
                <w:color w:val="000000"/>
                <w:kern w:val="0"/>
                <w:sz w:val="21"/>
                <w:szCs w:val="21"/>
                <w:lang w:bidi="ar"/>
              </w:rPr>
              <w:t>分。</w:t>
            </w:r>
          </w:p>
        </w:tc>
        <w:tc>
          <w:tcPr>
            <w:tcW w:w="258" w:type="pct"/>
            <w:noWrap w:val="0"/>
            <w:vAlign w:val="center"/>
          </w:tcPr>
          <w:p>
            <w:pPr>
              <w:widowControl/>
              <w:adjustRightInd w:val="0"/>
              <w:snapToGrid w:val="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6.00</w:t>
            </w:r>
          </w:p>
        </w:tc>
        <w:tc>
          <w:tcPr>
            <w:tcW w:w="269"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100</w:t>
            </w:r>
            <w:r>
              <w:rPr>
                <w:rFonts w:hint="eastAsia" w:ascii="仿宋_GB2312" w:hAnsi="仿宋_GB2312" w:cs="仿宋_GB2312"/>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86"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市民投诉率</w:t>
            </w:r>
          </w:p>
        </w:tc>
        <w:tc>
          <w:tcPr>
            <w:tcW w:w="224"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6</w:t>
            </w:r>
          </w:p>
        </w:tc>
        <w:tc>
          <w:tcPr>
            <w:tcW w:w="647"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考察市民投诉率下降情况。</w:t>
            </w:r>
          </w:p>
        </w:tc>
        <w:tc>
          <w:tcPr>
            <w:tcW w:w="276"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同比下降</w:t>
            </w:r>
          </w:p>
        </w:tc>
        <w:tc>
          <w:tcPr>
            <w:tcW w:w="826"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市民投诉率同比下降则得满分，否则不得分。</w:t>
            </w:r>
          </w:p>
        </w:tc>
        <w:tc>
          <w:tcPr>
            <w:tcW w:w="965"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eastAsia="zh-CN" w:bidi="ar"/>
              </w:rPr>
              <w:t>该</w:t>
            </w:r>
            <w:r>
              <w:rPr>
                <w:rFonts w:hint="eastAsia" w:ascii="仿宋_GB2312" w:hAnsi="仿宋_GB2312" w:cs="仿宋_GB2312"/>
                <w:color w:val="000000"/>
                <w:kern w:val="0"/>
                <w:sz w:val="21"/>
                <w:szCs w:val="21"/>
                <w:lang w:bidi="ar"/>
              </w:rPr>
              <w:t>项目完成后，</w:t>
            </w:r>
            <w:r>
              <w:rPr>
                <w:rFonts w:hint="eastAsia" w:ascii="仿宋_GB2312" w:hAnsi="仿宋_GB2312" w:cs="仿宋_GB2312"/>
                <w:color w:val="000000"/>
                <w:kern w:val="0"/>
                <w:sz w:val="21"/>
                <w:szCs w:val="21"/>
                <w:lang w:eastAsia="zh-CN" w:bidi="ar"/>
              </w:rPr>
              <w:t>生活服务配套</w:t>
            </w:r>
            <w:r>
              <w:rPr>
                <w:rFonts w:hint="eastAsia" w:ascii="仿宋_GB2312" w:hAnsi="仿宋_GB2312" w:cs="仿宋_GB2312"/>
                <w:color w:val="000000"/>
                <w:kern w:val="0"/>
                <w:sz w:val="21"/>
                <w:szCs w:val="21"/>
                <w:lang w:bidi="ar"/>
              </w:rPr>
              <w:t>问题</w:t>
            </w:r>
            <w:r>
              <w:rPr>
                <w:rFonts w:hint="eastAsia" w:ascii="仿宋_GB2312" w:hAnsi="仿宋_GB2312" w:cs="仿宋_GB2312"/>
                <w:color w:val="000000"/>
                <w:kern w:val="0"/>
                <w:sz w:val="21"/>
                <w:szCs w:val="21"/>
                <w:lang w:eastAsia="zh-CN" w:bidi="ar"/>
              </w:rPr>
              <w:t>的</w:t>
            </w:r>
            <w:r>
              <w:rPr>
                <w:rFonts w:hint="eastAsia" w:ascii="仿宋_GB2312" w:hAnsi="仿宋_GB2312" w:cs="仿宋_GB2312"/>
                <w:color w:val="000000"/>
                <w:kern w:val="0"/>
                <w:sz w:val="21"/>
                <w:szCs w:val="21"/>
                <w:lang w:bidi="ar"/>
              </w:rPr>
              <w:t>市民投诉率</w:t>
            </w:r>
            <w:r>
              <w:rPr>
                <w:rFonts w:hint="eastAsia" w:ascii="仿宋_GB2312" w:hAnsi="仿宋_GB2312" w:cs="仿宋_GB2312"/>
                <w:color w:val="000000"/>
                <w:kern w:val="0"/>
                <w:sz w:val="21"/>
                <w:szCs w:val="21"/>
                <w:lang w:eastAsia="zh-CN" w:bidi="ar"/>
              </w:rPr>
              <w:t>同比</w:t>
            </w:r>
            <w:r>
              <w:rPr>
                <w:rFonts w:hint="eastAsia" w:ascii="仿宋_GB2312" w:hAnsi="仿宋_GB2312" w:cs="仿宋_GB2312"/>
                <w:color w:val="000000"/>
                <w:kern w:val="0"/>
                <w:sz w:val="21"/>
                <w:szCs w:val="21"/>
                <w:lang w:bidi="ar"/>
              </w:rPr>
              <w:t>下降，根据评分标准，该指标得100%权重分，即</w:t>
            </w:r>
            <w:r>
              <w:rPr>
                <w:rFonts w:hint="eastAsia" w:ascii="仿宋_GB2312" w:hAnsi="仿宋_GB2312" w:cs="仿宋_GB2312"/>
                <w:color w:val="000000"/>
                <w:kern w:val="0"/>
                <w:sz w:val="21"/>
                <w:szCs w:val="21"/>
                <w:lang w:val="en-US" w:eastAsia="zh-CN" w:bidi="ar"/>
              </w:rPr>
              <w:t>6</w:t>
            </w:r>
            <w:r>
              <w:rPr>
                <w:rFonts w:hint="eastAsia" w:ascii="仿宋_GB2312" w:hAnsi="仿宋_GB2312" w:cs="仿宋_GB2312"/>
                <w:color w:val="000000"/>
                <w:kern w:val="0"/>
                <w:sz w:val="21"/>
                <w:szCs w:val="21"/>
                <w:lang w:bidi="ar"/>
              </w:rPr>
              <w:t>.00分。</w:t>
            </w:r>
          </w:p>
        </w:tc>
        <w:tc>
          <w:tcPr>
            <w:tcW w:w="258"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6</w:t>
            </w:r>
            <w:r>
              <w:rPr>
                <w:rFonts w:hint="eastAsia" w:ascii="仿宋_GB2312" w:hAnsi="仿宋_GB2312" w:cs="仿宋_GB2312"/>
                <w:color w:val="000000"/>
                <w:kern w:val="0"/>
                <w:sz w:val="21"/>
                <w:szCs w:val="21"/>
                <w:lang w:bidi="ar"/>
              </w:rPr>
              <w:t>.00</w:t>
            </w:r>
          </w:p>
        </w:tc>
        <w:tc>
          <w:tcPr>
            <w:tcW w:w="269"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eastAsia="zh-CN" w:bidi="ar"/>
              </w:rPr>
              <w:t>经济</w:t>
            </w:r>
            <w:r>
              <w:rPr>
                <w:rFonts w:hint="eastAsia" w:ascii="仿宋_GB2312" w:hAnsi="仿宋_GB2312" w:cs="仿宋_GB2312"/>
                <w:color w:val="000000"/>
                <w:kern w:val="0"/>
                <w:sz w:val="21"/>
                <w:szCs w:val="21"/>
                <w:lang w:bidi="ar"/>
              </w:rPr>
              <w:t>效益</w:t>
            </w:r>
          </w:p>
        </w:tc>
        <w:tc>
          <w:tcPr>
            <w:tcW w:w="386"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eastAsia="zh-CN" w:bidi="ar"/>
              </w:rPr>
              <w:t>经济影响</w:t>
            </w:r>
          </w:p>
        </w:tc>
        <w:tc>
          <w:tcPr>
            <w:tcW w:w="224"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6</w:t>
            </w:r>
          </w:p>
        </w:tc>
        <w:tc>
          <w:tcPr>
            <w:tcW w:w="647"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eastAsia="zh-CN" w:bidi="ar"/>
              </w:rPr>
              <w:t>考察项目对经济发展带来的直接或间接影响</w:t>
            </w:r>
          </w:p>
        </w:tc>
        <w:tc>
          <w:tcPr>
            <w:tcW w:w="276"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显著</w:t>
            </w:r>
          </w:p>
        </w:tc>
        <w:tc>
          <w:tcPr>
            <w:tcW w:w="826"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bidi="ar"/>
              </w:rPr>
              <w:t>按照显著、较显著、一般和不显著四级进行评分。分别得100%、80%、60%和0%权重分。加权后按实际得分率得分。</w:t>
            </w:r>
          </w:p>
        </w:tc>
        <w:tc>
          <w:tcPr>
            <w:tcW w:w="965"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eastAsia="zh-CN" w:bidi="ar"/>
              </w:rPr>
              <w:t>该项目建成后，引进超市、餐饮、教培等多种业态，对促进周边经济发展有一定影响。</w:t>
            </w:r>
            <w:r>
              <w:rPr>
                <w:rFonts w:hint="eastAsia" w:ascii="仿宋_GB2312" w:hAnsi="仿宋_GB2312" w:cs="仿宋_GB2312"/>
                <w:color w:val="000000"/>
                <w:kern w:val="0"/>
                <w:sz w:val="21"/>
                <w:szCs w:val="21"/>
                <w:lang w:bidi="ar"/>
              </w:rPr>
              <w:t>根据评分标准，该指标得</w:t>
            </w:r>
            <w:r>
              <w:rPr>
                <w:rFonts w:hint="eastAsia" w:ascii="仿宋_GB2312" w:hAnsi="仿宋_GB2312" w:cs="仿宋_GB2312"/>
                <w:color w:val="000000"/>
                <w:kern w:val="0"/>
                <w:sz w:val="21"/>
                <w:szCs w:val="21"/>
                <w:lang w:val="en-US" w:eastAsia="zh-CN" w:bidi="ar"/>
              </w:rPr>
              <w:t>60</w:t>
            </w:r>
            <w:r>
              <w:rPr>
                <w:rFonts w:hint="eastAsia" w:ascii="仿宋_GB2312" w:hAnsi="仿宋_GB2312" w:cs="仿宋_GB2312"/>
                <w:color w:val="000000"/>
                <w:kern w:val="0"/>
                <w:sz w:val="21"/>
                <w:szCs w:val="21"/>
                <w:lang w:bidi="ar"/>
              </w:rPr>
              <w:t>%权重分，即</w:t>
            </w:r>
            <w:r>
              <w:rPr>
                <w:rFonts w:hint="eastAsia" w:ascii="仿宋_GB2312" w:hAnsi="仿宋_GB2312" w:cs="仿宋_GB2312"/>
                <w:color w:val="000000"/>
                <w:kern w:val="0"/>
                <w:sz w:val="21"/>
                <w:szCs w:val="21"/>
                <w:lang w:val="en-US" w:eastAsia="zh-CN" w:bidi="ar"/>
              </w:rPr>
              <w:t>3.6</w:t>
            </w:r>
            <w:r>
              <w:rPr>
                <w:rFonts w:hint="eastAsia" w:ascii="仿宋_GB2312" w:hAnsi="仿宋_GB2312" w:cs="仿宋_GB2312"/>
                <w:color w:val="000000"/>
                <w:kern w:val="0"/>
                <w:sz w:val="21"/>
                <w:szCs w:val="21"/>
                <w:lang w:bidi="ar"/>
              </w:rPr>
              <w:t>分。</w:t>
            </w:r>
          </w:p>
        </w:tc>
        <w:tc>
          <w:tcPr>
            <w:tcW w:w="258" w:type="pct"/>
            <w:noWrap w:val="0"/>
            <w:vAlign w:val="center"/>
          </w:tcPr>
          <w:p>
            <w:pPr>
              <w:widowControl/>
              <w:adjustRightInd w:val="0"/>
              <w:snapToGrid w:val="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3.6</w:t>
            </w:r>
          </w:p>
        </w:tc>
        <w:tc>
          <w:tcPr>
            <w:tcW w:w="269"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60</w:t>
            </w:r>
            <w:r>
              <w:rPr>
                <w:rFonts w:hint="eastAsia" w:ascii="仿宋_GB2312" w:hAnsi="仿宋_GB2312" w:cs="仿宋_GB2312"/>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可持续</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影响</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后续</w:t>
            </w:r>
            <w:r>
              <w:rPr>
                <w:rFonts w:hint="eastAsia" w:ascii="仿宋_GB2312" w:hAnsi="仿宋_GB2312" w:cs="仿宋_GB2312"/>
                <w:color w:val="000000"/>
                <w:kern w:val="0"/>
                <w:sz w:val="21"/>
                <w:szCs w:val="21"/>
                <w:lang w:eastAsia="zh-CN" w:bidi="ar"/>
              </w:rPr>
              <w:t>运营</w:t>
            </w:r>
            <w:r>
              <w:rPr>
                <w:rFonts w:hint="eastAsia" w:ascii="仿宋_GB2312" w:hAnsi="仿宋_GB2312" w:cs="仿宋_GB2312"/>
                <w:color w:val="000000"/>
                <w:kern w:val="0"/>
                <w:sz w:val="21"/>
                <w:szCs w:val="21"/>
                <w:lang w:bidi="ar"/>
              </w:rPr>
              <w:t>机制健全程度</w:t>
            </w:r>
          </w:p>
        </w:tc>
        <w:tc>
          <w:tcPr>
            <w:tcW w:w="224"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val="en-US" w:eastAsia="zh-CN" w:bidi="ar"/>
              </w:rPr>
              <w:t>6</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考察项目建成后续</w:t>
            </w:r>
            <w:r>
              <w:rPr>
                <w:rFonts w:hint="eastAsia" w:ascii="仿宋_GB2312" w:hAnsi="仿宋_GB2312" w:cs="仿宋_GB2312"/>
                <w:color w:val="000000"/>
                <w:kern w:val="0"/>
                <w:sz w:val="21"/>
                <w:szCs w:val="21"/>
                <w:lang w:eastAsia="zh-CN" w:bidi="ar"/>
              </w:rPr>
              <w:t>运营</w:t>
            </w:r>
            <w:r>
              <w:rPr>
                <w:rFonts w:hint="eastAsia" w:ascii="仿宋_GB2312" w:hAnsi="仿宋_GB2312" w:cs="仿宋_GB2312"/>
                <w:color w:val="000000"/>
                <w:kern w:val="0"/>
                <w:sz w:val="21"/>
                <w:szCs w:val="21"/>
                <w:lang w:bidi="ar"/>
              </w:rPr>
              <w:t>机制健全程度</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建立健全</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项目运转形成了可持续发展的机制则得满分，未形成则可根据专家判断可得100%、80%、60%、0的权重分。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该项目</w:t>
            </w:r>
            <w:r>
              <w:rPr>
                <w:rFonts w:hint="eastAsia" w:ascii="仿宋_GB2312" w:hAnsi="仿宋_GB2312" w:cs="仿宋_GB2312"/>
                <w:color w:val="000000"/>
                <w:kern w:val="0"/>
                <w:sz w:val="21"/>
                <w:szCs w:val="21"/>
                <w:lang w:eastAsia="zh-CN" w:bidi="ar"/>
              </w:rPr>
              <w:t>需进一完善后续运营机制，最大限度发挥项目效能</w:t>
            </w:r>
            <w:r>
              <w:rPr>
                <w:rFonts w:hint="eastAsia" w:ascii="仿宋_GB2312" w:hAnsi="仿宋_GB2312" w:cs="仿宋_GB2312"/>
                <w:color w:val="000000"/>
                <w:kern w:val="0"/>
                <w:sz w:val="21"/>
                <w:szCs w:val="21"/>
                <w:lang w:bidi="ar"/>
              </w:rPr>
              <w:t>。根据评分标准，该指标得</w:t>
            </w:r>
            <w:r>
              <w:rPr>
                <w:rFonts w:hint="eastAsia" w:ascii="仿宋_GB2312" w:hAnsi="仿宋_GB2312" w:cs="仿宋_GB2312"/>
                <w:color w:val="000000"/>
                <w:kern w:val="0"/>
                <w:sz w:val="21"/>
                <w:szCs w:val="21"/>
                <w:lang w:val="en-US" w:eastAsia="zh-CN" w:bidi="ar"/>
              </w:rPr>
              <w:t>60</w:t>
            </w:r>
            <w:r>
              <w:rPr>
                <w:rFonts w:hint="eastAsia" w:ascii="仿宋_GB2312" w:hAnsi="仿宋_GB2312" w:cs="仿宋_GB2312"/>
                <w:color w:val="000000"/>
                <w:kern w:val="0"/>
                <w:sz w:val="21"/>
                <w:szCs w:val="21"/>
                <w:lang w:bidi="ar"/>
              </w:rPr>
              <w:t>%权重分。即得</w:t>
            </w:r>
            <w:r>
              <w:rPr>
                <w:rFonts w:hint="eastAsia" w:ascii="仿宋_GB2312" w:hAnsi="仿宋_GB2312" w:cs="仿宋_GB2312"/>
                <w:color w:val="000000"/>
                <w:kern w:val="0"/>
                <w:sz w:val="21"/>
                <w:szCs w:val="21"/>
                <w:lang w:val="en-US" w:eastAsia="zh-CN" w:bidi="ar"/>
              </w:rPr>
              <w:t>3.6</w:t>
            </w:r>
            <w:r>
              <w:rPr>
                <w:rFonts w:hint="eastAsia" w:ascii="仿宋_GB2312" w:hAnsi="仿宋_GB2312" w:cs="仿宋_GB2312"/>
                <w:color w:val="000000"/>
                <w:kern w:val="0"/>
                <w:sz w:val="21"/>
                <w:szCs w:val="21"/>
                <w:lang w:bidi="ar"/>
              </w:rPr>
              <w:t>分。</w:t>
            </w:r>
          </w:p>
        </w:tc>
        <w:tc>
          <w:tcPr>
            <w:tcW w:w="258" w:type="pct"/>
            <w:noWrap w:val="0"/>
            <w:vAlign w:val="center"/>
          </w:tcPr>
          <w:p>
            <w:pPr>
              <w:widowControl/>
              <w:adjustRightInd w:val="0"/>
              <w:snapToGrid w:val="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3.6</w:t>
            </w:r>
          </w:p>
        </w:tc>
        <w:tc>
          <w:tcPr>
            <w:tcW w:w="26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val="en-US" w:eastAsia="zh-CN" w:bidi="ar"/>
              </w:rPr>
              <w:t>60</w:t>
            </w:r>
            <w:r>
              <w:rPr>
                <w:rFonts w:hint="eastAsia" w:ascii="仿宋_GB2312" w:hAnsi="仿宋_GB2312" w:cs="仿宋_GB2312"/>
                <w:color w:val="000000"/>
                <w:kern w:val="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77" w:type="pct"/>
            <w:vMerge w:val="continue"/>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p>
        </w:tc>
        <w:tc>
          <w:tcPr>
            <w:tcW w:w="43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满意度</w:t>
            </w:r>
            <w:r>
              <w:rPr>
                <w:rFonts w:hint="eastAsia" w:ascii="仿宋_GB2312" w:hAnsi="仿宋_GB2312" w:cs="仿宋_GB2312"/>
                <w:color w:val="000000"/>
                <w:kern w:val="0"/>
                <w:sz w:val="21"/>
                <w:szCs w:val="21"/>
                <w:lang w:bidi="ar"/>
              </w:rPr>
              <w:br w:type="textWrapping"/>
            </w:r>
            <w:r>
              <w:rPr>
                <w:rFonts w:hint="eastAsia" w:ascii="仿宋_GB2312" w:hAnsi="仿宋_GB2312" w:cs="仿宋_GB2312"/>
                <w:color w:val="000000"/>
                <w:kern w:val="0"/>
                <w:sz w:val="21"/>
                <w:szCs w:val="21"/>
                <w:lang w:bidi="ar"/>
              </w:rPr>
              <w:t>（</w:t>
            </w:r>
            <w:r>
              <w:rPr>
                <w:rFonts w:hint="eastAsia" w:ascii="仿宋_GB2312" w:hAnsi="仿宋_GB2312" w:cs="仿宋_GB2312"/>
                <w:color w:val="000000"/>
                <w:kern w:val="0"/>
                <w:sz w:val="21"/>
                <w:szCs w:val="21"/>
                <w:lang w:val="en-US" w:eastAsia="zh-CN" w:bidi="ar"/>
              </w:rPr>
              <w:t>5</w:t>
            </w:r>
            <w:r>
              <w:rPr>
                <w:rFonts w:hint="eastAsia" w:ascii="仿宋_GB2312" w:hAnsi="仿宋_GB2312" w:cs="仿宋_GB2312"/>
                <w:color w:val="000000"/>
                <w:kern w:val="0"/>
                <w:sz w:val="21"/>
                <w:szCs w:val="21"/>
                <w:lang w:bidi="ar"/>
              </w:rPr>
              <w:t>分）</w:t>
            </w:r>
          </w:p>
        </w:tc>
        <w:tc>
          <w:tcPr>
            <w:tcW w:w="329"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服务对象满意度</w:t>
            </w:r>
          </w:p>
        </w:tc>
        <w:tc>
          <w:tcPr>
            <w:tcW w:w="38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居民满意度</w:t>
            </w:r>
          </w:p>
        </w:tc>
        <w:tc>
          <w:tcPr>
            <w:tcW w:w="224" w:type="pct"/>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val="en-US" w:eastAsia="zh-CN" w:bidi="ar"/>
              </w:rPr>
              <w:t>5</w:t>
            </w:r>
          </w:p>
        </w:tc>
        <w:tc>
          <w:tcPr>
            <w:tcW w:w="647"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居民</w:t>
            </w:r>
            <w:r>
              <w:rPr>
                <w:rFonts w:hint="eastAsia" w:ascii="仿宋_GB2312" w:hAnsi="仿宋_GB2312" w:cs="仿宋_GB2312"/>
                <w:color w:val="000000"/>
                <w:kern w:val="0"/>
                <w:sz w:val="21"/>
                <w:szCs w:val="21"/>
                <w:lang w:val="en-US" w:eastAsia="zh-CN" w:bidi="ar"/>
              </w:rPr>
              <w:t>2号邻里中心工程</w:t>
            </w:r>
            <w:r>
              <w:rPr>
                <w:rFonts w:hint="eastAsia" w:ascii="仿宋_GB2312" w:hAnsi="仿宋_GB2312" w:cs="仿宋_GB2312"/>
                <w:color w:val="000000"/>
                <w:kern w:val="0"/>
                <w:sz w:val="21"/>
                <w:szCs w:val="21"/>
                <w:lang w:bidi="ar"/>
              </w:rPr>
              <w:t>整体满意程度</w:t>
            </w:r>
          </w:p>
        </w:tc>
        <w:tc>
          <w:tcPr>
            <w:tcW w:w="27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≥90%</w:t>
            </w:r>
          </w:p>
        </w:tc>
        <w:tc>
          <w:tcPr>
            <w:tcW w:w="826"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满意度达90%，则得满分。每降低1%扣5%权重分。</w:t>
            </w:r>
          </w:p>
        </w:tc>
        <w:tc>
          <w:tcPr>
            <w:tcW w:w="965" w:type="pct"/>
            <w:noWrap w:val="0"/>
            <w:vAlign w:val="center"/>
          </w:tcPr>
          <w:p>
            <w:pPr>
              <w:widowControl/>
              <w:adjustRightInd w:val="0"/>
              <w:snapToGrid w:val="0"/>
              <w:jc w:val="center"/>
              <w:textAlignment w:val="center"/>
              <w:rPr>
                <w:rFonts w:hint="eastAsia" w:ascii="仿宋_GB2312" w:hAnsi="仿宋_GB2312" w:cs="仿宋_GB2312"/>
                <w:color w:val="000000"/>
                <w:kern w:val="0"/>
                <w:sz w:val="21"/>
                <w:szCs w:val="21"/>
                <w:lang w:bidi="ar"/>
              </w:rPr>
            </w:pPr>
            <w:r>
              <w:rPr>
                <w:rFonts w:hint="eastAsia" w:ascii="仿宋_GB2312" w:hAnsi="仿宋_GB2312" w:cs="仿宋_GB2312"/>
                <w:color w:val="000000"/>
                <w:kern w:val="0"/>
                <w:sz w:val="21"/>
                <w:szCs w:val="21"/>
                <w:lang w:bidi="ar"/>
              </w:rPr>
              <w:t>根据调研</w:t>
            </w:r>
            <w:r>
              <w:rPr>
                <w:rFonts w:hint="eastAsia" w:ascii="仿宋_GB2312" w:hAnsi="仿宋_GB2312" w:cs="仿宋_GB2312"/>
                <w:color w:val="000000"/>
                <w:kern w:val="0"/>
                <w:sz w:val="21"/>
                <w:szCs w:val="21"/>
                <w:lang w:eastAsia="zh-CN" w:bidi="ar"/>
              </w:rPr>
              <w:t>，该项目</w:t>
            </w:r>
            <w:r>
              <w:rPr>
                <w:rFonts w:hint="eastAsia" w:ascii="仿宋_GB2312" w:hAnsi="仿宋_GB2312" w:cs="仿宋_GB2312"/>
                <w:color w:val="000000"/>
                <w:kern w:val="0"/>
                <w:sz w:val="21"/>
                <w:szCs w:val="21"/>
                <w:lang w:bidi="ar"/>
              </w:rPr>
              <w:t>的整体满意程度达</w:t>
            </w:r>
            <w:r>
              <w:rPr>
                <w:rFonts w:hint="eastAsia" w:ascii="仿宋_GB2312" w:hAnsi="仿宋_GB2312" w:cs="仿宋_GB2312"/>
                <w:color w:val="000000"/>
                <w:kern w:val="0"/>
                <w:sz w:val="21"/>
                <w:szCs w:val="21"/>
                <w:lang w:val="en-US" w:eastAsia="zh-CN" w:bidi="ar"/>
              </w:rPr>
              <w:t>93.2</w:t>
            </w:r>
            <w:r>
              <w:rPr>
                <w:rFonts w:hint="eastAsia" w:ascii="仿宋_GB2312" w:hAnsi="仿宋_GB2312" w:cs="仿宋_GB2312"/>
                <w:color w:val="000000"/>
                <w:kern w:val="0"/>
                <w:sz w:val="21"/>
                <w:szCs w:val="21"/>
                <w:lang w:bidi="ar"/>
              </w:rPr>
              <w:t>%。根据评分标准，该指标得</w:t>
            </w:r>
            <w:r>
              <w:rPr>
                <w:rFonts w:hint="eastAsia" w:ascii="仿宋_GB2312" w:hAnsi="仿宋_GB2312" w:cs="仿宋_GB2312"/>
                <w:color w:val="000000"/>
                <w:kern w:val="0"/>
                <w:sz w:val="21"/>
                <w:szCs w:val="21"/>
                <w:lang w:val="en-US" w:eastAsia="zh-CN" w:bidi="ar"/>
              </w:rPr>
              <w:t>100</w:t>
            </w:r>
            <w:r>
              <w:rPr>
                <w:rFonts w:hint="eastAsia" w:ascii="仿宋_GB2312" w:hAnsi="仿宋_GB2312" w:cs="仿宋_GB2312"/>
                <w:color w:val="000000"/>
                <w:kern w:val="0"/>
                <w:sz w:val="21"/>
                <w:szCs w:val="21"/>
                <w:lang w:bidi="ar"/>
              </w:rPr>
              <w:t>%权重分，即</w:t>
            </w:r>
            <w:r>
              <w:rPr>
                <w:rFonts w:hint="eastAsia" w:ascii="仿宋_GB2312" w:hAnsi="仿宋_GB2312" w:cs="仿宋_GB2312"/>
                <w:color w:val="000000"/>
                <w:kern w:val="0"/>
                <w:sz w:val="21"/>
                <w:szCs w:val="21"/>
                <w:lang w:val="en-US" w:eastAsia="zh-CN" w:bidi="ar"/>
              </w:rPr>
              <w:t>5</w:t>
            </w:r>
            <w:r>
              <w:rPr>
                <w:rFonts w:hint="eastAsia" w:ascii="仿宋_GB2312" w:hAnsi="仿宋_GB2312" w:cs="仿宋_GB2312"/>
                <w:color w:val="000000"/>
                <w:kern w:val="0"/>
                <w:sz w:val="21"/>
                <w:szCs w:val="21"/>
                <w:lang w:bidi="ar"/>
              </w:rPr>
              <w:t>分。</w:t>
            </w:r>
          </w:p>
        </w:tc>
        <w:tc>
          <w:tcPr>
            <w:tcW w:w="258" w:type="pct"/>
            <w:noWrap w:val="0"/>
            <w:vAlign w:val="center"/>
          </w:tcPr>
          <w:p>
            <w:pPr>
              <w:widowControl/>
              <w:adjustRightInd w:val="0"/>
              <w:snapToGrid w:val="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5.00</w:t>
            </w:r>
          </w:p>
        </w:tc>
        <w:tc>
          <w:tcPr>
            <w:tcW w:w="269" w:type="pct"/>
            <w:noWrap w:val="0"/>
            <w:vAlign w:val="center"/>
          </w:tcPr>
          <w:p>
            <w:pPr>
              <w:widowControl/>
              <w:adjustRightInd w:val="0"/>
              <w:snapToGrid w:val="0"/>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30" w:type="pct"/>
            <w:gridSpan w:val="4"/>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合计</w:t>
            </w:r>
          </w:p>
        </w:tc>
        <w:tc>
          <w:tcPr>
            <w:tcW w:w="224" w:type="pct"/>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kern w:val="0"/>
                <w:sz w:val="21"/>
                <w:szCs w:val="21"/>
                <w:lang w:bidi="ar"/>
              </w:rPr>
              <w:t>100</w:t>
            </w:r>
          </w:p>
        </w:tc>
        <w:tc>
          <w:tcPr>
            <w:tcW w:w="647" w:type="pct"/>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p>
        </w:tc>
        <w:tc>
          <w:tcPr>
            <w:tcW w:w="276" w:type="pct"/>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p>
        </w:tc>
        <w:tc>
          <w:tcPr>
            <w:tcW w:w="826" w:type="pct"/>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p>
        </w:tc>
        <w:tc>
          <w:tcPr>
            <w:tcW w:w="965" w:type="pct"/>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p>
        </w:tc>
        <w:tc>
          <w:tcPr>
            <w:tcW w:w="258" w:type="pct"/>
            <w:noWrap w:val="0"/>
            <w:vAlign w:val="center"/>
          </w:tcPr>
          <w:p>
            <w:pPr>
              <w:widowControl/>
              <w:adjustRightInd w:val="0"/>
              <w:snapToGrid w:val="0"/>
              <w:jc w:val="center"/>
              <w:textAlignment w:val="center"/>
              <w:rPr>
                <w:rFonts w:hint="default" w:ascii="仿宋_GB2312" w:hAnsi="仿宋_GB2312" w:eastAsia="仿宋_GB2312" w:cs="仿宋_GB2312"/>
                <w:b/>
                <w:bCs/>
                <w:color w:val="000000"/>
                <w:kern w:val="0"/>
                <w:sz w:val="21"/>
                <w:szCs w:val="21"/>
                <w:lang w:val="en-US" w:eastAsia="zh-CN" w:bidi="ar"/>
              </w:rPr>
            </w:pPr>
            <w:r>
              <w:rPr>
                <w:rFonts w:hint="eastAsia" w:ascii="仿宋_GB2312" w:hAnsi="仿宋_GB2312" w:cs="仿宋_GB2312"/>
                <w:b/>
                <w:bCs/>
                <w:color w:val="000000"/>
                <w:kern w:val="0"/>
                <w:sz w:val="21"/>
                <w:szCs w:val="21"/>
                <w:lang w:val="en-US" w:eastAsia="zh-CN" w:bidi="ar"/>
              </w:rPr>
              <w:t>91.7</w:t>
            </w:r>
          </w:p>
        </w:tc>
        <w:tc>
          <w:tcPr>
            <w:tcW w:w="269" w:type="pct"/>
            <w:noWrap w:val="0"/>
            <w:vAlign w:val="center"/>
          </w:tcPr>
          <w:p>
            <w:pPr>
              <w:widowControl/>
              <w:adjustRightInd w:val="0"/>
              <w:snapToGrid w:val="0"/>
              <w:jc w:val="center"/>
              <w:textAlignment w:val="center"/>
              <w:rPr>
                <w:rFonts w:hint="eastAsia" w:ascii="仿宋_GB2312" w:hAnsi="仿宋_GB2312" w:cs="仿宋_GB2312"/>
                <w:b/>
                <w:bCs/>
                <w:color w:val="000000"/>
                <w:kern w:val="0"/>
                <w:sz w:val="21"/>
                <w:szCs w:val="21"/>
                <w:lang w:bidi="ar"/>
              </w:rPr>
            </w:pPr>
            <w:r>
              <w:rPr>
                <w:rFonts w:hint="eastAsia" w:ascii="仿宋_GB2312" w:hAnsi="仿宋_GB2312" w:cs="仿宋_GB2312"/>
                <w:b/>
                <w:bCs/>
                <w:color w:val="000000"/>
                <w:w w:val="90"/>
                <w:kern w:val="0"/>
                <w:sz w:val="21"/>
                <w:szCs w:val="21"/>
                <w:lang w:val="en-US" w:eastAsia="zh-CN" w:bidi="ar"/>
              </w:rPr>
              <w:t>91.7</w:t>
            </w:r>
            <w:r>
              <w:rPr>
                <w:rFonts w:hint="eastAsia" w:ascii="仿宋_GB2312" w:hAnsi="仿宋_GB2312" w:cs="仿宋_GB2312"/>
                <w:b/>
                <w:bCs/>
                <w:color w:val="000000"/>
                <w:w w:val="90"/>
                <w:kern w:val="0"/>
                <w:sz w:val="21"/>
                <w:szCs w:val="21"/>
                <w:lang w:bidi="ar"/>
              </w:rPr>
              <w:t>%</w:t>
            </w:r>
          </w:p>
        </w:tc>
      </w:tr>
    </w:tbl>
    <w:p>
      <w:pPr>
        <w:adjustRightInd w:val="0"/>
        <w:snapToGrid w:val="0"/>
        <w:spacing w:line="580" w:lineRule="exact"/>
        <w:rPr>
          <w:rFonts w:hint="eastAsia"/>
          <w:sz w:val="32"/>
          <w:szCs w:val="32"/>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文星简仿宋">
    <w:altName w:val="仿宋_GB2312"/>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文星简黑体">
    <w:altName w:val="黑体"/>
    <w:panose1 w:val="00000000000000000000"/>
    <w:charset w:val="86"/>
    <w:family w:val="roman"/>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rPr>
    </w:pPr>
    <w:r>
      <w:fldChar w:fldCharType="begin"/>
    </w:r>
    <w:r>
      <w:instrText xml:space="preserve">PAGE   \* MERGEFORMAT</w:instrText>
    </w:r>
    <w:r>
      <w:fldChar w:fldCharType="separate"/>
    </w:r>
    <w:r>
      <w:rPr>
        <w:lang w:val="zh-CN"/>
      </w:rPr>
      <w:t>14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661BAE"/>
    <w:multiLevelType w:val="singleLevel"/>
    <w:tmpl w:val="4A661BAE"/>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yMmY4YmE5YTQxYjhiODUwOGFiNGIxZTI3M2I5YTMifQ=="/>
  </w:docVars>
  <w:rsids>
    <w:rsidRoot w:val="00000000"/>
    <w:rsid w:val="400B535A"/>
    <w:rsid w:val="559D64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widowControl/>
      <w:spacing w:before="100" w:beforeAutospacing="1" w:after="100" w:afterAutospacing="1"/>
      <w:jc w:val="left"/>
    </w:pPr>
    <w:rPr>
      <w:rFonts w:ascii="宋体" w:hAnsi="宋体" w:eastAsia="宋体"/>
      <w:kern w:val="0"/>
      <w:sz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0"/>
  </w:style>
  <w:style w:type="paragraph" w:styleId="6">
    <w:name w:val="Body Text First Indent 2"/>
    <w:basedOn w:val="2"/>
    <w:qFormat/>
    <w:uiPriority w:val="0"/>
    <w:pPr>
      <w:widowControl w:val="0"/>
      <w:spacing w:after="120"/>
      <w:ind w:left="420" w:leftChars="200" w:firstLine="420" w:firstLineChars="200"/>
      <w:jc w:val="both"/>
    </w:pPr>
    <w:rPr>
      <w:rFonts w:eastAsia="Times New Roman"/>
      <w:szCs w:val="21"/>
      <w:lang w:val="en-US" w:eastAsia="zh-CN" w:bidi="ar-SA"/>
    </w:rPr>
  </w:style>
  <w:style w:type="paragraph" w:customStyle="1" w:styleId="9">
    <w:name w:val="正文1"/>
    <w:basedOn w:val="1"/>
    <w:qFormat/>
    <w:uiPriority w:val="0"/>
    <w:pPr>
      <w:adjustRightInd w:val="0"/>
      <w:spacing w:line="318" w:lineRule="atLeast"/>
      <w:ind w:left="369" w:firstLine="369"/>
    </w:pPr>
    <w:rPr>
      <w:rFonts w:hint="eastAsia" w:ascii="宋体" w:hAnsi="Calibri"/>
      <w:sz w:val="21"/>
    </w:rPr>
  </w:style>
  <w:style w:type="paragraph" w:customStyle="1" w:styleId="10">
    <w:name w:val="Char"/>
    <w:basedOn w:val="1"/>
    <w:qFormat/>
    <w:uiPriority w:val="0"/>
    <w:pPr>
      <w:widowControl/>
      <w:jc w:val="left"/>
    </w:pPr>
  </w:style>
  <w:style w:type="character" w:customStyle="1" w:styleId="11">
    <w:name w:val="font61"/>
    <w:basedOn w:val="8"/>
    <w:qFormat/>
    <w:uiPriority w:val="0"/>
    <w:rPr>
      <w:rFonts w:hint="eastAsia" w:ascii="宋体" w:hAnsi="宋体" w:eastAsia="宋体" w:cs="宋体"/>
      <w:color w:val="000000"/>
      <w:sz w:val="20"/>
      <w:szCs w:val="20"/>
      <w:u w:val="none"/>
    </w:rPr>
  </w:style>
  <w:style w:type="paragraph" w:customStyle="1" w:styleId="12">
    <w:name w:val="报告正文"/>
    <w:basedOn w:val="1"/>
    <w:qFormat/>
    <w:uiPriority w:val="0"/>
    <w:rPr>
      <w:kern w:val="0"/>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23385;&#23425;&#24037;&#20316;&#25991;&#20214;\&#36130;&#21153;&#31649;&#29702;\2&#12289;&#24180;&#24230;&#20915;&#31639;\2022&#24180;&#20915;&#31639;\&#26032;&#24314;%20XLSX%20&#24037;&#20316;&#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23385;&#23425;&#24037;&#20316;&#25991;&#20214;\&#36130;&#21153;&#31649;&#29702;\2&#12289;&#24180;&#24230;&#20915;&#31639;\2022&#24180;&#20915;&#31639;\&#26032;&#24314;%20XLSX%20&#24037;&#20316;&#349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23385;&#23425;&#24037;&#20316;&#25991;&#20214;\&#36130;&#21153;&#31649;&#29702;\2&#12289;&#24180;&#24230;&#20915;&#31639;\2022&#24180;&#20915;&#31639;\&#26032;&#24314;%20XLSX%20&#24037;&#20316;&#349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23385;&#23425;&#24037;&#20316;&#25991;&#20214;\&#36130;&#21153;&#31649;&#29702;\2&#12289;&#24180;&#24230;&#20915;&#31639;\2022&#24180;&#20915;&#31639;\&#26032;&#24314;%20XLSX%20&#24037;&#20316;&#3492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23385;&#23425;&#24037;&#20316;&#25991;&#20214;\&#36130;&#21153;&#31649;&#29702;\2&#12289;&#24180;&#24230;&#20915;&#31639;\2022&#24180;&#20915;&#31639;\&#26032;&#24314;%20XLSX%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收入支出决算总计变动情况</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'[新建 XLSX 工作表.xlsx]Sheet1'!$A$2:$A$3</c:f>
              <c:strCache>
                <c:ptCount val="2"/>
                <c:pt idx="0">
                  <c:v>2021年</c:v>
                </c:pt>
                <c:pt idx="1">
                  <c:v>2022年</c:v>
                </c:pt>
              </c:strCache>
            </c:strRef>
          </c:cat>
          <c:val>
            <c:numRef>
              <c:f>'[新建 XLSX 工作表.xlsx]Sheet1'!$B$2:$B$3</c:f>
              <c:numCache>
                <c:formatCode>General</c:formatCode>
                <c:ptCount val="2"/>
                <c:pt idx="0">
                  <c:v>25440.22</c:v>
                </c:pt>
                <c:pt idx="1">
                  <c:v>17458.13</c:v>
                </c:pt>
              </c:numCache>
            </c:numRef>
          </c:val>
        </c:ser>
        <c:dLbls>
          <c:showLegendKey val="0"/>
          <c:showVal val="0"/>
          <c:showCatName val="0"/>
          <c:showSerName val="0"/>
          <c:showPercent val="0"/>
          <c:showBubbleSize val="0"/>
        </c:dLbls>
        <c:gapWidth val="246"/>
        <c:overlap val="-28"/>
        <c:axId val="870579467"/>
        <c:axId val="754247092"/>
      </c:barChart>
      <c:catAx>
        <c:axId val="87057946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4247092"/>
        <c:crosses val="autoZero"/>
        <c:auto val="1"/>
        <c:lblAlgn val="ctr"/>
        <c:lblOffset val="100"/>
        <c:noMultiLvlLbl val="0"/>
      </c:catAx>
      <c:valAx>
        <c:axId val="754247092"/>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057946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40" b="1" i="0" u="none" strike="noStrike" kern="1200" baseline="0">
                <a:solidFill>
                  <a:schemeClr val="dk1">
                    <a:lumMod val="75000"/>
                    <a:lumOff val="25000"/>
                  </a:schemeClr>
                </a:solidFill>
                <a:latin typeface="+mn-lt"/>
                <a:ea typeface="+mn-ea"/>
                <a:cs typeface="+mn-cs"/>
              </a:defRPr>
            </a:pPr>
            <a:r>
              <a:rPr sz="1440"/>
              <a:t>本年收入决算结构</a:t>
            </a:r>
            <a:endParaRPr sz="1440"/>
          </a:p>
        </c:rich>
      </c:tx>
      <c:layout/>
      <c:overlay val="0"/>
      <c:spPr>
        <a:noFill/>
        <a:ln>
          <a:noFill/>
        </a:ln>
        <a:effectLst/>
      </c:spPr>
    </c:title>
    <c:autoTitleDeleted val="0"/>
    <c:plotArea>
      <c:layout/>
      <c:pieChart>
        <c:varyColors val="1"/>
        <c:ser>
          <c:idx val="0"/>
          <c:order val="0"/>
          <c:tx>
            <c:strRef>
              <c:f>[工作簿1]Sheet1!$A$9</c:f>
              <c:strCache>
                <c:ptCount val="1"/>
                <c:pt idx="0">
                  <c:v>财政拨款收入</c:v>
                </c:pt>
              </c:strCache>
            </c:strRef>
          </c:tx>
          <c:spPr>
            <a:ln>
              <a:noFill/>
            </a:ln>
          </c:spPr>
          <c:explosion val="0"/>
          <c:dPt>
            <c:idx val="0"/>
            <c:bubble3D val="0"/>
            <c:spPr>
              <a:solidFill>
                <a:schemeClr val="accent1"/>
              </a:solidFill>
              <a:ln>
                <a:noFill/>
              </a:ln>
              <a:effectLst/>
            </c:spPr>
          </c:dPt>
          <c:dLbls>
            <c:dLbl>
              <c:idx val="0"/>
              <c:layout/>
              <c:tx>
                <c:rich>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r>
                      <a:rPr sz="1200"/>
                      <a:t>财政拨付收入</a:t>
                    </a:r>
                    <a:endParaRPr sz="1200"/>
                  </a:p>
                  <a:p>
                    <a:pPr>
                      <a:defRPr lang="zh-CN" sz="1200" b="0" i="0" u="none" strike="noStrike" kern="1200" baseline="0">
                        <a:solidFill>
                          <a:schemeClr val="tx1">
                            <a:lumMod val="75000"/>
                            <a:lumOff val="25000"/>
                          </a:schemeClr>
                        </a:solidFill>
                        <a:latin typeface="+mn-lt"/>
                        <a:ea typeface="+mn-ea"/>
                        <a:cs typeface="+mn-cs"/>
                      </a:defRPr>
                    </a:pPr>
                    <a:r>
                      <a:rPr sz="1200"/>
                      <a:t>100%</a:t>
                    </a:r>
                    <a:endParaRPr sz="1200"/>
                  </a:p>
                </c:rich>
              </c:tx>
              <c:dLblPos val="inEnd"/>
              <c:showLegendKey val="0"/>
              <c:showVal val="0"/>
              <c:showCatName val="1"/>
              <c:showSerName val="0"/>
              <c:showPercent val="1"/>
              <c:showBubbleSize val="0"/>
              <c:separator>
</c:separator>
              <c:extLst>
                <c:ext xmlns:c15="http://schemas.microsoft.com/office/drawing/2012/chart" uri="{CE6537A1-D6FC-4f65-9D91-7224C49458BB}">
                  <c15:layout>
                    <c:manualLayout>
                      <c:w val="0.209210526315789"/>
                      <c:h val="0.231018518518519"/>
                    </c:manualLayout>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val>
            <c:numRef>
              <c:f>[工作簿1]Sheet1!$B$9</c:f>
              <c:numCache>
                <c:formatCode>General</c:formatCode>
                <c:ptCount val="1"/>
                <c:pt idx="0">
                  <c:v>25440.22</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1200"/>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本年支出决算结构图</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Lbl>
              <c:idx val="0"/>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1"/>
                        </a:solidFill>
                        <a:latin typeface="+mn-lt"/>
                        <a:ea typeface="+mn-ea"/>
                        <a:cs typeface="+mn-cs"/>
                      </a:defRPr>
                    </a:pPr>
                    <a:r>
                      <a:t>基本支出</a:t>
                    </a:r>
                    <a:r>
                      <a:rPr lang="en-US" altLang="zh-CN"/>
                      <a:t>12.2%</a:t>
                    </a:r>
                    <a:endParaRPr lang="en-US" altLang="zh-CN"/>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2"/>
                        </a:solidFill>
                        <a:latin typeface="+mn-lt"/>
                        <a:ea typeface="+mn-ea"/>
                        <a:cs typeface="+mn-cs"/>
                      </a:defRPr>
                    </a:pPr>
                    <a:r>
                      <a:t>项目支出</a:t>
                    </a:r>
                    <a:r>
                      <a:rPr lang="en-US" altLang="zh-CN"/>
                      <a:t>87.8</a:t>
                    </a:r>
                    <a:endParaRPr lang="en-US" altLang="zh-CN"/>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XLSX 工作表.xlsx]Sheet1'!$A$8:$A$9</c:f>
              <c:strCache>
                <c:ptCount val="2"/>
                <c:pt idx="0">
                  <c:v>基本支出</c:v>
                </c:pt>
                <c:pt idx="1">
                  <c:v>项目支出</c:v>
                </c:pt>
              </c:strCache>
            </c:strRef>
          </c:cat>
          <c:val>
            <c:numRef>
              <c:f>'[新建 XLSX 工作表.xlsx]Sheet1'!$B$8:$B$9</c:f>
              <c:numCache>
                <c:formatCode>0.0%</c:formatCode>
                <c:ptCount val="2"/>
                <c:pt idx="0">
                  <c:v>0.122485054241205</c:v>
                </c:pt>
                <c:pt idx="1">
                  <c:v>0.877514945758795</c:v>
                </c:pt>
              </c:numCache>
            </c:numRef>
          </c:val>
        </c:ser>
        <c:dLbls>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财政拨款收入支出决算总计变动情况</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'[新建 XLSX 工作表.xlsx]Sheet1'!$A$2:$A$3</c:f>
              <c:strCache>
                <c:ptCount val="2"/>
                <c:pt idx="0">
                  <c:v>2021年</c:v>
                </c:pt>
                <c:pt idx="1">
                  <c:v>2022年</c:v>
                </c:pt>
              </c:strCache>
            </c:strRef>
          </c:cat>
          <c:val>
            <c:numRef>
              <c:f>'[新建 XLSX 工作表.xlsx]Sheet1'!$B$2:$B$3</c:f>
              <c:numCache>
                <c:formatCode>General</c:formatCode>
                <c:ptCount val="2"/>
                <c:pt idx="0">
                  <c:v>25440.22</c:v>
                </c:pt>
                <c:pt idx="1">
                  <c:v>17458.13</c:v>
                </c:pt>
              </c:numCache>
            </c:numRef>
          </c:val>
        </c:ser>
        <c:dLbls>
          <c:showLegendKey val="0"/>
          <c:showVal val="0"/>
          <c:showCatName val="0"/>
          <c:showSerName val="0"/>
          <c:showPercent val="0"/>
          <c:showBubbleSize val="0"/>
        </c:dLbls>
        <c:gapWidth val="246"/>
        <c:overlap val="-28"/>
        <c:axId val="596788874"/>
        <c:axId val="206359376"/>
      </c:barChart>
      <c:catAx>
        <c:axId val="59678887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6359376"/>
        <c:crosses val="autoZero"/>
        <c:auto val="1"/>
        <c:lblAlgn val="ctr"/>
        <c:lblOffset val="100"/>
        <c:noMultiLvlLbl val="0"/>
      </c:catAx>
      <c:valAx>
        <c:axId val="206359376"/>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678887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一般公共预算财政拨款支出决算变动情况</a:t>
            </a:r>
          </a:p>
        </c:rich>
      </c:tx>
      <c:layout>
        <c:manualLayout>
          <c:xMode val="edge"/>
          <c:yMode val="edge"/>
          <c:x val="0.158684210526316"/>
          <c:y val="0.0243055555555556"/>
        </c:manualLayout>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'[新建 XLSX 工作表.xlsx]Sheet1'!$A$2:$A$3</c:f>
              <c:strCache>
                <c:ptCount val="2"/>
                <c:pt idx="0">
                  <c:v>2021年</c:v>
                </c:pt>
                <c:pt idx="1">
                  <c:v>2022年</c:v>
                </c:pt>
              </c:strCache>
            </c:strRef>
          </c:cat>
          <c:val>
            <c:numRef>
              <c:f>'[新建 XLSX 工作表.xlsx]Sheet1'!$B$2:$B$3</c:f>
              <c:numCache>
                <c:formatCode>General</c:formatCode>
                <c:ptCount val="2"/>
                <c:pt idx="0">
                  <c:v>10440.22</c:v>
                </c:pt>
                <c:pt idx="1">
                  <c:v>7368.55</c:v>
                </c:pt>
              </c:numCache>
            </c:numRef>
          </c:val>
        </c:ser>
        <c:dLbls>
          <c:showLegendKey val="0"/>
          <c:showVal val="0"/>
          <c:showCatName val="0"/>
          <c:showSerName val="0"/>
          <c:showPercent val="0"/>
          <c:showBubbleSize val="0"/>
        </c:dLbls>
        <c:gapWidth val="246"/>
        <c:overlap val="-28"/>
        <c:axId val="106964003"/>
        <c:axId val="585418343"/>
      </c:barChart>
      <c:catAx>
        <c:axId val="10696400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5418343"/>
        <c:crosses val="autoZero"/>
        <c:auto val="1"/>
        <c:lblAlgn val="ctr"/>
        <c:lblOffset val="100"/>
        <c:noMultiLvlLbl val="0"/>
      </c:catAx>
      <c:valAx>
        <c:axId val="585418343"/>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0696400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一般公共预算财政拨款支出决算结构情况</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dLbl>
              <c:idx val="0"/>
              <c:layout>
                <c:manualLayout>
                  <c:x val="0"/>
                  <c:y val="-0.0025462962962963"/>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237631578947368"/>
                      <c:h val="0.180555555555556"/>
                    </c:manualLayout>
                  </c15:layout>
                </c:ext>
              </c:extLst>
            </c:dLbl>
            <c:dLbl>
              <c:idx val="1"/>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2"/>
                        </a:solidFill>
                        <a:latin typeface="+mn-lt"/>
                        <a:ea typeface="+mn-ea"/>
                        <a:cs typeface="+mn-cs"/>
                      </a:defRPr>
                    </a:pPr>
                    <a:r>
                      <a:t>公共安全支出</a:t>
                    </a:r>
                  </a:p>
                  <a:p>
                    <a:pPr defTabSz="914400">
                      <a:defRPr lang="zh-CN" sz="1000" b="1" i="0" u="none" strike="noStrike" kern="1200" spc="0" baseline="0">
                        <a:solidFill>
                          <a:schemeClr val="accent2"/>
                        </a:solidFill>
                        <a:latin typeface="+mn-lt"/>
                        <a:ea typeface="+mn-ea"/>
                        <a:cs typeface="+mn-cs"/>
                      </a:defRPr>
                    </a:pPr>
                    <a:r>
                      <a:rPr lang="en-US" altLang="zh-CN"/>
                      <a:t>1.7</a:t>
                    </a:r>
                    <a:r>
                      <a:t>%</a:t>
                    </a:r>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3"/>
                        </a:solidFill>
                        <a:latin typeface="+mn-lt"/>
                        <a:ea typeface="+mn-ea"/>
                        <a:cs typeface="+mn-cs"/>
                      </a:defRPr>
                    </a:pPr>
                    <a:r>
                      <a:t>教育支出9</a:t>
                    </a:r>
                    <a:r>
                      <a:rPr lang="en-US" altLang="zh-CN"/>
                      <a:t>.3</a:t>
                    </a:r>
                    <a:r>
                      <a:t>%</a:t>
                    </a:r>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4"/>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5"/>
                        </a:solidFill>
                        <a:latin typeface="+mn-lt"/>
                        <a:ea typeface="+mn-ea"/>
                        <a:cs typeface="+mn-cs"/>
                      </a:defRPr>
                    </a:pPr>
                    <a:r>
                      <a:t>文化旅游体育与传媒支出</a:t>
                    </a:r>
                  </a:p>
                  <a:p>
                    <a:pPr defTabSz="914400">
                      <a:defRPr lang="zh-CN" sz="1000" b="1" i="0" u="none" strike="noStrike" kern="1200" spc="0" baseline="0">
                        <a:solidFill>
                          <a:schemeClr val="accent5"/>
                        </a:solidFill>
                        <a:latin typeface="+mn-lt"/>
                        <a:ea typeface="+mn-ea"/>
                        <a:cs typeface="+mn-cs"/>
                      </a:defRPr>
                    </a:pPr>
                    <a:r>
                      <a:rPr lang="en-US" altLang="zh-CN"/>
                      <a:t>0.7</a:t>
                    </a:r>
                    <a:r>
                      <a:t>%</a:t>
                    </a:r>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5"/>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5"/>
              <c:layout/>
              <c:tx>
                <c:rich>
                  <a:bodyPr rot="0" spcFirstLastPara="0" vertOverflow="ellipsis" vert="horz" wrap="square" lIns="38100" tIns="19050" rIns="38100" bIns="19050" anchor="ctr" anchorCtr="1"/>
                  <a:lstStyle/>
                  <a:p>
                    <a:pPr defTabSz="914400">
                      <a:defRPr lang="zh-CN" sz="1000" b="1" i="0" u="none" strike="noStrike" kern="1200" spc="0" baseline="0">
                        <a:solidFill>
                          <a:schemeClr val="accent6"/>
                        </a:solidFill>
                        <a:latin typeface="+mn-lt"/>
                        <a:ea typeface="+mn-ea"/>
                        <a:cs typeface="+mn-cs"/>
                      </a:defRPr>
                    </a:pPr>
                    <a:r>
                      <a:t>城乡社区支出21</a:t>
                    </a:r>
                    <a:r>
                      <a:rPr lang="en-US" altLang="zh-CN"/>
                      <a:t>.3</a:t>
                    </a:r>
                    <a:r>
                      <a:t>%</a:t>
                    </a:r>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6"/>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XLSX 工作表.xlsx]Sheet1'!$C$19:$C$24</c:f>
              <c:strCache>
                <c:ptCount val="6"/>
                <c:pt idx="0">
                  <c:v>一般公共服务支出</c:v>
                </c:pt>
                <c:pt idx="1">
                  <c:v>公共安全支出</c:v>
                </c:pt>
                <c:pt idx="2">
                  <c:v>教育支出</c:v>
                </c:pt>
                <c:pt idx="3">
                  <c:v>科学技术支出</c:v>
                </c:pt>
                <c:pt idx="4">
                  <c:v>文化旅游体育与传媒支出</c:v>
                </c:pt>
                <c:pt idx="5">
                  <c:v>城乡社区支出</c:v>
                </c:pt>
              </c:strCache>
            </c:strRef>
          </c:cat>
          <c:val>
            <c:numRef>
              <c:f>'[新建 XLSX 工作表.xlsx]Sheet1'!$D$19:$D$24</c:f>
              <c:numCache>
                <c:formatCode>0.0%</c:formatCode>
                <c:ptCount val="6"/>
                <c:pt idx="0">
                  <c:v>0.290201315321624</c:v>
                </c:pt>
                <c:pt idx="1">
                  <c:v>0.0167387297890763</c:v>
                </c:pt>
                <c:pt idx="2">
                  <c:v>0.0934350631196953</c:v>
                </c:pt>
                <c:pt idx="3">
                  <c:v>0.379532444690536</c:v>
                </c:pt>
                <c:pt idx="4">
                  <c:v>0.0067679621743249</c:v>
                </c:pt>
                <c:pt idx="5">
                  <c:v>0.213324484904744</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cs:styleClr val="auto"/>
    </cs:fontRef>
    <cs:defRPr sz="1000" b="1" i="0" u="none" strike="noStrike" kern="1200" spc="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cs:styleClr val="auto"/>
    </cs:fontRef>
    <cs:defRPr sz="1000" b="1" i="0" u="none" strike="noStrike" kern="1200" spc="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2023-09-25T07:59:00Z</dcterms:created>
  <dc:creator>Administrator</dc:creator>
  <cp:lastModifiedBy>大样儿</cp:lastModifiedBy>
  <dcterms:modified xsi:type="dcterms:W3CDTF">2023-09-25T08:03:23Z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CF22A32B4CC04B51944F9A69DEA6DA0D_12</vt:lpwstr>
  </property>
</Properties>
</file>