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ind w:firstLine="632" w:firstLineChars="200"/>
        <w:jc w:val="right"/>
        <w:rPr>
          <w:rFonts w:hint="eastAsia" w:ascii="仿宋_GB2312" w:eastAsia="仿宋_GB2312"/>
        </w:rPr>
      </w:pPr>
    </w:p>
    <w:p>
      <w:pPr>
        <w:jc w:val="center"/>
        <w:rPr>
          <w:rFonts w:hint="eastAsia" w:ascii="仿宋_GB2312" w:eastAsia="仿宋_GB2312"/>
        </w:rPr>
      </w:pPr>
    </w:p>
    <w:p>
      <w:pPr>
        <w:jc w:val="center"/>
        <w:rPr>
          <w:rFonts w:hint="eastAsia" w:ascii="仿宋_GB2312" w:eastAsia="仿宋_GB2312"/>
        </w:rPr>
      </w:pPr>
    </w:p>
    <w:p>
      <w:pPr>
        <w:jc w:val="center"/>
        <w:rPr>
          <w:rFonts w:hint="eastAsia" w:ascii="方正小标宋简体" w:eastAsia="方正小标宋简体"/>
          <w:spacing w:val="60"/>
          <w:sz w:val="74"/>
        </w:rPr>
      </w:pPr>
      <w:r>
        <w:rPr>
          <w:rFonts w:hint="eastAsia" w:ascii="方正小标宋简体" w:eastAsia="方正小标宋简体"/>
          <w:spacing w:val="60"/>
          <w:sz w:val="74"/>
        </w:rPr>
        <w:t>2023年度</w:t>
      </w:r>
    </w:p>
    <w:p>
      <w:pPr>
        <w:jc w:val="center"/>
        <w:rPr>
          <w:rFonts w:hint="eastAsia" w:ascii="方正小标宋简体" w:eastAsia="方正小标宋简体"/>
          <w:spacing w:val="60"/>
          <w:sz w:val="74"/>
        </w:rPr>
      </w:pPr>
      <w:r>
        <w:rPr>
          <w:rFonts w:hint="eastAsia" w:ascii="方正小标宋简体" w:eastAsia="方正小标宋简体"/>
          <w:spacing w:val="60"/>
          <w:sz w:val="74"/>
          <w:lang w:eastAsia="zh-CN"/>
        </w:rPr>
        <w:t>青岛市即墨区龙泉街道</w:t>
      </w:r>
      <w:r>
        <w:rPr>
          <w:rFonts w:hint="eastAsia" w:ascii="方正小标宋简体" w:eastAsia="方正小标宋简体"/>
          <w:spacing w:val="60"/>
          <w:sz w:val="74"/>
          <w:lang w:val="en-US" w:eastAsia="zh-CN"/>
        </w:rPr>
        <w:t xml:space="preserve">     </w:t>
      </w:r>
      <w:r>
        <w:rPr>
          <w:rFonts w:hint="eastAsia" w:ascii="方正小标宋简体" w:eastAsia="方正小标宋简体"/>
          <w:spacing w:val="60"/>
          <w:sz w:val="74"/>
        </w:rPr>
        <w:t>部门决算</w:t>
      </w:r>
    </w:p>
    <w:p>
      <w:pPr>
        <w:jc w:val="center"/>
        <w:rPr>
          <w:rFonts w:hint="eastAsia" w:ascii="楷体_GB2312" w:eastAsia="楷体_GB2312"/>
          <w:b/>
          <w:sz w:val="42"/>
        </w:rPr>
      </w:pPr>
    </w:p>
    <w:p>
      <w:pPr>
        <w:jc w:val="center"/>
        <w:rPr>
          <w:rFonts w:hint="eastAsia" w:ascii="楷体_GB2312" w:eastAsia="楷体_GB2312"/>
          <w:b/>
          <w:sz w:val="42"/>
        </w:rPr>
      </w:pPr>
    </w:p>
    <w:p>
      <w:pPr>
        <w:jc w:val="center"/>
        <w:rPr>
          <w:rFonts w:hint="eastAsia" w:ascii="仿宋_GB2312" w:eastAsia="仿宋_GB2312"/>
        </w:rPr>
      </w:pPr>
    </w:p>
    <w:p>
      <w:pPr>
        <w:rPr>
          <w:rFonts w:hint="eastAsia" w:ascii="仿宋_GB2312" w:eastAsia="仿宋_GB2312"/>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both"/>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目  录</w:t>
      </w:r>
    </w:p>
    <w:p>
      <w:pPr>
        <w:spacing w:line="580" w:lineRule="exact"/>
        <w:ind w:firstLine="316" w:firstLineChars="100"/>
        <w:rPr>
          <w:rFonts w:hint="eastAsia" w:ascii="黑体" w:hAnsi="黑体" w:eastAsia="黑体"/>
        </w:rPr>
      </w:pPr>
      <w:r>
        <w:rPr>
          <w:rFonts w:hint="eastAsia" w:ascii="黑体" w:hAnsi="黑体" w:eastAsia="黑体"/>
        </w:rPr>
        <w:t>第一部分  部门概况</w:t>
      </w:r>
    </w:p>
    <w:p>
      <w:pPr>
        <w:spacing w:line="580" w:lineRule="exact"/>
        <w:ind w:firstLine="632" w:firstLineChars="200"/>
        <w:rPr>
          <w:rFonts w:hint="eastAsia" w:ascii="仿宋_GB2312" w:eastAsia="仿宋_GB2312"/>
        </w:rPr>
      </w:pPr>
      <w:r>
        <w:rPr>
          <w:rFonts w:hint="eastAsia" w:ascii="仿宋_GB2312" w:eastAsia="仿宋_GB2312"/>
        </w:rPr>
        <w:t>一、部门职责</w:t>
      </w:r>
    </w:p>
    <w:p>
      <w:pPr>
        <w:spacing w:line="580" w:lineRule="exact"/>
        <w:ind w:firstLine="632" w:firstLineChars="200"/>
        <w:rPr>
          <w:rFonts w:hint="eastAsia" w:ascii="仿宋_GB2312" w:eastAsia="仿宋_GB2312"/>
        </w:rPr>
      </w:pPr>
      <w:r>
        <w:rPr>
          <w:rFonts w:hint="eastAsia" w:ascii="仿宋_GB2312" w:eastAsia="仿宋_GB2312"/>
        </w:rPr>
        <w:t>二、机构设置</w:t>
      </w:r>
    </w:p>
    <w:p>
      <w:pPr>
        <w:spacing w:line="580" w:lineRule="exact"/>
        <w:ind w:firstLine="316" w:firstLineChars="100"/>
        <w:rPr>
          <w:rFonts w:hint="eastAsia" w:ascii="黑体" w:hAnsi="黑体" w:eastAsia="黑体"/>
        </w:rPr>
      </w:pPr>
      <w:r>
        <w:rPr>
          <w:rFonts w:hint="eastAsia" w:ascii="黑体" w:hAnsi="黑体" w:eastAsia="黑体"/>
        </w:rPr>
        <w:t>第二部分  2023年度部门决算表</w:t>
      </w:r>
    </w:p>
    <w:p>
      <w:pPr>
        <w:spacing w:line="580" w:lineRule="exact"/>
        <w:ind w:firstLine="632" w:firstLineChars="200"/>
        <w:rPr>
          <w:rFonts w:hint="eastAsia" w:ascii="仿宋_GB2312" w:eastAsia="仿宋_GB2312"/>
        </w:rPr>
      </w:pPr>
      <w:r>
        <w:rPr>
          <w:rFonts w:hint="eastAsia" w:ascii="仿宋_GB2312" w:eastAsia="仿宋_GB2312"/>
        </w:rPr>
        <w:t>一、收入支出决算总表</w:t>
      </w:r>
    </w:p>
    <w:p>
      <w:pPr>
        <w:spacing w:line="580" w:lineRule="exact"/>
        <w:ind w:firstLine="632" w:firstLineChars="200"/>
        <w:rPr>
          <w:rFonts w:hint="eastAsia" w:ascii="仿宋_GB2312" w:eastAsia="仿宋_GB2312"/>
        </w:rPr>
      </w:pPr>
      <w:r>
        <w:rPr>
          <w:rFonts w:hint="eastAsia" w:ascii="仿宋_GB2312" w:eastAsia="仿宋_GB2312"/>
        </w:rPr>
        <w:t>二、收入决算表</w:t>
      </w:r>
    </w:p>
    <w:p>
      <w:pPr>
        <w:spacing w:line="580" w:lineRule="exact"/>
        <w:ind w:firstLine="632" w:firstLineChars="200"/>
        <w:rPr>
          <w:rFonts w:hint="eastAsia" w:ascii="仿宋_GB2312" w:eastAsia="仿宋_GB2312"/>
        </w:rPr>
      </w:pPr>
      <w:r>
        <w:rPr>
          <w:rFonts w:hint="eastAsia" w:ascii="仿宋_GB2312" w:eastAsia="仿宋_GB2312"/>
        </w:rPr>
        <w:t>三、支出决算表</w:t>
      </w:r>
    </w:p>
    <w:p>
      <w:pPr>
        <w:spacing w:line="580" w:lineRule="exact"/>
        <w:ind w:firstLine="632" w:firstLineChars="200"/>
        <w:rPr>
          <w:rFonts w:hint="eastAsia" w:ascii="仿宋_GB2312" w:eastAsia="仿宋_GB2312"/>
        </w:rPr>
      </w:pPr>
      <w:r>
        <w:rPr>
          <w:rFonts w:hint="eastAsia" w:ascii="仿宋_GB2312" w:eastAsia="仿宋_GB2312"/>
        </w:rPr>
        <w:t>四、财政拨款收入支出决算总表</w:t>
      </w:r>
    </w:p>
    <w:p>
      <w:pPr>
        <w:spacing w:line="580" w:lineRule="exact"/>
        <w:ind w:firstLine="632" w:firstLineChars="200"/>
        <w:rPr>
          <w:rFonts w:hint="eastAsia" w:ascii="仿宋_GB2312" w:eastAsia="仿宋_GB2312"/>
        </w:rPr>
      </w:pPr>
      <w:r>
        <w:rPr>
          <w:rFonts w:hint="eastAsia" w:ascii="仿宋_GB2312" w:eastAsia="仿宋_GB2312"/>
        </w:rPr>
        <w:t>五、一般公共预算财政拨款支出决算表</w:t>
      </w:r>
    </w:p>
    <w:p>
      <w:pPr>
        <w:spacing w:line="580" w:lineRule="exact"/>
        <w:ind w:firstLine="632" w:firstLineChars="200"/>
        <w:rPr>
          <w:rFonts w:hint="eastAsia" w:ascii="仿宋_GB2312" w:eastAsia="仿宋_GB2312"/>
        </w:rPr>
      </w:pPr>
      <w:r>
        <w:rPr>
          <w:rFonts w:hint="eastAsia" w:ascii="仿宋_GB2312" w:eastAsia="仿宋_GB2312"/>
        </w:rPr>
        <w:t>六、一般公共预算财政拨款基本支出决算明细表</w:t>
      </w:r>
    </w:p>
    <w:p>
      <w:pPr>
        <w:spacing w:line="580" w:lineRule="exact"/>
        <w:ind w:firstLine="632" w:firstLineChars="200"/>
        <w:rPr>
          <w:rFonts w:hint="eastAsia" w:ascii="仿宋_GB2312" w:eastAsia="仿宋_GB2312"/>
        </w:rPr>
      </w:pPr>
      <w:r>
        <w:rPr>
          <w:rFonts w:hint="eastAsia" w:ascii="仿宋_GB2312" w:eastAsia="仿宋_GB2312"/>
        </w:rPr>
        <w:t>七、政府性基金预算财政拨款收入支出决算表</w:t>
      </w:r>
    </w:p>
    <w:p>
      <w:pPr>
        <w:spacing w:line="580" w:lineRule="exact"/>
        <w:ind w:firstLine="632" w:firstLineChars="200"/>
        <w:rPr>
          <w:rFonts w:hint="eastAsia" w:ascii="仿宋_GB2312" w:eastAsia="仿宋_GB2312"/>
        </w:rPr>
      </w:pPr>
      <w:r>
        <w:rPr>
          <w:rFonts w:hint="eastAsia" w:ascii="仿宋_GB2312" w:eastAsia="仿宋_GB2312"/>
        </w:rPr>
        <w:t>八、国有资本经营预算财政拨款支出决算表</w:t>
      </w:r>
    </w:p>
    <w:p>
      <w:pPr>
        <w:spacing w:line="580" w:lineRule="exact"/>
        <w:ind w:firstLine="632" w:firstLineChars="200"/>
        <w:rPr>
          <w:rFonts w:ascii="仿宋_GB2312" w:eastAsia="仿宋_GB2312"/>
        </w:rPr>
      </w:pPr>
      <w:r>
        <w:rPr>
          <w:rFonts w:hint="eastAsia" w:ascii="仿宋_GB2312" w:eastAsia="仿宋_GB2312"/>
        </w:rPr>
        <w:t>九、财政拨款“三公”经费支出决算表</w:t>
      </w:r>
    </w:p>
    <w:p>
      <w:pPr>
        <w:spacing w:line="580" w:lineRule="exact"/>
        <w:ind w:firstLine="316" w:firstLineChars="100"/>
        <w:rPr>
          <w:rFonts w:hint="eastAsia" w:ascii="黑体" w:hAnsi="黑体" w:eastAsia="黑体"/>
        </w:rPr>
      </w:pPr>
      <w:r>
        <w:rPr>
          <w:rFonts w:hint="eastAsia" w:ascii="黑体" w:hAnsi="黑体" w:eastAsia="黑体"/>
        </w:rPr>
        <w:t>第三部分  2023年度部门决算情况说明</w:t>
      </w:r>
    </w:p>
    <w:p>
      <w:pPr>
        <w:spacing w:line="580" w:lineRule="exact"/>
        <w:ind w:firstLine="316" w:firstLineChars="100"/>
        <w:rPr>
          <w:rFonts w:hint="eastAsia" w:ascii="黑体" w:hAnsi="黑体" w:eastAsia="黑体"/>
        </w:rPr>
      </w:pPr>
      <w:r>
        <w:rPr>
          <w:rFonts w:hint="eastAsia" w:ascii="黑体" w:hAnsi="黑体" w:eastAsia="黑体"/>
        </w:rPr>
        <w:t>第四部分  名词解释</w:t>
      </w:r>
    </w:p>
    <w:p>
      <w:pPr>
        <w:spacing w:line="580" w:lineRule="exact"/>
        <w:ind w:firstLine="316" w:firstLineChars="100"/>
        <w:rPr>
          <w:rFonts w:hint="eastAsia" w:ascii="黑体" w:hAnsi="黑体" w:eastAsia="黑体"/>
        </w:rPr>
      </w:pPr>
      <w:r>
        <w:rPr>
          <w:rFonts w:hint="eastAsia" w:ascii="黑体" w:hAnsi="黑体" w:eastAsia="黑体"/>
        </w:rPr>
        <w:t xml:space="preserve">第五部分  附件    </w:t>
      </w:r>
      <w:r>
        <w:rPr>
          <w:rFonts w:hint="eastAsia" w:ascii="黑体" w:hAnsi="黑体" w:eastAsia="黑体"/>
          <w:sz w:val="21"/>
          <w:szCs w:val="21"/>
        </w:rPr>
        <w:t xml:space="preserve"> </w:t>
      </w:r>
    </w:p>
    <w:p>
      <w:pPr>
        <w:spacing w:line="580" w:lineRule="exact"/>
        <w:ind w:firstLine="316" w:firstLineChars="100"/>
        <w:rPr>
          <w:rFonts w:hint="eastAsia" w:ascii="黑体" w:hAnsi="黑体" w:eastAsia="黑体"/>
        </w:rPr>
      </w:pPr>
    </w:p>
    <w:p>
      <w:pPr>
        <w:spacing w:line="580" w:lineRule="exact"/>
        <w:ind w:firstLine="316" w:firstLineChars="100"/>
        <w:rPr>
          <w:rFonts w:hint="eastAsia" w:ascii="黑体" w:hAnsi="黑体" w:eastAsia="黑体"/>
        </w:rPr>
      </w:pPr>
    </w:p>
    <w:p>
      <w:pP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第一部分</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部门概况</w:t>
      </w:r>
    </w:p>
    <w:p>
      <w:pPr>
        <w:jc w:val="center"/>
        <w:rPr>
          <w:rFonts w:hint="eastAsia" w:ascii="仿宋_GB2312" w:eastAsia="仿宋_GB2312"/>
        </w:rPr>
        <w:sectPr>
          <w:headerReference r:id="rId3" w:type="default"/>
          <w:footerReference r:id="rId4" w:type="default"/>
          <w:footerReference r:id="rId5" w:type="even"/>
          <w:pgSz w:w="11906" w:h="16838"/>
          <w:pgMar w:top="1701" w:right="1531" w:bottom="1701" w:left="1531" w:header="0" w:footer="1418" w:gutter="0"/>
          <w:cols w:space="720" w:num="1"/>
          <w:docGrid w:type="linesAndChars" w:linePitch="610" w:charSpace="-849"/>
        </w:sectPr>
      </w:pPr>
    </w:p>
    <w:p>
      <w:pPr>
        <w:spacing w:line="580" w:lineRule="exact"/>
        <w:ind w:firstLine="632" w:firstLineChars="200"/>
        <w:rPr>
          <w:rFonts w:hint="eastAsia" w:ascii="黑体" w:hAnsi="黑体" w:eastAsia="黑体"/>
        </w:rPr>
      </w:pPr>
      <w:r>
        <w:rPr>
          <w:rFonts w:hint="eastAsia" w:ascii="黑体" w:hAnsi="黑体" w:eastAsia="黑体"/>
        </w:rPr>
        <w:t>一、部门职责</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1.贯彻执行党和国家的路线方针、政策以及市、区关于街道工作方面的指示，制订具体的管理办法并组织实施。</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2.指导、搞好辖区内村（居）工作，支持、帮助居民委员会加强思想、组织、制度建设，向上级人民政府和有关部门及时反映居民的意见、建议和要求。</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3.抓好社区文化建设，开展文明街道、文明单位，文明小区建设活动，组织居民开展经常性的文化、娱乐、体育活动。</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4.负责街道的人民调解、治安保卫工作，加强对违法青少年的帮教转化，保护老人、妇女、儿童的合法权益。</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5.协助有关部门做好辖区拥军优属、优抚安置、社会救济、殡葬改革、残疾人就业等工作；积极开展便民利民的社区服务和社区教育工作。</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6.会同有关部门做好辖区内常住和流动人口的管理及</w:t>
      </w:r>
      <w:r>
        <w:rPr>
          <w:rFonts w:hint="eastAsia" w:ascii="仿宋_GB2312" w:hAnsi="仿宋_GB2312" w:eastAsia="仿宋_GB2312" w:cs="仿宋_GB2312"/>
          <w:color w:val="000000"/>
          <w:kern w:val="0"/>
          <w:szCs w:val="32"/>
          <w:lang w:eastAsia="zh-CN"/>
        </w:rPr>
        <w:t>计划</w:t>
      </w:r>
      <w:r>
        <w:rPr>
          <w:rFonts w:hint="eastAsia" w:ascii="仿宋_GB2312" w:hAnsi="仿宋_GB2312" w:eastAsia="仿宋_GB2312" w:cs="仿宋_GB2312"/>
          <w:color w:val="000000"/>
          <w:kern w:val="0"/>
          <w:szCs w:val="32"/>
        </w:rPr>
        <w:t>生育工作，完成区下达的各项</w:t>
      </w:r>
      <w:r>
        <w:rPr>
          <w:rFonts w:hint="eastAsia" w:ascii="仿宋_GB2312" w:hAnsi="仿宋_GB2312" w:eastAsia="仿宋_GB2312" w:cs="仿宋_GB2312"/>
          <w:color w:val="000000"/>
          <w:kern w:val="0"/>
          <w:szCs w:val="32"/>
          <w:lang w:eastAsia="zh-CN"/>
        </w:rPr>
        <w:t>计划</w:t>
      </w:r>
      <w:r>
        <w:rPr>
          <w:rFonts w:hint="eastAsia" w:ascii="仿宋_GB2312" w:hAnsi="仿宋_GB2312" w:eastAsia="仿宋_GB2312" w:cs="仿宋_GB2312"/>
          <w:color w:val="000000"/>
          <w:kern w:val="0"/>
          <w:szCs w:val="32"/>
        </w:rPr>
        <w:t>生育指标任务。</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7.协助武装部门做好辖区民兵训练和公民服兵役工作。</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8.负责在辖区开展普法教育工作，做好民事调解，开展法律咨询、服务等工作，维护居民的合法权益，搞好辖区内社会管理综合治理工作。</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9.负责本辖区的城市管理工作，发动群众开展爱国卫生运动，绿化、美化、净化城市环境，协助有关部门做好环境卫生、环境保护工作。</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10.负责本辖区的综合执法工作，维护辖区的良好秩序。</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11.负责研究辖区经济发展的规划，协助有关部门抓好安全生产工作。</w:t>
      </w:r>
    </w:p>
    <w:p>
      <w:pPr>
        <w:widowControl/>
        <w:spacing w:line="570" w:lineRule="exact"/>
        <w:ind w:firstLine="420"/>
        <w:rPr>
          <w:rFonts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12.配合有关部门做好辖区内的三防、抢险救灾、安全生产检查、居民迁移等工作。</w:t>
      </w:r>
    </w:p>
    <w:p>
      <w:pPr>
        <w:spacing w:line="580" w:lineRule="exact"/>
        <w:ind w:firstLine="632" w:firstLineChars="200"/>
        <w:rPr>
          <w:rFonts w:hint="eastAsia" w:ascii="仿宋_GB2312" w:hAnsi="仿宋_GB2312" w:eastAsia="仿宋_GB2312" w:cs="仿宋_GB2312"/>
          <w:color w:val="000000"/>
          <w:kern w:val="0"/>
          <w:szCs w:val="32"/>
        </w:rPr>
      </w:pPr>
      <w:r>
        <w:rPr>
          <w:rFonts w:hint="eastAsia" w:ascii="仿宋_GB2312" w:hAnsi="仿宋_GB2312" w:eastAsia="仿宋_GB2312" w:cs="仿宋_GB2312"/>
          <w:color w:val="000000"/>
          <w:kern w:val="0"/>
          <w:szCs w:val="32"/>
        </w:rPr>
        <w:t>13.承办区委、区政府交办的其他工作。</w:t>
      </w:r>
    </w:p>
    <w:p>
      <w:pPr>
        <w:spacing w:line="580" w:lineRule="exact"/>
        <w:ind w:firstLine="632" w:firstLineChars="200"/>
        <w:rPr>
          <w:rFonts w:hint="eastAsia" w:ascii="黑体" w:hAnsi="黑体" w:eastAsia="黑体"/>
        </w:rPr>
      </w:pPr>
      <w:r>
        <w:rPr>
          <w:rFonts w:hint="eastAsia" w:ascii="黑体" w:hAnsi="黑体" w:eastAsia="黑体"/>
        </w:rPr>
        <w:t>二、机构设置</w:t>
      </w:r>
    </w:p>
    <w:p>
      <w:pPr>
        <w:snapToGrid w:val="0"/>
        <w:spacing w:line="560" w:lineRule="exact"/>
        <w:ind w:firstLine="632" w:firstLineChars="200"/>
        <w:rPr>
          <w:rFonts w:hint="eastAsia" w:ascii="仿宋_GB2312" w:eastAsia="仿宋_GB2312" w:cs="Courier New"/>
          <w:szCs w:val="32"/>
        </w:rPr>
      </w:pPr>
      <w:r>
        <w:rPr>
          <w:rFonts w:hint="eastAsia" w:ascii="仿宋_GB2312" w:hAnsi="宋体" w:eastAsia="仿宋_GB2312" w:cs="Courier New"/>
          <w:szCs w:val="32"/>
        </w:rPr>
        <w:t>从决算单位构成看，</w:t>
      </w:r>
      <w:r>
        <w:rPr>
          <w:rFonts w:hint="eastAsia" w:ascii="仿宋_GB2312" w:hAnsi="宋体" w:eastAsia="仿宋_GB2312" w:cs="Courier New"/>
          <w:szCs w:val="32"/>
          <w:lang w:eastAsia="zh-CN"/>
        </w:rPr>
        <w:t>即墨区龙泉街道</w:t>
      </w:r>
      <w:r>
        <w:rPr>
          <w:rFonts w:hint="eastAsia" w:ascii="仿宋_GB2312" w:hAnsi="宋体" w:eastAsia="仿宋_GB2312" w:cs="Courier New"/>
          <w:szCs w:val="32"/>
        </w:rPr>
        <w:t>部门决算包括：</w:t>
      </w:r>
      <w:r>
        <w:rPr>
          <w:rFonts w:hint="eastAsia" w:ascii="仿宋_GB2312" w:hAnsi="宋体" w:eastAsia="仿宋_GB2312" w:cs="Courier New"/>
          <w:szCs w:val="32"/>
          <w:lang w:eastAsia="zh-CN"/>
        </w:rPr>
        <w:t>龙泉街道</w:t>
      </w:r>
      <w:r>
        <w:rPr>
          <w:rFonts w:hint="eastAsia" w:ascii="仿宋_GB2312" w:hAnsi="宋体" w:eastAsia="仿宋_GB2312" w:cs="Courier New"/>
          <w:szCs w:val="32"/>
        </w:rPr>
        <w:t>本级决算。</w:t>
      </w:r>
    </w:p>
    <w:p>
      <w:pPr>
        <w:spacing w:line="560" w:lineRule="exact"/>
        <w:ind w:firstLine="632" w:firstLineChars="200"/>
        <w:rPr>
          <w:rFonts w:hint="eastAsia" w:ascii="仿宋_GB2312" w:hAnsi="宋体" w:eastAsia="仿宋_GB2312" w:cs="Courier New"/>
          <w:szCs w:val="32"/>
        </w:rPr>
      </w:pPr>
      <w:r>
        <w:rPr>
          <w:rFonts w:hint="eastAsia" w:ascii="仿宋_GB2312" w:hAnsi="宋体" w:eastAsia="仿宋_GB2312" w:cs="Courier New"/>
          <w:szCs w:val="32"/>
        </w:rPr>
        <w:t>纳入</w:t>
      </w:r>
      <w:r>
        <w:rPr>
          <w:rFonts w:hint="eastAsia" w:ascii="仿宋_GB2312" w:hAnsi="宋体" w:eastAsia="仿宋_GB2312" w:cs="Courier New"/>
          <w:szCs w:val="32"/>
          <w:lang w:eastAsia="zh-CN"/>
        </w:rPr>
        <w:t>龙泉街道</w:t>
      </w:r>
      <w:r>
        <w:rPr>
          <w:rFonts w:hint="eastAsia" w:ascii="仿宋_GB2312" w:hAnsi="宋体" w:eastAsia="仿宋_GB2312" w:cs="Courier New"/>
          <w:szCs w:val="32"/>
        </w:rPr>
        <w:t>2023年度部门决算汇编范围的单位共</w:t>
      </w:r>
      <w:r>
        <w:rPr>
          <w:rFonts w:hint="eastAsia" w:ascii="仿宋_GB2312" w:hAnsi="宋体" w:eastAsia="仿宋_GB2312" w:cs="Courier New"/>
          <w:szCs w:val="32"/>
          <w:lang w:val="en-US" w:eastAsia="zh-CN"/>
        </w:rPr>
        <w:t>1</w:t>
      </w:r>
      <w:r>
        <w:rPr>
          <w:rFonts w:hint="eastAsia" w:ascii="仿宋_GB2312" w:hAnsi="宋体" w:eastAsia="仿宋_GB2312" w:cs="Courier New"/>
          <w:szCs w:val="32"/>
        </w:rPr>
        <w:t>个，</w:t>
      </w:r>
      <w:r>
        <w:rPr>
          <w:rFonts w:hint="eastAsia" w:ascii="仿宋_GB2312" w:hAnsi="宋体" w:eastAsia="仿宋_GB2312" w:cs="Courier New"/>
          <w:szCs w:val="32"/>
          <w:lang w:eastAsia="zh-CN"/>
        </w:rPr>
        <w:t>为即墨区龙泉街道</w:t>
      </w:r>
      <w:r>
        <w:rPr>
          <w:rFonts w:hint="eastAsia" w:ascii="仿宋_GB2312" w:hAnsi="宋体" w:eastAsia="仿宋_GB2312" w:cs="Courier New"/>
          <w:szCs w:val="32"/>
        </w:rPr>
        <w:t>本级</w:t>
      </w:r>
      <w:r>
        <w:rPr>
          <w:rFonts w:hint="eastAsia" w:ascii="仿宋_GB2312" w:hAnsi="宋体" w:eastAsia="仿宋_GB2312" w:cs="Courier New"/>
          <w:szCs w:val="32"/>
          <w:lang w:eastAsia="zh-CN"/>
        </w:rPr>
        <w:t>。</w:t>
      </w:r>
    </w:p>
    <w:p>
      <w:pPr>
        <w:spacing w:line="560" w:lineRule="exact"/>
        <w:ind w:firstLine="632" w:firstLineChars="200"/>
        <w:rPr>
          <w:rFonts w:hint="eastAsia" w:ascii="仿宋_GB2312" w:hAnsi="宋体" w:eastAsia="仿宋_GB2312" w:cs="Courier New"/>
          <w:szCs w:val="32"/>
        </w:rPr>
      </w:pPr>
    </w:p>
    <w:p>
      <w:pPr>
        <w:spacing w:line="560" w:lineRule="exact"/>
        <w:ind w:firstLine="632" w:firstLineChars="200"/>
        <w:rPr>
          <w:rFonts w:hint="eastAsia" w:ascii="仿宋_GB2312" w:hAnsi="宋体" w:eastAsia="仿宋_GB2312" w:cs="Courier New"/>
          <w:szCs w:val="32"/>
        </w:rPr>
      </w:pPr>
    </w:p>
    <w:p>
      <w:pPr>
        <w:spacing w:line="560" w:lineRule="exact"/>
        <w:ind w:firstLine="632" w:firstLineChars="200"/>
        <w:rPr>
          <w:rFonts w:hint="eastAsia" w:ascii="仿宋_GB2312" w:hAnsi="宋体" w:eastAsia="仿宋_GB2312" w:cs="Courier New"/>
          <w:szCs w:val="32"/>
        </w:rPr>
      </w:pPr>
    </w:p>
    <w:p>
      <w:pPr>
        <w:spacing w:line="560" w:lineRule="exact"/>
        <w:ind w:firstLine="632" w:firstLineChars="200"/>
        <w:rPr>
          <w:rFonts w:hint="eastAsia" w:ascii="仿宋_GB2312" w:hAnsi="宋体" w:eastAsia="仿宋_GB2312" w:cs="Courier New"/>
          <w:szCs w:val="3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第二部分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r>
        <w:rPr>
          <w:rFonts w:hint="eastAsia" w:ascii="方正小标宋简体" w:eastAsia="方正小标宋简体"/>
          <w:spacing w:val="60"/>
          <w:sz w:val="48"/>
        </w:rPr>
        <w:t>2023年度部门决算表</w:t>
      </w:r>
    </w:p>
    <w:p>
      <w:pPr>
        <w:spacing w:line="520" w:lineRule="exact"/>
        <w:rPr>
          <w:rFonts w:hint="eastAsia" w:ascii="仿宋_GB2312" w:eastAsia="仿宋_GB2312"/>
          <w:b/>
          <w:sz w:val="28"/>
          <w:szCs w:val="28"/>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z w:val="44"/>
          <w:szCs w:val="44"/>
        </w:rPr>
      </w:pPr>
      <w:r>
        <w:rPr>
          <w:rFonts w:hint="eastAsia" w:ascii="方正小标宋简体" w:eastAsia="方正小标宋简体"/>
          <w:sz w:val="44"/>
          <w:szCs w:val="44"/>
        </w:rPr>
        <w:t>收入支出决算总表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公开01表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金额单位：万元</w:t>
      </w:r>
    </w:p>
    <w:tbl>
      <w:tblPr>
        <w:tblStyle w:val="17"/>
        <w:tblW w:w="9055" w:type="dxa"/>
        <w:tblInd w:w="0" w:type="dxa"/>
        <w:tblLayout w:type="fixed"/>
        <w:tblCellMar>
          <w:top w:w="0" w:type="dxa"/>
          <w:left w:w="108" w:type="dxa"/>
          <w:bottom w:w="0" w:type="dxa"/>
          <w:right w:w="108" w:type="dxa"/>
        </w:tblCellMar>
      </w:tblPr>
      <w:tblGrid>
        <w:gridCol w:w="3045"/>
        <w:gridCol w:w="667"/>
        <w:gridCol w:w="1022"/>
        <w:gridCol w:w="2287"/>
        <w:gridCol w:w="732"/>
        <w:gridCol w:w="1302"/>
      </w:tblGrid>
      <w:tr>
        <w:tblPrEx>
          <w:tblLayout w:type="fixed"/>
          <w:tblCellMar>
            <w:top w:w="0" w:type="dxa"/>
            <w:left w:w="108" w:type="dxa"/>
            <w:bottom w:w="0" w:type="dxa"/>
            <w:right w:w="108" w:type="dxa"/>
          </w:tblCellMar>
        </w:tblPrEx>
        <w:trPr>
          <w:trHeight w:val="329" w:hRule="exact"/>
        </w:trPr>
        <w:tc>
          <w:tcPr>
            <w:tcW w:w="4734"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收 入</w:t>
            </w:r>
          </w:p>
        </w:tc>
        <w:tc>
          <w:tcPr>
            <w:tcW w:w="4321"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支 出</w:t>
            </w:r>
          </w:p>
        </w:tc>
      </w:tr>
      <w:tr>
        <w:tblPrEx>
          <w:tblLayout w:type="fixed"/>
          <w:tblCellMar>
            <w:top w:w="0" w:type="dxa"/>
            <w:left w:w="108" w:type="dxa"/>
            <w:bottom w:w="0" w:type="dxa"/>
            <w:right w:w="108" w:type="dxa"/>
          </w:tblCellMar>
        </w:tblPrEx>
        <w:trPr>
          <w:trHeight w:val="37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732" w:type="dxa"/>
            <w:tcBorders>
              <w:top w:val="nil"/>
              <w:left w:val="single" w:color="auto" w:sz="4" w:space="0"/>
              <w:bottom w:val="single" w:color="auto" w:sz="4" w:space="0"/>
              <w:right w:val="nil"/>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302"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1</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73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p>
        </w:tc>
        <w:tc>
          <w:tcPr>
            <w:tcW w:w="130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2</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8966.35</w:t>
            </w: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一、一般公共服务支出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32</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4042.62</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二、政府性基金预算财政拨款收入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868.54</w:t>
            </w: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二、公共安全支出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33</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34.43</w:t>
            </w:r>
          </w:p>
        </w:tc>
      </w:tr>
      <w:tr>
        <w:tblPrEx>
          <w:tblLayout w:type="fixed"/>
          <w:tblCellMar>
            <w:top w:w="0" w:type="dxa"/>
            <w:left w:w="108" w:type="dxa"/>
            <w:bottom w:w="0" w:type="dxa"/>
            <w:right w:w="108" w:type="dxa"/>
          </w:tblCellMar>
        </w:tblPrEx>
        <w:trPr>
          <w:trHeight w:val="33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三、国有资本经营预算财政拨款收入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三、教育支出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34</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857.52</w:t>
            </w:r>
          </w:p>
        </w:tc>
      </w:tr>
      <w:tr>
        <w:tblPrEx>
          <w:tblLayout w:type="fixed"/>
          <w:tblCellMar>
            <w:top w:w="0" w:type="dxa"/>
            <w:left w:w="108" w:type="dxa"/>
            <w:bottom w:w="0" w:type="dxa"/>
            <w:right w:w="108" w:type="dxa"/>
          </w:tblCellMar>
        </w:tblPrEx>
        <w:trPr>
          <w:trHeight w:val="302"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四、上级补助收入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四、社会保障和就业支出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35</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668.55</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五、事业收入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五、卫生健康支出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36</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17</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六、经营收入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六、节能环保支出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37</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254.48</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七、附属单位上缴收入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七、城乡社区支出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38</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1068.54</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八、其他收入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八、农林水支出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39</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2688.44</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九、住房保障支出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40</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lang w:val="en-US" w:eastAsia="zh-CN"/>
              </w:rPr>
            </w:pPr>
            <w:r>
              <w:rPr>
                <w:rFonts w:hint="eastAsia" w:ascii="仿宋_GB2312" w:eastAsia="仿宋_GB2312"/>
                <w:sz w:val="18"/>
                <w:szCs w:val="18"/>
                <w:lang w:val="en-US" w:eastAsia="zh-CN"/>
              </w:rPr>
              <w:t>203.31</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41</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42</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43</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44</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45</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46</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47</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48</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49</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50</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51</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52</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53</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54</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55</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57</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b/>
                <w:bCs/>
                <w:sz w:val="18"/>
                <w:szCs w:val="18"/>
              </w:rPr>
              <w:t>本年收入合计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sz w:val="18"/>
                <w:szCs w:val="18"/>
              </w:rPr>
              <w:t>27</w:t>
            </w: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b/>
                <w:bCs/>
                <w:sz w:val="18"/>
                <w:szCs w:val="18"/>
                <w:lang w:val="en-US" w:eastAsia="zh-CN"/>
              </w:rPr>
            </w:pPr>
            <w:r>
              <w:rPr>
                <w:rFonts w:hint="eastAsia" w:ascii="仿宋_GB2312" w:eastAsia="仿宋_GB2312"/>
                <w:sz w:val="18"/>
                <w:szCs w:val="18"/>
                <w:lang w:val="en-US" w:eastAsia="zh-CN"/>
              </w:rPr>
              <w:t>9834.89</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b/>
                <w:bCs/>
                <w:sz w:val="18"/>
                <w:szCs w:val="18"/>
              </w:rPr>
            </w:pPr>
            <w:r>
              <w:rPr>
                <w:rFonts w:hint="eastAsia" w:ascii="仿宋_GB2312" w:eastAsia="仿宋_GB2312"/>
                <w:b/>
                <w:bCs/>
                <w:sz w:val="18"/>
                <w:szCs w:val="18"/>
              </w:rPr>
              <w:t>本年支出合计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58</w:t>
            </w:r>
          </w:p>
        </w:tc>
        <w:tc>
          <w:tcPr>
            <w:tcW w:w="130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lang w:val="en-US" w:eastAsia="zh-CN"/>
              </w:rPr>
            </w:pPr>
            <w:r>
              <w:rPr>
                <w:rFonts w:hint="eastAsia" w:ascii="仿宋_GB2312" w:eastAsia="仿宋_GB2312"/>
                <w:b w:val="0"/>
                <w:bCs w:val="0"/>
                <w:sz w:val="18"/>
                <w:szCs w:val="18"/>
                <w:lang w:val="en-US" w:eastAsia="zh-CN"/>
              </w:rPr>
              <w:t>9834.89</w:t>
            </w: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使用非财政拨款结余（含专用结余）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结余分配</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59</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年初结转和结余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年末结转和结余</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60</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30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6</w:t>
            </w:r>
            <w:r>
              <w:rPr>
                <w:rFonts w:ascii="仿宋_GB2312" w:eastAsia="仿宋_GB2312"/>
                <w:sz w:val="18"/>
                <w:szCs w:val="18"/>
              </w:rPr>
              <w:t>1</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b/>
                <w:bCs/>
                <w:sz w:val="18"/>
                <w:szCs w:val="18"/>
              </w:rPr>
              <w:t>总计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31</w:t>
            </w: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lang w:val="en-US" w:eastAsia="zh-CN"/>
              </w:rPr>
            </w:pPr>
            <w:r>
              <w:rPr>
                <w:rFonts w:hint="eastAsia" w:ascii="仿宋_GB2312" w:eastAsia="仿宋_GB2312"/>
                <w:sz w:val="18"/>
                <w:szCs w:val="18"/>
                <w:lang w:val="en-US" w:eastAsia="zh-CN"/>
              </w:rPr>
              <w:t>9834.89</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b/>
                <w:bCs/>
                <w:sz w:val="18"/>
                <w:szCs w:val="18"/>
              </w:rPr>
              <w:t>总计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6</w:t>
            </w:r>
            <w:r>
              <w:rPr>
                <w:rFonts w:ascii="仿宋_GB2312" w:eastAsia="仿宋_GB2312"/>
                <w:sz w:val="18"/>
                <w:szCs w:val="18"/>
              </w:rPr>
              <w:t>2</w:t>
            </w:r>
          </w:p>
        </w:tc>
        <w:tc>
          <w:tcPr>
            <w:tcW w:w="130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lang w:val="en-US" w:eastAsia="zh-CN"/>
              </w:rPr>
            </w:pPr>
            <w:r>
              <w:rPr>
                <w:rFonts w:hint="eastAsia" w:ascii="仿宋_GB2312" w:eastAsia="仿宋_GB2312"/>
                <w:sz w:val="18"/>
                <w:szCs w:val="18"/>
                <w:lang w:val="en-US" w:eastAsia="zh-CN"/>
              </w:rPr>
              <w:t>9834.89</w:t>
            </w:r>
          </w:p>
        </w:tc>
      </w:tr>
    </w:tbl>
    <w:p>
      <w:pPr>
        <w:ind w:firstLine="88" w:firstLineChars="50"/>
        <w:rPr>
          <w:rFonts w:ascii="楷体_GB2312" w:eastAsia="楷体_GB2312"/>
          <w:sz w:val="28"/>
          <w:szCs w:val="28"/>
        </w:rPr>
        <w:sectPr>
          <w:pgSz w:w="11906" w:h="16838"/>
          <w:pgMar w:top="1701" w:right="1531" w:bottom="1701" w:left="1531" w:header="0" w:footer="1418" w:gutter="0"/>
          <w:cols w:space="720" w:num="1"/>
          <w:docGrid w:type="linesAndChars" w:linePitch="610" w:charSpace="-849"/>
        </w:sectPr>
      </w:pPr>
      <w:r>
        <w:rPr>
          <w:rFonts w:hint="eastAsia" w:ascii="仿宋_GB2312" w:hAnsi="宋体" w:eastAsia="仿宋_GB2312"/>
          <w:sz w:val="18"/>
          <w:szCs w:val="18"/>
        </w:rPr>
        <w:t>注：1.本表反映部门本年度的总收支和年末结转结余情况。2.本套报表金额单位转换时可能存在尾数误差。</w:t>
      </w:r>
    </w:p>
    <w:p>
      <w:pPr>
        <w:jc w:val="center"/>
        <w:rPr>
          <w:rFonts w:hint="eastAsia" w:ascii="方正小标宋简体" w:eastAsia="方正小标宋简体"/>
          <w:sz w:val="44"/>
          <w:szCs w:val="44"/>
        </w:rPr>
      </w:pPr>
      <w:r>
        <w:rPr>
          <w:rFonts w:hint="eastAsia" w:ascii="方正小标宋简体" w:eastAsia="方正小标宋简体"/>
          <w:sz w:val="44"/>
          <w:szCs w:val="44"/>
        </w:rPr>
        <w:t>收入决算表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公开02表 </w:t>
      </w:r>
    </w:p>
    <w:p>
      <w:pPr>
        <w:tabs>
          <w:tab w:val="left" w:pos="13467"/>
        </w:tabs>
        <w:wordWrap w:val="0"/>
        <w:spacing w:line="400" w:lineRule="exact"/>
        <w:ind w:right="107"/>
        <w:jc w:val="right"/>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17"/>
        <w:tblW w:w="13433" w:type="dxa"/>
        <w:jc w:val="center"/>
        <w:tblInd w:w="0" w:type="dxa"/>
        <w:tblLayout w:type="fixed"/>
        <w:tblCellMar>
          <w:top w:w="0" w:type="dxa"/>
          <w:left w:w="108" w:type="dxa"/>
          <w:bottom w:w="0" w:type="dxa"/>
          <w:right w:w="108" w:type="dxa"/>
        </w:tblCellMar>
      </w:tblPr>
      <w:tblGrid>
        <w:gridCol w:w="1231"/>
        <w:gridCol w:w="65"/>
        <w:gridCol w:w="2660"/>
        <w:gridCol w:w="1538"/>
        <w:gridCol w:w="1112"/>
        <w:gridCol w:w="1175"/>
        <w:gridCol w:w="1300"/>
        <w:gridCol w:w="1317"/>
        <w:gridCol w:w="1517"/>
        <w:gridCol w:w="1518"/>
      </w:tblGrid>
      <w:tr>
        <w:tblPrEx>
          <w:tblLayout w:type="fixed"/>
          <w:tblCellMar>
            <w:top w:w="0" w:type="dxa"/>
            <w:left w:w="108" w:type="dxa"/>
            <w:bottom w:w="0" w:type="dxa"/>
            <w:right w:w="108" w:type="dxa"/>
          </w:tblCellMar>
        </w:tblPrEx>
        <w:trPr>
          <w:trHeight w:val="458" w:hRule="atLeast"/>
          <w:tblHeader/>
          <w:jc w:val="center"/>
        </w:trPr>
        <w:tc>
          <w:tcPr>
            <w:tcW w:w="395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538"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112"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175"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300" w:type="dxa"/>
            <w:vMerge w:val="restart"/>
            <w:tcBorders>
              <w:top w:val="single" w:color="auto" w:sz="4" w:space="0"/>
              <w:left w:val="single" w:color="auto" w:sz="4" w:space="0"/>
              <w:right w:val="single" w:color="auto" w:sz="4" w:space="0"/>
            </w:tcBorders>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317"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517" w:type="dxa"/>
            <w:vMerge w:val="restart"/>
            <w:tcBorders>
              <w:top w:val="single" w:color="auto" w:sz="4" w:space="0"/>
              <w:left w:val="single" w:color="auto" w:sz="4" w:space="0"/>
              <w:right w:val="single" w:color="auto" w:sz="4" w:space="0"/>
            </w:tcBorders>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518"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Layout w:type="fixed"/>
          <w:tblCellMar>
            <w:top w:w="0" w:type="dxa"/>
            <w:left w:w="108" w:type="dxa"/>
            <w:bottom w:w="0" w:type="dxa"/>
            <w:right w:w="108" w:type="dxa"/>
          </w:tblCellMar>
        </w:tblPrEx>
        <w:trPr>
          <w:trHeight w:val="457" w:hRule="atLeast"/>
          <w:tblHeader/>
          <w:jc w:val="center"/>
        </w:trPr>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科目代码</w:t>
            </w:r>
          </w:p>
        </w:tc>
        <w:tc>
          <w:tcPr>
            <w:tcW w:w="272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538" w:type="dxa"/>
            <w:vMerge w:val="continue"/>
            <w:tcBorders>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112" w:type="dxa"/>
            <w:vMerge w:val="continue"/>
            <w:tcBorders>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175" w:type="dxa"/>
            <w:vMerge w:val="continue"/>
            <w:tcBorders>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300" w:type="dxa"/>
            <w:vMerge w:val="continue"/>
            <w:tcBorders>
              <w:left w:val="single" w:color="auto" w:sz="4" w:space="0"/>
              <w:right w:val="single" w:color="auto" w:sz="4" w:space="0"/>
            </w:tcBorders>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317" w:type="dxa"/>
            <w:vMerge w:val="continue"/>
            <w:tcBorders>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517" w:type="dxa"/>
            <w:vMerge w:val="continue"/>
            <w:tcBorders>
              <w:left w:val="single" w:color="auto" w:sz="4" w:space="0"/>
              <w:right w:val="single" w:color="auto" w:sz="4" w:space="0"/>
            </w:tcBorders>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518" w:type="dxa"/>
            <w:vMerge w:val="continue"/>
            <w:tcBorders>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tblHeader/>
          <w:jc w:val="center"/>
        </w:trPr>
        <w:tc>
          <w:tcPr>
            <w:tcW w:w="3956"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53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1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1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3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Layout w:type="fixed"/>
          <w:tblCellMar>
            <w:top w:w="0" w:type="dxa"/>
            <w:left w:w="108" w:type="dxa"/>
            <w:bottom w:w="0" w:type="dxa"/>
            <w:right w:w="108" w:type="dxa"/>
          </w:tblCellMar>
        </w:tblPrEx>
        <w:trPr>
          <w:trHeight w:val="397" w:hRule="atLeast"/>
          <w:jc w:val="center"/>
        </w:trPr>
        <w:tc>
          <w:tcPr>
            <w:tcW w:w="3956"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9,834.89</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9,834.89</w:t>
            </w:r>
          </w:p>
        </w:tc>
        <w:tc>
          <w:tcPr>
            <w:tcW w:w="117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一般公共服务支出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4,042.62</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4,042.62</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20103</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6"/>
                <w:szCs w:val="16"/>
                <w:u w:val="none"/>
                <w:lang w:val="en-US" w:eastAsia="zh-CN" w:bidi="ar"/>
              </w:rPr>
              <w:t>政府办公厅（室）及相关机构事务</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4,042.62</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4,042.62</w:t>
            </w:r>
          </w:p>
        </w:tc>
        <w:tc>
          <w:tcPr>
            <w:tcW w:w="1175"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30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317"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517"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51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90"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2010301</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行政运行</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4,042.62</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4,042.62</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公共安全支出</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34.43</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34.43</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20402</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公安</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34.43</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34.43</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2040299</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其他公安支出</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34.43</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34.43</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教育支出</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857.52</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857.52</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48"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2050201</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学前教育</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223.13</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223.13</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2050299</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其他普通教育支出</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634.39</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634.39</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w:t>
            </w:r>
          </w:p>
        </w:tc>
        <w:tc>
          <w:tcPr>
            <w:tcW w:w="266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社会保障和就业支出</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668.55</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668.55</w:t>
            </w:r>
          </w:p>
        </w:tc>
        <w:tc>
          <w:tcPr>
            <w:tcW w:w="1175"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00"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20802</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民政管理事务</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79.47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79.47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2080299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其他民政管理事务支出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79.47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79.47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行政事业单位养老支出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358.17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358.17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2080505</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20"/>
                <w:szCs w:val="20"/>
              </w:rPr>
            </w:pPr>
            <w:r>
              <w:rPr>
                <w:rFonts w:hint="eastAsia" w:ascii="宋体" w:hAnsi="宋体" w:eastAsia="宋体" w:cs="宋体"/>
                <w:i w:val="0"/>
                <w:color w:val="000000"/>
                <w:kern w:val="0"/>
                <w:sz w:val="15"/>
                <w:szCs w:val="15"/>
                <w:u w:val="none"/>
                <w:lang w:val="en-US" w:eastAsia="zh-CN" w:bidi="ar"/>
              </w:rPr>
              <w:t>机关事业单位基本养老保险缴费支出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241.52</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241.52</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2080506</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6"/>
                <w:szCs w:val="16"/>
                <w:u w:val="none"/>
                <w:lang w:val="en-US" w:eastAsia="zh-CN" w:bidi="ar"/>
              </w:rPr>
              <w:t>机关事业单位职业年金缴费支出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116.65</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116.65</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退役安置</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18.61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18.61</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其他退役安置支出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18.61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18.61</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20810</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社会福利</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172.00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172.00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2081006</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养老服务</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172.00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172.00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其他社会保障和就业支出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40.30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40.30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2089999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其他社会保障和就业支出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40.30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40.30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卫生健康支出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17.00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21007</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cs="宋体"/>
                <w:i w:val="0"/>
                <w:color w:val="000000"/>
                <w:kern w:val="0"/>
                <w:sz w:val="18"/>
                <w:szCs w:val="18"/>
                <w:u w:val="none"/>
                <w:lang w:val="en-US" w:eastAsia="zh-CN" w:bidi="ar"/>
              </w:rPr>
              <w:t>计划</w:t>
            </w:r>
            <w:r>
              <w:rPr>
                <w:rFonts w:hint="eastAsia" w:ascii="宋体" w:hAnsi="宋体" w:eastAsia="宋体" w:cs="宋体"/>
                <w:i w:val="0"/>
                <w:color w:val="000000"/>
                <w:kern w:val="0"/>
                <w:sz w:val="18"/>
                <w:szCs w:val="18"/>
                <w:u w:val="none"/>
                <w:lang w:val="en-US" w:eastAsia="zh-CN" w:bidi="ar"/>
              </w:rPr>
              <w:t>生育事务</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2100799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w:t>
            </w:r>
            <w:r>
              <w:rPr>
                <w:rFonts w:hint="eastAsia" w:ascii="宋体" w:hAnsi="宋体" w:cs="宋体"/>
                <w:i w:val="0"/>
                <w:color w:val="000000"/>
                <w:kern w:val="0"/>
                <w:sz w:val="18"/>
                <w:szCs w:val="18"/>
                <w:u w:val="none"/>
                <w:lang w:val="en-US" w:eastAsia="zh-CN" w:bidi="ar"/>
              </w:rPr>
              <w:t>计划</w:t>
            </w:r>
            <w:r>
              <w:rPr>
                <w:rFonts w:hint="eastAsia" w:ascii="宋体" w:hAnsi="宋体" w:eastAsia="宋体" w:cs="宋体"/>
                <w:i w:val="0"/>
                <w:color w:val="000000"/>
                <w:kern w:val="0"/>
                <w:sz w:val="18"/>
                <w:szCs w:val="18"/>
                <w:u w:val="none"/>
                <w:lang w:val="en-US" w:eastAsia="zh-CN" w:bidi="ar"/>
              </w:rPr>
              <w:t>生育事务支出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7.00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其他卫生健康支出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10.00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2109999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其他卫生健康支出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节能环保支出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21199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其他节能环保支出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2119999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其他节能环保支出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254.48</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城乡社区支出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1,068.54</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1,068.54</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21208</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5"/>
                <w:szCs w:val="15"/>
                <w:u w:val="none"/>
                <w:lang w:val="en-US" w:eastAsia="zh-CN" w:bidi="ar"/>
              </w:rPr>
              <w:t>国有土地使用权出让收入安排的支出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868.54</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868.54</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2120801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征地和拆迁补偿支出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8.54</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8.54</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2120804</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农村基础设施建设支出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860.00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860.00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其他城乡社区支出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2129999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其他城乡社区支出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农林水支出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2,688.44</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2,688.44</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农业农村</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37.92</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37.92</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2130199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其他农业农村支出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37.92</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37.92</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21302</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林业和草原</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11.92</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11.92</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2130209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森林生态效益补偿</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11.07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11.07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2130234</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林业草原防灾减灾</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0.84</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0.84</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巩固脱贫攻坚成果衔接乡村振兴</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48.37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48.37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right="0" w:rightChars="0" w:firstLine="0" w:firstLineChars="0"/>
              <w:jc w:val="left"/>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3"/>
                <w:szCs w:val="13"/>
                <w:u w:val="none"/>
                <w:lang w:val="en-US" w:eastAsia="zh-CN" w:bidi="ar"/>
              </w:rPr>
              <w:t>其他巩固脱贫攻坚成果衔接乡村振兴支出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48.37</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48.37</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21307</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农村综合改革</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700.00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700.00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2130705</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6"/>
                <w:szCs w:val="16"/>
                <w:u w:val="none"/>
                <w:lang w:val="en-US" w:eastAsia="zh-CN" w:bidi="ar"/>
              </w:rPr>
              <w:t>对村民委员会和村党支部的补助</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671.00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671.00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2130799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其他农村综合改革支出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29.00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29.00</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其他农林水支出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1,890.23</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1,890.23</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2139999</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其他农林水支出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1,890.23</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1,890.23</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221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住房保障支出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22102</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住房改革支出</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397" w:hRule="atLeast"/>
          <w:jc w:val="center"/>
        </w:trPr>
        <w:tc>
          <w:tcPr>
            <w:tcW w:w="129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2210201</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住房公积金</w:t>
            </w:r>
          </w:p>
        </w:tc>
        <w:tc>
          <w:tcPr>
            <w:tcW w:w="15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203.31</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3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c>
          <w:tcPr>
            <w:tcW w:w="151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注：本表反映部门本年度各项支出情况。</w:t>
      </w: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财政拨款收入支出决算总表</w:t>
      </w:r>
    </w:p>
    <w:p>
      <w:pPr>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公开04表</w:t>
      </w:r>
    </w:p>
    <w:p>
      <w:pPr>
        <w:spacing w:line="400" w:lineRule="exact"/>
        <w:jc w:val="left"/>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金额单位：万元</w:t>
      </w:r>
    </w:p>
    <w:tbl>
      <w:tblPr>
        <w:tblStyle w:val="17"/>
        <w:tblW w:w="1372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22"/>
        <w:gridCol w:w="540"/>
        <w:gridCol w:w="1512"/>
        <w:gridCol w:w="2628"/>
        <w:gridCol w:w="540"/>
        <w:gridCol w:w="1090"/>
        <w:gridCol w:w="1417"/>
        <w:gridCol w:w="1418"/>
        <w:gridCol w:w="15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074" w:type="dxa"/>
            <w:gridSpan w:val="3"/>
            <w:tcBorders>
              <w:top w:val="single" w:color="auto" w:sz="4" w:space="0"/>
              <w:bottom w:val="single" w:color="auto" w:sz="4" w:space="0"/>
              <w:right w:val="nil"/>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收 入</w:t>
            </w:r>
          </w:p>
        </w:tc>
        <w:tc>
          <w:tcPr>
            <w:tcW w:w="8652" w:type="dxa"/>
            <w:gridSpan w:val="6"/>
            <w:tcBorders>
              <w:top w:val="single" w:color="auto" w:sz="4" w:space="0"/>
              <w:left w:val="nil"/>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金额</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合计</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财政拨款</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政府性基金</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预算财政拨款</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国有资本经营预算财政拨款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ind w:firstLine="1176" w:firstLineChars="6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一、一般公共预算财政拨款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8966.35</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一、一般公共服务支出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4042.62</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4042.62</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二、政府性基金预算财政拨款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868.54</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二、公共安全支出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34.43</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34.43</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三、国有资本经营预算财政拨款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三、教育支出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857.52</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857.52</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四、社会保障和就业支出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668.55</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668.55</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五、卫生健康支出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17</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17</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六、节能环保支出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254.48</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254.48</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lang w:eastAsia="zh-CN"/>
              </w:rPr>
              <w:t>七、</w:t>
            </w:r>
            <w:r>
              <w:rPr>
                <w:rFonts w:hint="eastAsia" w:ascii="仿宋_GB2312" w:hAnsi="宋体" w:eastAsia="仿宋_GB2312" w:cs="宋体"/>
                <w:kern w:val="0"/>
                <w:sz w:val="20"/>
                <w:szCs w:val="20"/>
              </w:rPr>
              <w:t>城乡社区支出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1068.54</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200</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868.54</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lang w:eastAsia="zh-CN"/>
              </w:rPr>
              <w:t>八、</w:t>
            </w:r>
            <w:r>
              <w:rPr>
                <w:rFonts w:hint="eastAsia" w:ascii="仿宋_GB2312" w:hAnsi="宋体" w:eastAsia="仿宋_GB2312" w:cs="宋体"/>
                <w:kern w:val="0"/>
                <w:sz w:val="20"/>
                <w:szCs w:val="20"/>
              </w:rPr>
              <w:t>农林水支出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2688.44</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2688.44</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kern w:val="0"/>
                <w:sz w:val="20"/>
                <w:szCs w:val="20"/>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lang w:val="en-US" w:eastAsia="zh-CN"/>
              </w:rPr>
            </w:pP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b/>
                <w:kern w:val="0"/>
                <w:sz w:val="20"/>
                <w:szCs w:val="20"/>
                <w:lang w:eastAsia="zh-CN"/>
              </w:rPr>
            </w:pPr>
            <w:r>
              <w:rPr>
                <w:rFonts w:hint="eastAsia" w:ascii="仿宋_GB2312" w:hAnsi="宋体" w:eastAsia="仿宋_GB2312" w:cs="宋体"/>
                <w:b w:val="0"/>
                <w:bCs/>
                <w:kern w:val="0"/>
                <w:sz w:val="20"/>
                <w:szCs w:val="20"/>
                <w:lang w:eastAsia="zh-CN"/>
              </w:rPr>
              <w:t>九、住房保障支出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203.31</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203.31</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b/>
                <w:bCs/>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本年收入合计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b w:val="0"/>
                <w:bCs w:val="0"/>
                <w:kern w:val="0"/>
                <w:sz w:val="20"/>
                <w:szCs w:val="20"/>
                <w:lang w:val="en-US" w:eastAsia="zh-CN"/>
              </w:rPr>
              <w:t>9834.89</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本年支出合计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9834.89</w:t>
            </w:r>
            <w:r>
              <w:rPr>
                <w:rFonts w:hint="eastAsia" w:ascii="仿宋_GB2312" w:hAnsi="宋体" w:eastAsia="仿宋_GB2312" w:cs="宋体"/>
                <w:b w:val="0"/>
                <w:bCs w:val="0"/>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8966.35</w:t>
            </w:r>
            <w:r>
              <w:rPr>
                <w:rFonts w:hint="eastAsia" w:ascii="仿宋_GB2312" w:hAnsi="宋体" w:eastAsia="仿宋_GB2312" w:cs="宋体"/>
                <w:b w:val="0"/>
                <w:bCs w:val="0"/>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868.54</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年初结转和结余</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年末结转和结余</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ind w:firstLine="392" w:firstLineChars="2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政府性基金预算财政拨款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国有资本经营预算财政拨款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29</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15</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b w:val="0"/>
                <w:bCs w:val="0"/>
                <w:kern w:val="0"/>
                <w:sz w:val="20"/>
                <w:szCs w:val="20"/>
                <w:lang w:val="en-US" w:eastAsia="zh-CN"/>
              </w:rPr>
              <w:t>9834.89</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30</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9834.89</w:t>
            </w:r>
            <w:r>
              <w:rPr>
                <w:rFonts w:hint="eastAsia" w:ascii="仿宋_GB2312" w:hAnsi="宋体" w:eastAsia="仿宋_GB2312" w:cs="宋体"/>
                <w:b w:val="0"/>
                <w:bCs w:val="0"/>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8966.35</w:t>
            </w:r>
            <w:r>
              <w:rPr>
                <w:rFonts w:hint="eastAsia" w:ascii="仿宋_GB2312" w:hAnsi="宋体" w:eastAsia="仿宋_GB2312" w:cs="宋体"/>
                <w:b w:val="0"/>
                <w:bCs w:val="0"/>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b w:val="0"/>
                <w:bCs w:val="0"/>
                <w:kern w:val="0"/>
                <w:sz w:val="20"/>
                <w:szCs w:val="20"/>
              </w:rPr>
            </w:pPr>
            <w:r>
              <w:rPr>
                <w:rFonts w:hint="eastAsia" w:ascii="仿宋_GB2312" w:hAnsi="宋体" w:eastAsia="仿宋_GB2312" w:cs="宋体"/>
                <w:b w:val="0"/>
                <w:bCs w:val="0"/>
                <w:kern w:val="0"/>
                <w:sz w:val="20"/>
                <w:szCs w:val="20"/>
                <w:lang w:val="en-US" w:eastAsia="zh-CN"/>
              </w:rPr>
              <w:t>868.54</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b/>
                <w:bCs/>
                <w:kern w:val="0"/>
                <w:sz w:val="20"/>
                <w:szCs w:val="20"/>
              </w:rPr>
            </w:pPr>
          </w:p>
        </w:tc>
      </w:tr>
    </w:tbl>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r>
        <w:rPr>
          <w:rFonts w:hint="eastAsia" w:ascii="仿宋_GB2312" w:hAnsi="宋体" w:eastAsia="仿宋_GB2312"/>
          <w:sz w:val="22"/>
          <w:szCs w:val="22"/>
        </w:rPr>
        <w:t>注：本表反映部门本年度一般公共预算财政拨款、政府性基金预算财政拨款和国有资本经营预算财政拨款的总收支和年末结转结余情况。</w:t>
      </w: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公开05表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17"/>
        <w:tblW w:w="13152" w:type="dxa"/>
        <w:jc w:val="center"/>
        <w:tblInd w:w="0" w:type="dxa"/>
        <w:tblLayout w:type="fixed"/>
        <w:tblCellMar>
          <w:top w:w="0" w:type="dxa"/>
          <w:left w:w="108" w:type="dxa"/>
          <w:bottom w:w="0" w:type="dxa"/>
          <w:right w:w="108" w:type="dxa"/>
        </w:tblCellMar>
      </w:tblPr>
      <w:tblGrid>
        <w:gridCol w:w="1701"/>
        <w:gridCol w:w="3170"/>
        <w:gridCol w:w="2783"/>
        <w:gridCol w:w="2978"/>
        <w:gridCol w:w="2520"/>
      </w:tblGrid>
      <w:tr>
        <w:tblPrEx>
          <w:tblLayout w:type="fixed"/>
          <w:tblCellMar>
            <w:top w:w="0" w:type="dxa"/>
            <w:left w:w="108" w:type="dxa"/>
            <w:bottom w:w="0" w:type="dxa"/>
            <w:right w:w="108" w:type="dxa"/>
          </w:tblCellMar>
        </w:tblPrEx>
        <w:trPr>
          <w:trHeight w:val="428" w:hRule="atLeast"/>
          <w:tblHeader/>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Layout w:type="fixed"/>
          <w:tblCellMar>
            <w:top w:w="0" w:type="dxa"/>
            <w:left w:w="108" w:type="dxa"/>
            <w:bottom w:w="0" w:type="dxa"/>
            <w:right w:w="108" w:type="dxa"/>
          </w:tblCellMar>
        </w:tblPrEx>
        <w:trPr>
          <w:trHeight w:val="675" w:hRule="exact"/>
          <w:tblHeader/>
          <w:jc w:val="center"/>
        </w:trPr>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科目代码</w:t>
            </w:r>
          </w:p>
        </w:tc>
        <w:tc>
          <w:tcPr>
            <w:tcW w:w="317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Layout w:type="fixed"/>
          <w:tblCellMar>
            <w:top w:w="0" w:type="dxa"/>
            <w:left w:w="108" w:type="dxa"/>
            <w:bottom w:w="0" w:type="dxa"/>
            <w:right w:w="108" w:type="dxa"/>
          </w:tblCellMar>
        </w:tblPrEx>
        <w:trPr>
          <w:trHeight w:val="454" w:hRule="exact"/>
          <w:tblHeader/>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Layout w:type="fixed"/>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8966.35</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2775.06</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6191.29</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一般公共服务支出</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4042.62</w:t>
            </w:r>
          </w:p>
        </w:tc>
        <w:tc>
          <w:tcPr>
            <w:tcW w:w="297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2213.57</w:t>
            </w: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1829.04</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20103</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政府办公厅（室）及相关机构事务</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4042.62</w:t>
            </w:r>
          </w:p>
        </w:tc>
        <w:tc>
          <w:tcPr>
            <w:tcW w:w="297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2213.57</w:t>
            </w: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1829.04</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2010301</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行政运行</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4042.62</w:t>
            </w:r>
          </w:p>
        </w:tc>
        <w:tc>
          <w:tcPr>
            <w:tcW w:w="297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2213.57</w:t>
            </w: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1829.04</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公共安全支出</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c>
          <w:tcPr>
            <w:tcW w:w="2978" w:type="dxa"/>
            <w:tcBorders>
              <w:top w:val="nil"/>
              <w:left w:val="nil"/>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20402</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公安</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c>
          <w:tcPr>
            <w:tcW w:w="2978" w:type="dxa"/>
            <w:tcBorders>
              <w:top w:val="nil"/>
              <w:left w:val="nil"/>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2040299</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其他公安支出</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c>
          <w:tcPr>
            <w:tcW w:w="2978" w:type="dxa"/>
            <w:tcBorders>
              <w:top w:val="nil"/>
              <w:left w:val="nil"/>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34.43</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教育支出</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857.52</w:t>
            </w:r>
          </w:p>
        </w:tc>
        <w:tc>
          <w:tcPr>
            <w:tcW w:w="2978" w:type="dxa"/>
            <w:tcBorders>
              <w:top w:val="nil"/>
              <w:left w:val="nil"/>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857.52</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20502</w:t>
            </w:r>
          </w:p>
        </w:tc>
        <w:tc>
          <w:tcPr>
            <w:tcW w:w="31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普通教育</w:t>
            </w:r>
          </w:p>
        </w:tc>
        <w:tc>
          <w:tcPr>
            <w:tcW w:w="27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857.52</w:t>
            </w:r>
          </w:p>
        </w:tc>
        <w:tc>
          <w:tcPr>
            <w:tcW w:w="2978" w:type="dxa"/>
            <w:tcBorders>
              <w:top w:val="nil"/>
              <w:left w:val="nil"/>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857.52</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2050201</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学前教育</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223.13</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223.13</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2050299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其他普通教育支出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634.39</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634.39</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社会保障和就业支出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668.55</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358.17</w:t>
            </w: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310.38</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20802</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民政管理事务</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79.47</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79.47</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2080299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其他民政管理事务支出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79.47</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79.47</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行政事业单位养老支出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358.17</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358.17</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2080505</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机关事业单位基本养老保险缴费支出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241.52</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241.52</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2080506</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机关事业单位职业年金缴费支出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116.65</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116.65</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退役安置</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18.61</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18.61</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2080999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其他退役安置支出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18.61</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18.61</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20810</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社会福利</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172.00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172.00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2081006</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养老服务</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172.00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172.00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其他社会保障和就业支出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40.30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40.30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2089999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其他社会保障和就业支出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40.30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40.30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卫生健康支出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17.00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21007</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cs="宋体"/>
                <w:i w:val="0"/>
                <w:color w:val="000000"/>
                <w:kern w:val="0"/>
                <w:sz w:val="18"/>
                <w:szCs w:val="18"/>
                <w:u w:val="none"/>
                <w:lang w:val="en-US" w:eastAsia="zh-CN" w:bidi="ar"/>
              </w:rPr>
              <w:t>计划</w:t>
            </w:r>
            <w:r>
              <w:rPr>
                <w:rFonts w:hint="eastAsia" w:ascii="宋体" w:hAnsi="宋体" w:eastAsia="宋体" w:cs="宋体"/>
                <w:i w:val="0"/>
                <w:color w:val="000000"/>
                <w:kern w:val="0"/>
                <w:sz w:val="18"/>
                <w:szCs w:val="18"/>
                <w:u w:val="none"/>
                <w:lang w:val="en-US" w:eastAsia="zh-CN" w:bidi="ar"/>
              </w:rPr>
              <w:t>生育事务</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2100799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w:t>
            </w:r>
            <w:r>
              <w:rPr>
                <w:rFonts w:hint="eastAsia" w:ascii="宋体" w:hAnsi="宋体" w:cs="宋体"/>
                <w:i w:val="0"/>
                <w:color w:val="000000"/>
                <w:kern w:val="0"/>
                <w:sz w:val="18"/>
                <w:szCs w:val="18"/>
                <w:u w:val="none"/>
                <w:lang w:val="en-US" w:eastAsia="zh-CN" w:bidi="ar"/>
              </w:rPr>
              <w:t>计划</w:t>
            </w:r>
            <w:r>
              <w:rPr>
                <w:rFonts w:hint="eastAsia" w:ascii="宋体" w:hAnsi="宋体" w:eastAsia="宋体" w:cs="宋体"/>
                <w:i w:val="0"/>
                <w:color w:val="000000"/>
                <w:kern w:val="0"/>
                <w:sz w:val="18"/>
                <w:szCs w:val="18"/>
                <w:u w:val="none"/>
                <w:lang w:val="en-US" w:eastAsia="zh-CN" w:bidi="ar"/>
              </w:rPr>
              <w:t>生育事务支出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其他卫生健康支出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2109999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其他卫生健康支出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211</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节能环保支出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21199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其他节能环保支出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2119999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其他节能环保支出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254.48</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城乡社区支出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其他城乡社区支出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2129999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其他城乡社区支出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农林水支出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2688.44</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2688.44</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21301</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农业农村</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37.92</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37.92</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2130199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其他农业农村支出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37.92</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37.92</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21302</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林业和草原</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11.92</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11.92</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2130209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森林生态效益补偿</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11.07</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11.07</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2130234</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林业草原防灾减灾</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0.84</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0.84</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21305</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巩固脱贫攻坚成果衔接乡村振兴</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48.37</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48.37</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2130599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5"/>
                <w:szCs w:val="15"/>
                <w:u w:val="none"/>
                <w:lang w:val="en-US" w:eastAsia="zh-CN" w:bidi="ar"/>
              </w:rPr>
              <w:t xml:space="preserve">  其他巩固脱贫攻坚成果衔接乡村振兴支出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48.37</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48.37</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21307</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农村综合改革</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700.00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2130705</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对村民委员会和村党支部的补助</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671.00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671.00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2130799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其他农村综合改革支出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29.00</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29.00</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其他农林水支出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1890.23</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1890.23</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2139999</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其他农林水支出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1890.23</w:t>
            </w:r>
          </w:p>
        </w:tc>
        <w:tc>
          <w:tcPr>
            <w:tcW w:w="2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1890.23</w:t>
            </w: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221</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住房保障支出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22102</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住房改革支出</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2210201</w:t>
            </w:r>
          </w:p>
        </w:tc>
        <w:tc>
          <w:tcPr>
            <w:tcW w:w="3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 xml:space="preserve">  住房公积金</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203.31</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kern w:val="0"/>
                <w:sz w:val="22"/>
                <w:szCs w:val="22"/>
              </w:rPr>
            </w:pPr>
          </w:p>
        </w:tc>
      </w:tr>
    </w:tbl>
    <w:p>
      <w:pPr>
        <w:spacing w:line="400" w:lineRule="exact"/>
        <w:jc w:val="left"/>
        <w:rPr>
          <w:rFonts w:hint="eastAsia" w:ascii="仿宋_GB2312" w:hAnsi="宋体" w:eastAsia="仿宋_GB2312"/>
          <w:sz w:val="22"/>
          <w:szCs w:val="22"/>
        </w:rPr>
      </w:pPr>
      <w:r>
        <w:rPr>
          <w:rFonts w:hint="eastAsia" w:ascii="仿宋_GB2312" w:hAnsi="宋体" w:eastAsia="仿宋_GB2312"/>
          <w:sz w:val="22"/>
          <w:szCs w:val="22"/>
        </w:rPr>
        <w:t>注：本表反映部门本年度一般公共预算财政拨款支出情况。</w:t>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一般公共预算财政拨款基本支出决算明细表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公开06表</w:t>
      </w:r>
    </w:p>
    <w:p>
      <w:pPr>
        <w:spacing w:line="400" w:lineRule="exact"/>
        <w:ind w:firstLine="138" w:firstLineChars="50"/>
        <w:jc w:val="both"/>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17"/>
        <w:tblW w:w="13275" w:type="dxa"/>
        <w:jc w:val="center"/>
        <w:tblInd w:w="0" w:type="dxa"/>
        <w:tblLayout w:type="fixed"/>
        <w:tblCellMar>
          <w:top w:w="0" w:type="dxa"/>
          <w:left w:w="108" w:type="dxa"/>
          <w:bottom w:w="0" w:type="dxa"/>
          <w:right w:w="108" w:type="dxa"/>
        </w:tblCellMar>
      </w:tblPr>
      <w:tblGrid>
        <w:gridCol w:w="1008"/>
        <w:gridCol w:w="3023"/>
        <w:gridCol w:w="847"/>
        <w:gridCol w:w="1138"/>
        <w:gridCol w:w="1984"/>
        <w:gridCol w:w="833"/>
        <w:gridCol w:w="1010"/>
        <w:gridCol w:w="2551"/>
        <w:gridCol w:w="881"/>
      </w:tblGrid>
      <w:tr>
        <w:tblPrEx>
          <w:tblLayout w:type="fixed"/>
          <w:tblCellMar>
            <w:top w:w="0" w:type="dxa"/>
            <w:left w:w="108" w:type="dxa"/>
            <w:bottom w:w="0" w:type="dxa"/>
            <w:right w:w="108" w:type="dxa"/>
          </w:tblCellMar>
        </w:tblPrEx>
        <w:trPr>
          <w:trHeight w:val="521" w:hRule="atLeast"/>
          <w:tblHeader/>
          <w:jc w:val="center"/>
        </w:trPr>
        <w:tc>
          <w:tcPr>
            <w:tcW w:w="4878"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人员经费</w:t>
            </w:r>
          </w:p>
        </w:tc>
        <w:tc>
          <w:tcPr>
            <w:tcW w:w="8397" w:type="dxa"/>
            <w:gridSpan w:val="6"/>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公用经费</w:t>
            </w:r>
          </w:p>
        </w:tc>
      </w:tr>
      <w:tr>
        <w:tblPrEx>
          <w:tblLayout w:type="fixed"/>
          <w:tblCellMar>
            <w:top w:w="0" w:type="dxa"/>
            <w:left w:w="108" w:type="dxa"/>
            <w:bottom w:w="0" w:type="dxa"/>
            <w:right w:w="108" w:type="dxa"/>
          </w:tblCellMar>
        </w:tblPrEx>
        <w:trPr>
          <w:trHeight w:val="300" w:hRule="atLeast"/>
          <w:tblHeader/>
          <w:jc w:val="center"/>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科目代码</w:t>
            </w:r>
          </w:p>
        </w:tc>
        <w:tc>
          <w:tcPr>
            <w:tcW w:w="302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4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13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科目代码</w:t>
            </w:r>
          </w:p>
        </w:tc>
        <w:tc>
          <w:tcPr>
            <w:tcW w:w="1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3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0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科目代码</w:t>
            </w:r>
          </w:p>
        </w:tc>
        <w:tc>
          <w:tcPr>
            <w:tcW w:w="255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8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r>
      <w:tr>
        <w:tblPrEx>
          <w:tblLayout w:type="fixed"/>
          <w:tblCellMar>
            <w:top w:w="0" w:type="dxa"/>
            <w:left w:w="108" w:type="dxa"/>
            <w:bottom w:w="0" w:type="dxa"/>
            <w:right w:w="108" w:type="dxa"/>
          </w:tblCellMar>
        </w:tblPrEx>
        <w:trPr>
          <w:trHeight w:val="300" w:hRule="atLeast"/>
          <w:tblHeader/>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302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4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1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0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255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8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3023"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工资福利支出</w:t>
            </w:r>
          </w:p>
        </w:tc>
        <w:tc>
          <w:tcPr>
            <w:tcW w:w="847"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18"/>
                <w:szCs w:val="18"/>
                <w:lang w:val="en-US" w:eastAsia="zh-CN"/>
              </w:rPr>
              <w:t>2612.70</w:t>
            </w:r>
          </w:p>
        </w:tc>
        <w:tc>
          <w:tcPr>
            <w:tcW w:w="1138"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w:t>
            </w:r>
          </w:p>
        </w:tc>
        <w:tc>
          <w:tcPr>
            <w:tcW w:w="1984"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商品和服务支出</w:t>
            </w:r>
          </w:p>
        </w:tc>
        <w:tc>
          <w:tcPr>
            <w:tcW w:w="833" w:type="dxa"/>
            <w:tcBorders>
              <w:top w:val="single" w:color="auto" w:sz="4" w:space="0"/>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154.36</w:t>
            </w:r>
          </w:p>
        </w:tc>
        <w:tc>
          <w:tcPr>
            <w:tcW w:w="1010"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w:t>
            </w:r>
          </w:p>
        </w:tc>
        <w:tc>
          <w:tcPr>
            <w:tcW w:w="2551"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债务利息及费用支出</w:t>
            </w:r>
          </w:p>
        </w:tc>
        <w:tc>
          <w:tcPr>
            <w:tcW w:w="88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30101</w:t>
            </w:r>
          </w:p>
        </w:tc>
        <w:tc>
          <w:tcPr>
            <w:tcW w:w="3023"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基本工资</w:t>
            </w:r>
          </w:p>
        </w:tc>
        <w:tc>
          <w:tcPr>
            <w:tcW w:w="847" w:type="dxa"/>
            <w:tcBorders>
              <w:top w:val="single" w:color="auto" w:sz="4" w:space="0"/>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476.67</w:t>
            </w:r>
          </w:p>
        </w:tc>
        <w:tc>
          <w:tcPr>
            <w:tcW w:w="1138"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30201</w:t>
            </w:r>
          </w:p>
        </w:tc>
        <w:tc>
          <w:tcPr>
            <w:tcW w:w="1984"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办公费</w:t>
            </w:r>
          </w:p>
        </w:tc>
        <w:tc>
          <w:tcPr>
            <w:tcW w:w="833" w:type="dxa"/>
            <w:tcBorders>
              <w:top w:val="single" w:color="auto" w:sz="4" w:space="0"/>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61.97</w:t>
            </w:r>
          </w:p>
        </w:tc>
        <w:tc>
          <w:tcPr>
            <w:tcW w:w="1010"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30701</w:t>
            </w:r>
          </w:p>
        </w:tc>
        <w:tc>
          <w:tcPr>
            <w:tcW w:w="2551"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国内债务付息</w:t>
            </w:r>
          </w:p>
        </w:tc>
        <w:tc>
          <w:tcPr>
            <w:tcW w:w="88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30102</w:t>
            </w:r>
          </w:p>
        </w:tc>
        <w:tc>
          <w:tcPr>
            <w:tcW w:w="3023"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津贴补贴</w:t>
            </w:r>
          </w:p>
        </w:tc>
        <w:tc>
          <w:tcPr>
            <w:tcW w:w="847" w:type="dxa"/>
            <w:tcBorders>
              <w:top w:val="single" w:color="auto" w:sz="4" w:space="0"/>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437.85</w:t>
            </w:r>
          </w:p>
        </w:tc>
        <w:tc>
          <w:tcPr>
            <w:tcW w:w="1138"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30202</w:t>
            </w:r>
          </w:p>
        </w:tc>
        <w:tc>
          <w:tcPr>
            <w:tcW w:w="1984"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印刷费</w:t>
            </w:r>
          </w:p>
        </w:tc>
        <w:tc>
          <w:tcPr>
            <w:tcW w:w="833" w:type="dxa"/>
            <w:tcBorders>
              <w:top w:val="single" w:color="auto" w:sz="4" w:space="0"/>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30702</w:t>
            </w:r>
          </w:p>
        </w:tc>
        <w:tc>
          <w:tcPr>
            <w:tcW w:w="2551" w:type="dxa"/>
            <w:tcBorders>
              <w:top w:val="single" w:color="auto" w:sz="4" w:space="0"/>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国外债务付息</w:t>
            </w:r>
          </w:p>
        </w:tc>
        <w:tc>
          <w:tcPr>
            <w:tcW w:w="88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637.10</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咨询费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30106</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伙食补助费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手续费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30704</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30107</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绩效工资</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297.91</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水费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30108</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机关事业单位基本养老保险缴费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241.52</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34.28</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房屋建筑物购建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职业年金缴费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116.65</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邮电费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17.32</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办公设备购置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30110</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职工基本医疗保险缴费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139.30</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取暖费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专用设备购置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公务员医疗补助缴费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51.04</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物业管理费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31005</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基础设施建设</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30112</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其他社会保障缴费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9.02</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差旅费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8.36</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31006</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大型修缮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住房公积金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203.31</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因公出国（境）费用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31007</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信息网络及软件购置更新</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30114</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维修(护)费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3.28</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31008</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物资储备</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30199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其他工资福利支出</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2.35</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租赁费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对个人和家庭的补助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7.99</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31010</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安置补助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离休费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培训费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地上附着物和青苗补偿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30302</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退休费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公务接待费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拆迁补偿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退职（役）费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专用材料费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30304</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抚恤金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被装购置费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其他交通工具购置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30305</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生活补助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7.54</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专用燃料费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文物和陈列品购置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30306</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救济费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劳务费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0.42</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无形资产购置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30307</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委托业务费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15.74</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30308</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助学金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工会经费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奖励金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福利费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资本金注入</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30310</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个人农业生产补贴</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公务用车运行维护费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9</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政府投资基金股权投资</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代缴社会保险费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1.34</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31204</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费用补贴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30399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其他对个人和家庭的补助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0.46</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30240</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税金及附加费用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31205</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利息补贴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30299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其他商品和服务支出</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2.66</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7</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国家赔偿费用支出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8</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对民间非营利组织和群众性自治组织补贴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经常性赠与</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r>
              <w:rPr>
                <w:rFonts w:ascii="仿宋_GB2312" w:hAnsi="宋体" w:eastAsia="仿宋_GB2312" w:cs="宋体"/>
                <w:color w:val="000000"/>
                <w:kern w:val="0"/>
                <w:sz w:val="20"/>
                <w:szCs w:val="20"/>
              </w:rPr>
              <w:t>10</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资本性赠与</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r>
              <w:rPr>
                <w:rFonts w:ascii="仿宋_GB2312" w:hAnsi="宋体" w:eastAsia="仿宋_GB2312" w:cs="宋体"/>
                <w:color w:val="000000"/>
                <w:kern w:val="0"/>
                <w:sz w:val="20"/>
                <w:szCs w:val="20"/>
              </w:rPr>
              <w:t>9999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其他支出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20" w:hRule="atLeast"/>
          <w:jc w:val="center"/>
        </w:trPr>
        <w:tc>
          <w:tcPr>
            <w:tcW w:w="4031"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人员经费合计</w:t>
            </w:r>
          </w:p>
        </w:tc>
        <w:tc>
          <w:tcPr>
            <w:tcW w:w="847"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18"/>
                <w:szCs w:val="18"/>
                <w:lang w:val="en-US" w:eastAsia="zh-CN"/>
              </w:rPr>
              <w:t>2620.70</w:t>
            </w:r>
          </w:p>
        </w:tc>
        <w:tc>
          <w:tcPr>
            <w:tcW w:w="7516" w:type="dxa"/>
            <w:gridSpan w:val="5"/>
            <w:tcBorders>
              <w:top w:val="single" w:color="auto" w:sz="4" w:space="0"/>
              <w:left w:val="nil"/>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公用经费合计</w:t>
            </w:r>
          </w:p>
        </w:tc>
        <w:tc>
          <w:tcPr>
            <w:tcW w:w="881" w:type="dxa"/>
            <w:tcBorders>
              <w:top w:val="nil"/>
              <w:left w:val="nil"/>
              <w:bottom w:val="single" w:color="auto" w:sz="8" w:space="0"/>
              <w:right w:val="single" w:color="auto" w:sz="8" w:space="0"/>
            </w:tcBorders>
            <w:vAlign w:val="center"/>
          </w:tcPr>
          <w:p>
            <w:pPr>
              <w:widowControl/>
              <w:spacing w:line="300" w:lineRule="exact"/>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154.36</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注:本表反映部门本年度一般公共预算财政拨款基本支出明细情况。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政府性基金预算财政拨款收入支出决算表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公开07表</w:t>
      </w:r>
    </w:p>
    <w:p>
      <w:pPr>
        <w:spacing w:line="400" w:lineRule="exact"/>
        <w:ind w:firstLine="138" w:firstLineChars="50"/>
        <w:jc w:val="left"/>
        <w:rPr>
          <w:rFonts w:hint="eastAsia" w:ascii="楷体_GB2312" w:eastAsia="楷体_GB2312"/>
          <w:sz w:val="28"/>
          <w:szCs w:val="28"/>
        </w:rPr>
      </w:pPr>
      <w:r>
        <w:rPr>
          <w:rFonts w:hint="eastAsia" w:ascii="楷体_GB2312" w:eastAsia="楷体_GB2312"/>
          <w:sz w:val="28"/>
          <w:szCs w:val="28"/>
        </w:rPr>
        <w:t>部门：</w:t>
      </w:r>
      <w:r>
        <w:rPr>
          <w:rFonts w:hint="eastAsia" w:ascii="楷体_GB2312" w:eastAsia="楷体_GB2312"/>
          <w:sz w:val="28"/>
          <w:szCs w:val="28"/>
          <w:lang w:eastAsia="zh-CN"/>
        </w:rPr>
        <w:t>即墨区龙泉街道</w:t>
      </w:r>
      <w:r>
        <w:rPr>
          <w:rFonts w:hint="eastAsia" w:ascii="楷体_GB2312" w:eastAsia="楷体_GB2312"/>
          <w:sz w:val="28"/>
          <w:szCs w:val="28"/>
        </w:rPr>
        <w:t xml:space="preserve">                                                             金额单位：万元</w:t>
      </w:r>
    </w:p>
    <w:tbl>
      <w:tblPr>
        <w:tblStyle w:val="17"/>
        <w:tblpPr w:leftFromText="180" w:rightFromText="180" w:vertAnchor="text" w:tblpXSpec="center" w:tblpY="1"/>
        <w:tblOverlap w:val="never"/>
        <w:tblW w:w="13210" w:type="dxa"/>
        <w:jc w:val="center"/>
        <w:tblInd w:w="0" w:type="dxa"/>
        <w:tblLayout w:type="fixed"/>
        <w:tblCellMar>
          <w:top w:w="0" w:type="dxa"/>
          <w:left w:w="108" w:type="dxa"/>
          <w:bottom w:w="0" w:type="dxa"/>
          <w:right w:w="108" w:type="dxa"/>
        </w:tblCellMar>
      </w:tblPr>
      <w:tblGrid>
        <w:gridCol w:w="1372"/>
        <w:gridCol w:w="56"/>
        <w:gridCol w:w="1429"/>
        <w:gridCol w:w="1731"/>
        <w:gridCol w:w="1707"/>
        <w:gridCol w:w="1708"/>
        <w:gridCol w:w="1708"/>
        <w:gridCol w:w="1708"/>
        <w:gridCol w:w="1791"/>
      </w:tblGrid>
      <w:tr>
        <w:tblPrEx>
          <w:tblLayout w:type="fixed"/>
          <w:tblCellMar>
            <w:top w:w="0" w:type="dxa"/>
            <w:left w:w="108" w:type="dxa"/>
            <w:bottom w:w="0" w:type="dxa"/>
            <w:right w:w="108" w:type="dxa"/>
          </w:tblCellMar>
        </w:tblPrEx>
        <w:trPr>
          <w:trHeight w:val="453" w:hRule="atLeast"/>
          <w:jc w:val="center"/>
        </w:trPr>
        <w:tc>
          <w:tcPr>
            <w:tcW w:w="285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731"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年初结转和结余</w:t>
            </w:r>
          </w:p>
        </w:tc>
        <w:tc>
          <w:tcPr>
            <w:tcW w:w="1707" w:type="dxa"/>
            <w:vMerge w:val="restart"/>
            <w:tcBorders>
              <w:top w:val="single" w:color="auto" w:sz="4" w:space="0"/>
              <w:left w:val="nil"/>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w:t>
            </w:r>
          </w:p>
        </w:tc>
        <w:tc>
          <w:tcPr>
            <w:tcW w:w="512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c>
          <w:tcPr>
            <w:tcW w:w="1791" w:type="dxa"/>
            <w:vMerge w:val="restart"/>
            <w:tcBorders>
              <w:top w:val="single" w:color="auto" w:sz="4" w:space="0"/>
              <w:left w:val="nil"/>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年末结转和结余</w:t>
            </w:r>
          </w:p>
        </w:tc>
      </w:tr>
      <w:tr>
        <w:tblPrEx>
          <w:tblLayout w:type="fixed"/>
          <w:tblCellMar>
            <w:top w:w="0" w:type="dxa"/>
            <w:left w:w="108" w:type="dxa"/>
            <w:bottom w:w="0" w:type="dxa"/>
            <w:right w:w="108" w:type="dxa"/>
          </w:tblCellMar>
        </w:tblPrEx>
        <w:trPr>
          <w:trHeight w:val="599" w:hRule="atLeast"/>
          <w:jc w:val="center"/>
        </w:trPr>
        <w:tc>
          <w:tcPr>
            <w:tcW w:w="1428"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科目代码</w:t>
            </w:r>
          </w:p>
        </w:tc>
        <w:tc>
          <w:tcPr>
            <w:tcW w:w="14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731"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707" w:type="dxa"/>
            <w:vMerge w:val="continue"/>
            <w:tcBorders>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91" w:type="dxa"/>
            <w:vMerge w:val="continue"/>
            <w:tcBorders>
              <w:left w:val="nil"/>
              <w:bottom w:val="single" w:color="auto" w:sz="4" w:space="0"/>
              <w:right w:val="single" w:color="auto" w:sz="4" w:space="0"/>
            </w:tcBorders>
            <w:vAlign w:val="center"/>
          </w:tcPr>
          <w:p>
            <w:pPr>
              <w:spacing w:line="300" w:lineRule="exact"/>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atLeast"/>
          <w:jc w:val="center"/>
        </w:trPr>
        <w:tc>
          <w:tcPr>
            <w:tcW w:w="285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731"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707"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791"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Layout w:type="fixed"/>
          <w:tblCellMar>
            <w:top w:w="0" w:type="dxa"/>
            <w:left w:w="108" w:type="dxa"/>
            <w:bottom w:w="0" w:type="dxa"/>
            <w:right w:w="108" w:type="dxa"/>
          </w:tblCellMar>
        </w:tblPrEx>
        <w:trPr>
          <w:trHeight w:val="454" w:hRule="atLeast"/>
          <w:jc w:val="center"/>
        </w:trPr>
        <w:tc>
          <w:tcPr>
            <w:tcW w:w="285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731"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868.54</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lang w:val="en-US" w:eastAsia="zh-CN"/>
              </w:rPr>
              <w:t>868.54</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lang w:val="en-US" w:eastAsia="zh-CN"/>
              </w:rPr>
              <w:t>868.54</w:t>
            </w:r>
          </w:p>
        </w:tc>
        <w:tc>
          <w:tcPr>
            <w:tcW w:w="1791"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atLeast"/>
          <w:jc w:val="center"/>
        </w:trPr>
        <w:tc>
          <w:tcPr>
            <w:tcW w:w="1372"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w:t>
            </w:r>
          </w:p>
        </w:tc>
        <w:tc>
          <w:tcPr>
            <w:tcW w:w="1485"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城乡社区支出</w:t>
            </w:r>
          </w:p>
        </w:tc>
        <w:tc>
          <w:tcPr>
            <w:tcW w:w="1731"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08"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91" w:type="dxa"/>
            <w:tcBorders>
              <w:top w:val="nil"/>
              <w:left w:val="nil"/>
              <w:bottom w:val="single" w:color="auto" w:sz="4" w:space="0"/>
              <w:right w:val="single" w:color="auto" w:sz="4" w:space="0"/>
            </w:tcBorders>
            <w:vAlign w:val="center"/>
          </w:tcPr>
          <w:p>
            <w:pPr>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1134" w:hRule="exact"/>
          <w:jc w:val="center"/>
        </w:trPr>
        <w:tc>
          <w:tcPr>
            <w:tcW w:w="1372" w:type="dxa"/>
            <w:tcBorders>
              <w:top w:val="nil"/>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21208</w:t>
            </w:r>
          </w:p>
        </w:tc>
        <w:tc>
          <w:tcPr>
            <w:tcW w:w="1485" w:type="dxa"/>
            <w:gridSpan w:val="2"/>
            <w:tcBorders>
              <w:top w:val="nil"/>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18"/>
                <w:szCs w:val="18"/>
              </w:rPr>
            </w:pPr>
            <w:r>
              <w:rPr>
                <w:rFonts w:hint="eastAsia" w:ascii="宋体" w:hAnsi="宋体" w:eastAsia="宋体" w:cs="宋体"/>
                <w:i w:val="0"/>
                <w:color w:val="000000"/>
                <w:kern w:val="0"/>
                <w:sz w:val="16"/>
                <w:szCs w:val="16"/>
                <w:u w:val="none"/>
                <w:lang w:val="en-US" w:eastAsia="zh-CN" w:bidi="ar"/>
              </w:rPr>
              <w:t>国有土地使用权出让收入安排的支出</w:t>
            </w:r>
          </w:p>
        </w:tc>
        <w:tc>
          <w:tcPr>
            <w:tcW w:w="173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left"/>
              <w:outlineLvl w:val="9"/>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868.54</w:t>
            </w:r>
          </w:p>
        </w:tc>
        <w:tc>
          <w:tcPr>
            <w:tcW w:w="1791"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1134" w:hRule="exact"/>
          <w:jc w:val="center"/>
        </w:trPr>
        <w:tc>
          <w:tcPr>
            <w:tcW w:w="1372" w:type="dxa"/>
            <w:tcBorders>
              <w:top w:val="nil"/>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2120801</w:t>
            </w:r>
          </w:p>
        </w:tc>
        <w:tc>
          <w:tcPr>
            <w:tcW w:w="1485" w:type="dxa"/>
            <w:gridSpan w:val="2"/>
            <w:tcBorders>
              <w:top w:val="nil"/>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22"/>
                <w:szCs w:val="22"/>
              </w:rPr>
            </w:pPr>
            <w:r>
              <w:rPr>
                <w:rFonts w:hint="eastAsia" w:ascii="宋体" w:hAnsi="宋体" w:eastAsia="宋体" w:cs="宋体"/>
                <w:i w:val="0"/>
                <w:color w:val="000000"/>
                <w:kern w:val="0"/>
                <w:sz w:val="18"/>
                <w:szCs w:val="18"/>
                <w:u w:val="none"/>
                <w:lang w:val="en-US" w:eastAsia="zh-CN" w:bidi="ar"/>
              </w:rPr>
              <w:t>征地和拆迁补偿支出</w:t>
            </w:r>
          </w:p>
        </w:tc>
        <w:tc>
          <w:tcPr>
            <w:tcW w:w="173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left"/>
              <w:outlineLvl w:val="9"/>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8.54</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8.54</w:t>
            </w:r>
          </w:p>
        </w:tc>
        <w:tc>
          <w:tcPr>
            <w:tcW w:w="170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8.54</w:t>
            </w:r>
          </w:p>
        </w:tc>
        <w:tc>
          <w:tcPr>
            <w:tcW w:w="1791"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1134" w:hRule="exact"/>
          <w:jc w:val="center"/>
        </w:trPr>
        <w:tc>
          <w:tcPr>
            <w:tcW w:w="1372" w:type="dxa"/>
            <w:tcBorders>
              <w:top w:val="nil"/>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18"/>
                <w:szCs w:val="18"/>
              </w:rPr>
            </w:pPr>
            <w:r>
              <w:rPr>
                <w:rFonts w:hint="eastAsia" w:ascii="宋体" w:hAnsi="宋体" w:eastAsia="宋体" w:cs="宋体"/>
                <w:i w:val="0"/>
                <w:color w:val="000000"/>
                <w:kern w:val="0"/>
                <w:sz w:val="18"/>
                <w:szCs w:val="18"/>
                <w:u w:val="none"/>
                <w:lang w:val="en-US" w:eastAsia="zh-CN" w:bidi="ar"/>
              </w:rPr>
              <w:t>2120804</w:t>
            </w:r>
          </w:p>
        </w:tc>
        <w:tc>
          <w:tcPr>
            <w:tcW w:w="1485" w:type="dxa"/>
            <w:gridSpan w:val="2"/>
            <w:tcBorders>
              <w:top w:val="nil"/>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120" w:lineRule="auto"/>
              <w:ind w:left="0" w:leftChars="0" w:right="0" w:rightChars="0" w:firstLine="0" w:firstLineChars="0"/>
              <w:jc w:val="left"/>
              <w:textAlignment w:val="center"/>
              <w:outlineLvl w:val="9"/>
              <w:rPr>
                <w:rFonts w:hint="eastAsia" w:ascii="仿宋_GB2312" w:hAnsi="宋体" w:eastAsia="仿宋_GB2312" w:cs="宋体"/>
                <w:kern w:val="0"/>
                <w:sz w:val="16"/>
                <w:szCs w:val="16"/>
              </w:rPr>
            </w:pPr>
            <w:r>
              <w:rPr>
                <w:rFonts w:hint="eastAsia" w:ascii="宋体" w:hAnsi="宋体" w:eastAsia="宋体" w:cs="宋体"/>
                <w:i w:val="0"/>
                <w:color w:val="000000"/>
                <w:kern w:val="0"/>
                <w:sz w:val="18"/>
                <w:szCs w:val="18"/>
                <w:u w:val="none"/>
                <w:lang w:val="en-US" w:eastAsia="zh-CN" w:bidi="ar"/>
              </w:rPr>
              <w:t>农村基础设施建设支出</w:t>
            </w:r>
          </w:p>
        </w:tc>
        <w:tc>
          <w:tcPr>
            <w:tcW w:w="173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left"/>
              <w:outlineLvl w:val="9"/>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860.00</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860.00</w:t>
            </w:r>
          </w:p>
        </w:tc>
        <w:tc>
          <w:tcPr>
            <w:tcW w:w="1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宋体"/>
                <w:kern w:val="0"/>
                <w:sz w:val="22"/>
                <w:szCs w:val="22"/>
              </w:rPr>
            </w:pPr>
            <w:r>
              <w:rPr>
                <w:rFonts w:hint="eastAsia" w:ascii="宋体" w:hAnsi="宋体" w:eastAsia="宋体" w:cs="宋体"/>
                <w:i w:val="0"/>
                <w:color w:val="000000"/>
                <w:kern w:val="0"/>
                <w:sz w:val="22"/>
                <w:szCs w:val="22"/>
                <w:u w:val="none"/>
                <w:lang w:val="en-US" w:eastAsia="zh-CN" w:bidi="ar"/>
              </w:rPr>
              <w:t>860.00</w:t>
            </w:r>
          </w:p>
        </w:tc>
        <w:tc>
          <w:tcPr>
            <w:tcW w:w="1791"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120" w:lineRule="auto"/>
              <w:ind w:left="0" w:leftChars="0" w:right="0" w:rightChars="0" w:firstLine="0" w:firstLineChars="0"/>
              <w:jc w:val="right"/>
              <w:outlineLvl w:val="9"/>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注：本表反映部门本年度政府性基金预算财政拨款收入、支出及结转和结余情况。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国有资本经营预算财政拨款支出决算表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公开08表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 xml:space="preserve">部门：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17"/>
        <w:tblW w:w="13152" w:type="dxa"/>
        <w:jc w:val="center"/>
        <w:tblInd w:w="0" w:type="dxa"/>
        <w:tblLayout w:type="fixed"/>
        <w:tblCellMar>
          <w:top w:w="0" w:type="dxa"/>
          <w:left w:w="108" w:type="dxa"/>
          <w:bottom w:w="0" w:type="dxa"/>
          <w:right w:w="108" w:type="dxa"/>
        </w:tblCellMar>
      </w:tblPr>
      <w:tblGrid>
        <w:gridCol w:w="1701"/>
        <w:gridCol w:w="3170"/>
        <w:gridCol w:w="2783"/>
        <w:gridCol w:w="2978"/>
        <w:gridCol w:w="2520"/>
      </w:tblGrid>
      <w:tr>
        <w:tblPrEx>
          <w:tblLayout w:type="fixed"/>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Layout w:type="fixed"/>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科目代码</w:t>
            </w:r>
          </w:p>
        </w:tc>
        <w:tc>
          <w:tcPr>
            <w:tcW w:w="317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Layout w:type="fixed"/>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Layout w:type="fixed"/>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single" w:color="auto" w:sz="4" w:space="0"/>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注：本表反映部门本年度国有资本经营预算财政拨款支出情况。</w:t>
      </w:r>
    </w:p>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lang w:eastAsia="zh-CN"/>
        </w:rPr>
        <w:t>说明：</w:t>
      </w:r>
      <w:r>
        <w:rPr>
          <w:rFonts w:hint="eastAsia" w:ascii="仿宋_GB2312" w:hAnsi="宋体" w:eastAsia="仿宋_GB2312"/>
          <w:sz w:val="22"/>
          <w:szCs w:val="22"/>
        </w:rPr>
        <w:t>本部门没有使用国有资本经营预算安排的支出，故本表无数据。</w:t>
      </w:r>
    </w:p>
    <w:p>
      <w:pPr>
        <w:spacing w:line="400" w:lineRule="exact"/>
        <w:jc w:val="left"/>
        <w:rPr>
          <w:rFonts w:ascii="仿宋_GB2312" w:hAnsi="宋体" w:eastAsia="仿宋_GB2312"/>
          <w:sz w:val="22"/>
          <w:szCs w:val="22"/>
        </w:rPr>
      </w:pP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财政拨款“三公”经费支出决算表</w:t>
      </w:r>
    </w:p>
    <w:p>
      <w:pPr>
        <w:wordWrap w:val="0"/>
        <w:spacing w:line="400" w:lineRule="exact"/>
        <w:jc w:val="right"/>
        <w:rPr>
          <w:rFonts w:hint="eastAsia" w:ascii="楷体_GB2312" w:eastAsia="楷体_GB2312"/>
          <w:sz w:val="28"/>
          <w:szCs w:val="28"/>
        </w:rPr>
      </w:pPr>
      <w:r>
        <w:rPr>
          <w:rFonts w:hint="eastAsia" w:ascii="方正小标宋简体" w:eastAsia="方正小标宋简体"/>
          <w:sz w:val="44"/>
          <w:szCs w:val="44"/>
        </w:rPr>
        <w:t>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公开09表</w:t>
      </w:r>
    </w:p>
    <w:p>
      <w:pPr>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 xml:space="preserve">部门：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17"/>
        <w:tblW w:w="13256" w:type="dxa"/>
        <w:jc w:val="center"/>
        <w:tblInd w:w="0" w:type="dxa"/>
        <w:tblLayout w:type="fixed"/>
        <w:tblCellMar>
          <w:top w:w="0" w:type="dxa"/>
          <w:left w:w="108" w:type="dxa"/>
          <w:bottom w:w="0" w:type="dxa"/>
          <w:right w:w="108" w:type="dxa"/>
        </w:tblCellMar>
      </w:tblPr>
      <w:tblGrid>
        <w:gridCol w:w="1179"/>
        <w:gridCol w:w="1195"/>
        <w:gridCol w:w="1180"/>
        <w:gridCol w:w="1180"/>
        <w:gridCol w:w="1272"/>
        <w:gridCol w:w="878"/>
        <w:gridCol w:w="1098"/>
        <w:gridCol w:w="1143"/>
        <w:gridCol w:w="851"/>
        <w:gridCol w:w="1132"/>
        <w:gridCol w:w="1135"/>
        <w:gridCol w:w="1013"/>
      </w:tblGrid>
      <w:tr>
        <w:tblPrEx>
          <w:tblLayout w:type="fixed"/>
          <w:tblCellMar>
            <w:top w:w="0" w:type="dxa"/>
            <w:left w:w="108" w:type="dxa"/>
            <w:bottom w:w="0" w:type="dxa"/>
            <w:right w:w="108" w:type="dxa"/>
          </w:tblCellMar>
        </w:tblPrEx>
        <w:trPr>
          <w:trHeight w:val="862" w:hRule="atLeast"/>
          <w:jc w:val="center"/>
        </w:trPr>
        <w:tc>
          <w:tcPr>
            <w:tcW w:w="6884" w:type="dxa"/>
            <w:gridSpan w:val="6"/>
            <w:tcBorders>
              <w:top w:val="single" w:color="auto" w:sz="8" w:space="0"/>
              <w:left w:val="single" w:color="auto" w:sz="8" w:space="0"/>
              <w:bottom w:val="single" w:color="auto" w:sz="4"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预 算 数</w:t>
            </w:r>
          </w:p>
        </w:tc>
        <w:tc>
          <w:tcPr>
            <w:tcW w:w="6372" w:type="dxa"/>
            <w:gridSpan w:val="6"/>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决 算 数　</w:t>
            </w:r>
          </w:p>
        </w:tc>
      </w:tr>
      <w:tr>
        <w:tblPrEx>
          <w:tblLayout w:type="fixed"/>
          <w:tblCellMar>
            <w:top w:w="0" w:type="dxa"/>
            <w:left w:w="108" w:type="dxa"/>
            <w:bottom w:w="0" w:type="dxa"/>
            <w:right w:w="108" w:type="dxa"/>
          </w:tblCellMar>
        </w:tblPrEx>
        <w:trPr>
          <w:trHeight w:val="862" w:hRule="atLeast"/>
          <w:jc w:val="center"/>
        </w:trPr>
        <w:tc>
          <w:tcPr>
            <w:tcW w:w="1179" w:type="dxa"/>
            <w:vMerge w:val="restart"/>
            <w:tcBorders>
              <w:top w:val="nil"/>
              <w:left w:val="single" w:color="auto" w:sz="8"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95"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632"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878" w:type="dxa"/>
            <w:vMerge w:val="restart"/>
            <w:tcBorders>
              <w:top w:val="nil"/>
              <w:left w:val="single" w:color="auto" w:sz="4" w:space="0"/>
              <w:bottom w:val="single" w:color="auto" w:sz="4"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c>
          <w:tcPr>
            <w:tcW w:w="1098" w:type="dxa"/>
            <w:vMerge w:val="restart"/>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4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118" w:type="dxa"/>
            <w:gridSpan w:val="3"/>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101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r>
      <w:tr>
        <w:tblPrEx>
          <w:tblLayout w:type="fixed"/>
          <w:tblCellMar>
            <w:top w:w="0" w:type="dxa"/>
            <w:left w:w="108" w:type="dxa"/>
            <w:bottom w:w="0" w:type="dxa"/>
            <w:right w:w="108" w:type="dxa"/>
          </w:tblCellMar>
        </w:tblPrEx>
        <w:trPr>
          <w:trHeight w:val="862" w:hRule="atLeast"/>
          <w:jc w:val="center"/>
        </w:trPr>
        <w:tc>
          <w:tcPr>
            <w:tcW w:w="1179" w:type="dxa"/>
            <w:vMerge w:val="continue"/>
            <w:tcBorders>
              <w:top w:val="nil"/>
              <w:left w:val="single" w:color="auto" w:sz="8"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19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18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8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272"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878" w:type="dxa"/>
            <w:vMerge w:val="continue"/>
            <w:tcBorders>
              <w:top w:val="nil"/>
              <w:left w:val="single" w:color="auto" w:sz="4" w:space="0"/>
              <w:bottom w:val="single" w:color="auto" w:sz="4"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rPr>
            </w:pPr>
          </w:p>
        </w:tc>
        <w:tc>
          <w:tcPr>
            <w:tcW w:w="1098"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left"/>
              <w:rPr>
                <w:rFonts w:hint="eastAsia" w:ascii="仿宋_GB2312" w:hAnsi="宋体" w:eastAsia="仿宋_GB2312" w:cs="宋体"/>
                <w:kern w:val="0"/>
                <w:sz w:val="22"/>
                <w:szCs w:val="22"/>
              </w:rPr>
            </w:pPr>
          </w:p>
        </w:tc>
        <w:tc>
          <w:tcPr>
            <w:tcW w:w="1143"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left"/>
              <w:rPr>
                <w:rFonts w:hint="eastAsia" w:ascii="仿宋_GB2312" w:hAnsi="宋体" w:eastAsia="仿宋_GB2312" w:cs="宋体"/>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135"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101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rPr>
            </w:pPr>
          </w:p>
        </w:tc>
      </w:tr>
      <w:tr>
        <w:tblPrEx>
          <w:tblLayout w:type="fixed"/>
          <w:tblCellMar>
            <w:top w:w="0" w:type="dxa"/>
            <w:left w:w="108" w:type="dxa"/>
            <w:bottom w:w="0" w:type="dxa"/>
            <w:right w:w="108" w:type="dxa"/>
          </w:tblCellMar>
        </w:tblPrEx>
        <w:trPr>
          <w:trHeight w:val="623" w:hRule="atLeast"/>
          <w:jc w:val="center"/>
        </w:trPr>
        <w:tc>
          <w:tcPr>
            <w:tcW w:w="1179"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195"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2"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878" w:type="dxa"/>
            <w:tcBorders>
              <w:top w:val="nil"/>
              <w:left w:val="nil"/>
              <w:bottom w:val="single" w:color="auto"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098"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c>
          <w:tcPr>
            <w:tcW w:w="114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8</w:t>
            </w: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10</w:t>
            </w:r>
          </w:p>
        </w:tc>
        <w:tc>
          <w:tcPr>
            <w:tcW w:w="1135"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11</w:t>
            </w:r>
          </w:p>
        </w:tc>
        <w:tc>
          <w:tcPr>
            <w:tcW w:w="101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12</w:t>
            </w:r>
          </w:p>
        </w:tc>
      </w:tr>
      <w:tr>
        <w:tblPrEx>
          <w:tblLayout w:type="fixed"/>
          <w:tblCellMar>
            <w:top w:w="0" w:type="dxa"/>
            <w:left w:w="108" w:type="dxa"/>
            <w:bottom w:w="0" w:type="dxa"/>
            <w:right w:w="108" w:type="dxa"/>
          </w:tblCellMar>
        </w:tblPrEx>
        <w:trPr>
          <w:trHeight w:val="1296" w:hRule="atLeast"/>
          <w:jc w:val="center"/>
        </w:trPr>
        <w:tc>
          <w:tcPr>
            <w:tcW w:w="1179"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lang w:val="en-US" w:eastAsia="zh-CN"/>
              </w:rPr>
              <w:t>10</w:t>
            </w:r>
          </w:p>
        </w:tc>
        <w:tc>
          <w:tcPr>
            <w:tcW w:w="1195"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tc>
        <w:tc>
          <w:tcPr>
            <w:tcW w:w="1272"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p>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10</w:t>
            </w:r>
          </w:p>
        </w:tc>
        <w:tc>
          <w:tcPr>
            <w:tcW w:w="878" w:type="dxa"/>
            <w:tcBorders>
              <w:top w:val="nil"/>
              <w:left w:val="nil"/>
              <w:bottom w:val="single" w:color="auto"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p>
        </w:tc>
        <w:tc>
          <w:tcPr>
            <w:tcW w:w="1098"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lang w:val="en-US" w:eastAsia="zh-CN"/>
              </w:rPr>
            </w:pPr>
            <w:r>
              <w:rPr>
                <w:rFonts w:hint="eastAsia" w:ascii="仿宋_GB2312" w:hAnsi="宋体" w:eastAsia="仿宋_GB2312" w:cs="宋体"/>
                <w:color w:val="auto"/>
                <w:kern w:val="0"/>
                <w:sz w:val="22"/>
                <w:szCs w:val="22"/>
                <w:lang w:val="en-US" w:eastAsia="zh-CN"/>
              </w:rPr>
              <w:t>16.2</w:t>
            </w:r>
          </w:p>
        </w:tc>
        <w:tc>
          <w:tcPr>
            <w:tcW w:w="114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rPr>
            </w:pP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rPr>
            </w:pPr>
          </w:p>
        </w:tc>
        <w:tc>
          <w:tcPr>
            <w:tcW w:w="1135"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rPr>
            </w:pPr>
            <w:r>
              <w:rPr>
                <w:rFonts w:hint="eastAsia" w:ascii="仿宋_GB2312" w:hAnsi="宋体" w:eastAsia="仿宋_GB2312" w:cs="宋体"/>
                <w:color w:val="auto"/>
                <w:kern w:val="0"/>
                <w:sz w:val="22"/>
                <w:szCs w:val="22"/>
                <w:lang w:val="en-US" w:eastAsia="zh-CN"/>
              </w:rPr>
              <w:t>15.83</w:t>
            </w:r>
          </w:p>
        </w:tc>
        <w:tc>
          <w:tcPr>
            <w:tcW w:w="101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color w:val="auto"/>
                <w:kern w:val="0"/>
                <w:sz w:val="22"/>
                <w:szCs w:val="22"/>
                <w:lang w:val="en-US" w:eastAsia="zh-CN"/>
              </w:rPr>
            </w:pPr>
            <w:r>
              <w:rPr>
                <w:rFonts w:hint="eastAsia" w:ascii="仿宋_GB2312" w:hAnsi="宋体" w:eastAsia="仿宋_GB2312" w:cs="宋体"/>
                <w:color w:val="auto"/>
                <w:kern w:val="0"/>
                <w:sz w:val="22"/>
                <w:szCs w:val="22"/>
                <w:lang w:val="en-US" w:eastAsia="zh-CN"/>
              </w:rPr>
              <w:t>0.37</w:t>
            </w:r>
          </w:p>
        </w:tc>
      </w:tr>
    </w:tbl>
    <w:p>
      <w:pPr>
        <w:spacing w:line="440" w:lineRule="exact"/>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注：本表反映部门本年度财政拨款“三公”经费支出预决算情况。其中，预算数为“三公”经费年初预算数；决算数是包括当年财政拨款和以前年度结转资金安排的实际支出。</w:t>
      </w:r>
      <w:r>
        <w:rPr>
          <w:rFonts w:hint="eastAsia" w:ascii="仿宋_GB2312" w:hAnsi="宋体" w:eastAsia="仿宋_GB2312"/>
          <w:sz w:val="22"/>
          <w:szCs w:val="22"/>
        </w:rPr>
        <w:tab/>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第三部分</w:t>
      </w:r>
    </w:p>
    <w:p>
      <w:pPr>
        <w:spacing w:line="800" w:lineRule="exact"/>
        <w:jc w:val="center"/>
        <w:rPr>
          <w:rFonts w:hint="eastAsia" w:ascii="方正小标宋简体" w:eastAsia="方正小标宋简体"/>
          <w:spacing w:val="60"/>
          <w:sz w:val="48"/>
        </w:rPr>
      </w:pPr>
    </w:p>
    <w:p>
      <w:pPr>
        <w:spacing w:line="800" w:lineRule="exact"/>
        <w:jc w:val="center"/>
        <w:rPr>
          <w:rFonts w:hint="eastAsia" w:ascii="方正小标宋简体" w:eastAsia="方正小标宋简体"/>
          <w:spacing w:val="60"/>
          <w:sz w:val="48"/>
        </w:rPr>
      </w:pPr>
    </w:p>
    <w:p>
      <w:pPr>
        <w:spacing w:line="800" w:lineRule="exact"/>
        <w:jc w:val="center"/>
        <w:rPr>
          <w:rFonts w:ascii="方正小标宋简体" w:eastAsia="方正小标宋简体"/>
          <w:spacing w:val="60"/>
          <w:sz w:val="48"/>
        </w:rPr>
        <w:sectPr>
          <w:pgSz w:w="11906" w:h="16838"/>
          <w:pgMar w:top="1701" w:right="1531" w:bottom="1701" w:left="1531" w:header="0" w:footer="1418" w:gutter="0"/>
          <w:cols w:space="720" w:num="1"/>
          <w:docGrid w:type="linesAndChars" w:linePitch="610" w:charSpace="-849"/>
        </w:sectPr>
      </w:pPr>
      <w:r>
        <w:rPr>
          <w:rFonts w:hint="eastAsia" w:ascii="方正小标宋简体" w:eastAsia="方正小标宋简体"/>
          <w:spacing w:val="60"/>
          <w:sz w:val="48"/>
        </w:rPr>
        <w:t>2023年度部门决算情况说明</w:t>
      </w:r>
    </w:p>
    <w:p>
      <w:pPr>
        <w:spacing w:line="580" w:lineRule="exact"/>
        <w:ind w:firstLine="640" w:firstLineChars="200"/>
        <w:rPr>
          <w:rFonts w:hint="eastAsia" w:ascii="黑体" w:hAnsi="黑体" w:eastAsia="黑体"/>
          <w:szCs w:val="32"/>
        </w:rPr>
      </w:pPr>
      <w:r>
        <w:rPr>
          <w:rFonts w:hint="eastAsia" w:ascii="黑体" w:hAnsi="黑体" w:eastAsia="黑体"/>
          <w:szCs w:val="32"/>
        </w:rPr>
        <w:t>一、收入支出决算总体情况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2023年度收、支总计</w:t>
      </w:r>
      <w:r>
        <w:rPr>
          <w:rFonts w:hint="eastAsia" w:ascii="仿宋_GB2312" w:eastAsia="仿宋_GB2312"/>
          <w:szCs w:val="32"/>
          <w:lang w:val="en-US" w:eastAsia="zh-CN"/>
        </w:rPr>
        <w:t>9834.89</w:t>
      </w:r>
      <w:r>
        <w:rPr>
          <w:rFonts w:hint="eastAsia" w:ascii="仿宋_GB2312" w:eastAsia="仿宋_GB2312"/>
          <w:szCs w:val="32"/>
        </w:rPr>
        <w:t>万元。与2022年度相比，收、支总计各减少</w:t>
      </w:r>
      <w:r>
        <w:rPr>
          <w:rFonts w:hint="eastAsia" w:ascii="仿宋_GB2312" w:eastAsia="仿宋_GB2312"/>
          <w:szCs w:val="32"/>
          <w:lang w:val="en-US" w:eastAsia="zh-CN"/>
        </w:rPr>
        <w:t>13856.40</w:t>
      </w:r>
      <w:r>
        <w:rPr>
          <w:rFonts w:hint="eastAsia" w:ascii="仿宋_GB2312" w:eastAsia="仿宋_GB2312"/>
          <w:szCs w:val="32"/>
        </w:rPr>
        <w:t>万元，下降</w:t>
      </w:r>
      <w:r>
        <w:rPr>
          <w:rFonts w:hint="eastAsia" w:ascii="仿宋_GB2312" w:eastAsia="仿宋_GB2312"/>
          <w:szCs w:val="32"/>
          <w:lang w:val="en-US" w:eastAsia="zh-CN"/>
        </w:rPr>
        <w:t>58.49</w:t>
      </w:r>
      <w:r>
        <w:rPr>
          <w:rFonts w:hint="eastAsia" w:ascii="仿宋_GB2312" w:eastAsia="仿宋_GB2312"/>
          <w:szCs w:val="32"/>
        </w:rPr>
        <w:t>%。主要是</w:t>
      </w:r>
      <w:r>
        <w:rPr>
          <w:rFonts w:hint="eastAsia" w:ascii="仿宋_GB2312" w:eastAsia="仿宋_GB2312"/>
          <w:szCs w:val="32"/>
          <w:lang w:val="en-US" w:eastAsia="zh-CN"/>
        </w:rPr>
        <w:t>2023年度经济下滑，财政收入和上级补助</w:t>
      </w:r>
      <w:r>
        <w:rPr>
          <w:rFonts w:hint="eastAsia" w:ascii="仿宋_GB2312" w:eastAsia="仿宋_GB2312"/>
          <w:szCs w:val="32"/>
        </w:rPr>
        <w:t>减少。</w:t>
      </w:r>
    </w:p>
    <w:p>
      <w:pPr>
        <w:spacing w:line="580" w:lineRule="exact"/>
        <w:ind w:firstLine="640" w:firstLineChars="200"/>
        <w:rPr>
          <w:rFonts w:hint="eastAsia" w:ascii="黑体" w:hAnsi="黑体" w:eastAsia="黑体"/>
          <w:szCs w:val="32"/>
        </w:rPr>
      </w:pPr>
      <w:r>
        <w:rPr>
          <w:rFonts w:hint="eastAsia" w:ascii="仿宋_GB2312" w:eastAsia="仿宋_GB2312"/>
          <w:szCs w:val="32"/>
          <w:lang w:eastAsia="zh-CN"/>
        </w:rPr>
        <w:drawing>
          <wp:anchor distT="0" distB="0" distL="114300" distR="114300" simplePos="0" relativeHeight="251658240" behindDoc="0" locked="0" layoutInCell="1" allowOverlap="1">
            <wp:simplePos x="0" y="0"/>
            <wp:positionH relativeFrom="column">
              <wp:posOffset>474345</wp:posOffset>
            </wp:positionH>
            <wp:positionV relativeFrom="paragraph">
              <wp:posOffset>111125</wp:posOffset>
            </wp:positionV>
            <wp:extent cx="3698240" cy="2469515"/>
            <wp:effectExtent l="4445" t="4445" r="12065" b="2159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黑体" w:hAnsi="黑体" w:eastAsia="黑体"/>
          <w:szCs w:val="32"/>
        </w:rPr>
        <w:t>二、收入决算情况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本年收入合计</w:t>
      </w:r>
      <w:r>
        <w:rPr>
          <w:rFonts w:hint="eastAsia" w:ascii="仿宋_GB2312" w:eastAsia="仿宋_GB2312"/>
          <w:szCs w:val="32"/>
          <w:lang w:val="en-US" w:eastAsia="zh-CN"/>
        </w:rPr>
        <w:t>9834.89</w:t>
      </w:r>
      <w:r>
        <w:rPr>
          <w:rFonts w:hint="eastAsia" w:ascii="仿宋_GB2312" w:eastAsia="仿宋_GB2312"/>
          <w:szCs w:val="32"/>
        </w:rPr>
        <w:t>万元，其中：财政拨款收入</w:t>
      </w:r>
      <w:r>
        <w:rPr>
          <w:rFonts w:hint="eastAsia" w:ascii="仿宋_GB2312" w:eastAsia="仿宋_GB2312"/>
          <w:szCs w:val="32"/>
          <w:lang w:val="en-US" w:eastAsia="zh-CN"/>
        </w:rPr>
        <w:t>9834.89</w:t>
      </w:r>
      <w:r>
        <w:rPr>
          <w:rFonts w:hint="eastAsia" w:ascii="仿宋_GB2312" w:eastAsia="仿宋_GB2312"/>
          <w:szCs w:val="32"/>
        </w:rPr>
        <w:t>万元，占</w:t>
      </w:r>
      <w:r>
        <w:rPr>
          <w:rFonts w:hint="eastAsia" w:ascii="仿宋_GB2312" w:eastAsia="仿宋_GB2312"/>
          <w:szCs w:val="32"/>
          <w:lang w:val="en-US" w:eastAsia="zh-CN"/>
        </w:rPr>
        <w:t>100</w:t>
      </w:r>
      <w:r>
        <w:rPr>
          <w:rFonts w:hint="eastAsia" w:ascii="仿宋_GB2312" w:eastAsia="仿宋_GB2312"/>
          <w:szCs w:val="32"/>
        </w:rPr>
        <w:t>%；上级补助收入</w:t>
      </w:r>
      <w:r>
        <w:rPr>
          <w:rFonts w:hint="eastAsia" w:ascii="仿宋_GB2312" w:eastAsia="仿宋_GB2312"/>
          <w:szCs w:val="32"/>
          <w:lang w:val="en-US" w:eastAsia="zh-CN"/>
        </w:rPr>
        <w:t>0</w:t>
      </w:r>
      <w:r>
        <w:rPr>
          <w:rFonts w:hint="eastAsia" w:ascii="仿宋_GB2312" w:eastAsia="仿宋_GB2312"/>
          <w:szCs w:val="32"/>
        </w:rPr>
        <w:t>万元，占</w:t>
      </w:r>
      <w:r>
        <w:rPr>
          <w:rFonts w:hint="eastAsia" w:ascii="仿宋_GB2312" w:eastAsia="仿宋_GB2312"/>
          <w:szCs w:val="32"/>
          <w:lang w:val="en-US" w:eastAsia="zh-CN"/>
        </w:rPr>
        <w:t>0</w:t>
      </w:r>
      <w:r>
        <w:rPr>
          <w:rFonts w:hint="eastAsia" w:ascii="仿宋_GB2312" w:eastAsia="仿宋_GB2312"/>
          <w:szCs w:val="32"/>
        </w:rPr>
        <w:t>%；其他收入</w:t>
      </w:r>
      <w:r>
        <w:rPr>
          <w:rFonts w:hint="eastAsia" w:ascii="仿宋_GB2312" w:eastAsia="仿宋_GB2312"/>
          <w:szCs w:val="32"/>
          <w:lang w:val="en-US" w:eastAsia="zh-CN"/>
        </w:rPr>
        <w:t>0</w:t>
      </w:r>
      <w:r>
        <w:rPr>
          <w:rFonts w:hint="eastAsia" w:ascii="仿宋_GB2312" w:eastAsia="仿宋_GB2312"/>
          <w:szCs w:val="32"/>
        </w:rPr>
        <w:t>万元，占</w:t>
      </w:r>
      <w:r>
        <w:rPr>
          <w:rFonts w:hint="eastAsia" w:ascii="仿宋_GB2312" w:eastAsia="仿宋_GB2312"/>
          <w:szCs w:val="32"/>
          <w:lang w:val="en-US" w:eastAsia="zh-CN"/>
        </w:rPr>
        <w:t>0</w:t>
      </w:r>
      <w:r>
        <w:rPr>
          <w:rFonts w:hint="eastAsia" w:ascii="仿宋_GB2312" w:eastAsia="仿宋_GB2312"/>
          <w:szCs w:val="32"/>
        </w:rPr>
        <w:t>%。</w:t>
      </w:r>
    </w:p>
    <w:p>
      <w:pPr>
        <w:spacing w:line="580" w:lineRule="exact"/>
        <w:ind w:firstLine="643" w:firstLineChars="200"/>
        <w:rPr>
          <w:rFonts w:hint="eastAsia" w:ascii="仿宋_GB2312" w:eastAsia="仿宋_GB2312"/>
          <w:b/>
          <w:szCs w:val="32"/>
          <w:lang w:eastAsia="zh-CN"/>
        </w:rPr>
      </w:pPr>
      <w:r>
        <w:rPr>
          <w:rFonts w:hint="eastAsia" w:ascii="仿宋_GB2312" w:eastAsia="仿宋_GB2312"/>
          <w:b/>
          <w:szCs w:val="32"/>
          <w:lang w:eastAsia="zh-CN"/>
        </w:rPr>
        <w:drawing>
          <wp:anchor distT="0" distB="0" distL="114300" distR="114300" simplePos="0" relativeHeight="251659264" behindDoc="1" locked="0" layoutInCell="1" allowOverlap="1">
            <wp:simplePos x="0" y="0"/>
            <wp:positionH relativeFrom="column">
              <wp:posOffset>584835</wp:posOffset>
            </wp:positionH>
            <wp:positionV relativeFrom="paragraph">
              <wp:posOffset>113665</wp:posOffset>
            </wp:positionV>
            <wp:extent cx="3571240" cy="2381885"/>
            <wp:effectExtent l="5080" t="4445" r="5080" b="1397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lang w:eastAsia="zh-CN"/>
        </w:rPr>
      </w:pPr>
    </w:p>
    <w:p>
      <w:pPr>
        <w:spacing w:line="580" w:lineRule="exact"/>
        <w:rPr>
          <w:rFonts w:hint="eastAsia" w:ascii="黑体" w:hAnsi="黑体" w:eastAsia="黑体"/>
          <w:szCs w:val="32"/>
        </w:rPr>
      </w:pPr>
    </w:p>
    <w:p>
      <w:pPr>
        <w:spacing w:line="580" w:lineRule="exact"/>
        <w:rPr>
          <w:rFonts w:hint="eastAsia" w:ascii="黑体" w:hAnsi="黑体" w:eastAsia="黑体"/>
          <w:szCs w:val="32"/>
        </w:rPr>
      </w:pPr>
      <w:r>
        <w:rPr>
          <w:rFonts w:hint="eastAsia" w:ascii="黑体" w:hAnsi="黑体" w:eastAsia="黑体"/>
          <w:szCs w:val="32"/>
          <w:lang w:val="en-US" w:eastAsia="zh-CN"/>
        </w:rPr>
        <w:t xml:space="preserve">    </w:t>
      </w:r>
      <w:r>
        <w:rPr>
          <w:rFonts w:hint="eastAsia" w:ascii="黑体" w:hAnsi="黑体" w:eastAsia="黑体"/>
          <w:szCs w:val="32"/>
        </w:rPr>
        <w:t>三、支出决算情况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本年支出合计</w:t>
      </w:r>
      <w:r>
        <w:rPr>
          <w:rFonts w:hint="eastAsia" w:ascii="仿宋_GB2312" w:eastAsia="仿宋_GB2312"/>
          <w:szCs w:val="32"/>
          <w:lang w:val="en-US" w:eastAsia="zh-CN"/>
        </w:rPr>
        <w:t>9834.89</w:t>
      </w:r>
      <w:r>
        <w:rPr>
          <w:rFonts w:hint="eastAsia" w:ascii="仿宋_GB2312" w:eastAsia="仿宋_GB2312"/>
          <w:szCs w:val="32"/>
        </w:rPr>
        <w:t>万元，其中：基本支出</w:t>
      </w:r>
      <w:r>
        <w:rPr>
          <w:rFonts w:hint="eastAsia" w:ascii="仿宋_GB2312" w:eastAsia="仿宋_GB2312"/>
          <w:szCs w:val="32"/>
          <w:lang w:val="en-US" w:eastAsia="zh-CN"/>
        </w:rPr>
        <w:t>2775.06</w:t>
      </w:r>
      <w:r>
        <w:rPr>
          <w:rFonts w:hint="eastAsia" w:ascii="仿宋_GB2312" w:eastAsia="仿宋_GB2312"/>
          <w:szCs w:val="32"/>
        </w:rPr>
        <w:t>万元，占</w:t>
      </w:r>
      <w:r>
        <w:rPr>
          <w:rFonts w:hint="eastAsia" w:ascii="仿宋_GB2312" w:eastAsia="仿宋_GB2312"/>
          <w:szCs w:val="32"/>
          <w:lang w:val="en-US" w:eastAsia="zh-CN"/>
        </w:rPr>
        <w:t>28.22</w:t>
      </w:r>
      <w:r>
        <w:rPr>
          <w:rFonts w:hint="eastAsia" w:ascii="仿宋_GB2312" w:eastAsia="仿宋_GB2312"/>
          <w:szCs w:val="32"/>
        </w:rPr>
        <w:t>%；项目支出</w:t>
      </w:r>
      <w:r>
        <w:rPr>
          <w:rFonts w:hint="eastAsia" w:ascii="仿宋_GB2312" w:eastAsia="仿宋_GB2312"/>
          <w:szCs w:val="32"/>
          <w:lang w:val="en-US" w:eastAsia="zh-CN"/>
        </w:rPr>
        <w:t>7059.83</w:t>
      </w:r>
      <w:r>
        <w:rPr>
          <w:rFonts w:hint="eastAsia" w:ascii="仿宋_GB2312" w:eastAsia="仿宋_GB2312"/>
          <w:szCs w:val="32"/>
        </w:rPr>
        <w:t>万元，占</w:t>
      </w:r>
      <w:r>
        <w:rPr>
          <w:rFonts w:hint="eastAsia" w:ascii="仿宋_GB2312" w:eastAsia="仿宋_GB2312"/>
          <w:szCs w:val="32"/>
          <w:lang w:val="en-US" w:eastAsia="zh-CN"/>
        </w:rPr>
        <w:t>71.78</w:t>
      </w:r>
      <w:r>
        <w:rPr>
          <w:rFonts w:hint="eastAsia" w:ascii="仿宋_GB2312" w:eastAsia="仿宋_GB2312"/>
          <w:szCs w:val="32"/>
        </w:rPr>
        <w:t xml:space="preserve"> %。</w:t>
      </w:r>
    </w:p>
    <w:p>
      <w:pPr>
        <w:spacing w:line="580" w:lineRule="exact"/>
        <w:ind w:firstLine="643" w:firstLineChars="200"/>
        <w:rPr>
          <w:rFonts w:hint="eastAsia" w:ascii="仿宋_GB2312" w:eastAsia="仿宋_GB2312"/>
          <w:b/>
          <w:szCs w:val="32"/>
        </w:rPr>
      </w:pPr>
      <w:r>
        <w:rPr>
          <w:rFonts w:hint="eastAsia" w:ascii="仿宋_GB2312" w:eastAsia="仿宋_GB2312"/>
          <w:b/>
          <w:szCs w:val="32"/>
        </w:rPr>
        <w:drawing>
          <wp:anchor distT="0" distB="0" distL="114300" distR="114300" simplePos="0" relativeHeight="251659264" behindDoc="0" locked="0" layoutInCell="1" allowOverlap="1">
            <wp:simplePos x="0" y="0"/>
            <wp:positionH relativeFrom="column">
              <wp:posOffset>528320</wp:posOffset>
            </wp:positionH>
            <wp:positionV relativeFrom="paragraph">
              <wp:posOffset>41910</wp:posOffset>
            </wp:positionV>
            <wp:extent cx="3247390" cy="2421255"/>
            <wp:effectExtent l="4445" t="4445" r="5715" b="1270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eastAsia="仿宋_GB2312"/>
          <w:b/>
          <w:szCs w:val="32"/>
        </w:rPr>
        <w:t xml:space="preserve"> </w:t>
      </w: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rPr>
          <w:rFonts w:hint="eastAsia" w:ascii="黑体" w:hAnsi="黑体" w:eastAsia="黑体"/>
          <w:szCs w:val="32"/>
        </w:rPr>
      </w:pPr>
    </w:p>
    <w:p>
      <w:pPr>
        <w:spacing w:line="580" w:lineRule="exact"/>
        <w:rPr>
          <w:rFonts w:hint="eastAsia" w:ascii="黑体" w:hAnsi="黑体" w:eastAsia="黑体"/>
          <w:szCs w:val="32"/>
        </w:rPr>
      </w:pPr>
      <w:r>
        <w:rPr>
          <w:rFonts w:hint="eastAsia" w:ascii="黑体" w:hAnsi="黑体" w:eastAsia="黑体"/>
          <w:szCs w:val="32"/>
        </w:rPr>
        <w:t>四、财政拨款收入支出决算总体情况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drawing>
          <wp:anchor distT="0" distB="0" distL="114300" distR="114300" simplePos="0" relativeHeight="251661312" behindDoc="0" locked="0" layoutInCell="1" allowOverlap="1">
            <wp:simplePos x="0" y="0"/>
            <wp:positionH relativeFrom="column">
              <wp:posOffset>535940</wp:posOffset>
            </wp:positionH>
            <wp:positionV relativeFrom="paragraph">
              <wp:posOffset>1581150</wp:posOffset>
            </wp:positionV>
            <wp:extent cx="3698240" cy="2469515"/>
            <wp:effectExtent l="4445" t="4445" r="12065" b="21590"/>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_GB2312" w:eastAsia="仿宋_GB2312"/>
          <w:szCs w:val="32"/>
        </w:rPr>
        <w:t>2023年度财政拨款收、支总计</w:t>
      </w:r>
      <w:r>
        <w:rPr>
          <w:rFonts w:hint="eastAsia" w:ascii="仿宋_GB2312" w:eastAsia="仿宋_GB2312"/>
          <w:szCs w:val="32"/>
          <w:lang w:val="en-US" w:eastAsia="zh-CN"/>
        </w:rPr>
        <w:t>9834.89</w:t>
      </w:r>
      <w:r>
        <w:rPr>
          <w:rFonts w:hint="eastAsia" w:ascii="仿宋_GB2312" w:eastAsia="仿宋_GB2312"/>
          <w:szCs w:val="32"/>
        </w:rPr>
        <w:t>万元。与2022年度相比，财政拨款收、支总计各减少</w:t>
      </w:r>
      <w:r>
        <w:rPr>
          <w:rFonts w:hint="eastAsia" w:ascii="仿宋_GB2312" w:eastAsia="仿宋_GB2312"/>
          <w:szCs w:val="32"/>
          <w:lang w:val="en-US" w:eastAsia="zh-CN"/>
        </w:rPr>
        <w:t>13856.40</w:t>
      </w:r>
      <w:r>
        <w:rPr>
          <w:rFonts w:hint="eastAsia" w:ascii="仿宋_GB2312" w:eastAsia="仿宋_GB2312"/>
          <w:szCs w:val="32"/>
        </w:rPr>
        <w:t>万元，下降</w:t>
      </w:r>
      <w:r>
        <w:rPr>
          <w:rFonts w:hint="eastAsia" w:ascii="仿宋_GB2312" w:eastAsia="仿宋_GB2312"/>
          <w:szCs w:val="32"/>
          <w:lang w:val="en-US" w:eastAsia="zh-CN"/>
        </w:rPr>
        <w:t>58.49</w:t>
      </w:r>
      <w:r>
        <w:rPr>
          <w:rFonts w:hint="eastAsia" w:ascii="仿宋_GB2312" w:eastAsia="仿宋_GB2312"/>
          <w:szCs w:val="32"/>
        </w:rPr>
        <w:t>%。主要是</w:t>
      </w:r>
      <w:r>
        <w:rPr>
          <w:rFonts w:hint="eastAsia" w:ascii="仿宋_GB2312" w:eastAsia="仿宋_GB2312"/>
          <w:szCs w:val="32"/>
          <w:lang w:val="en-US" w:eastAsia="zh-CN"/>
        </w:rPr>
        <w:t>2023年度经济下滑，财政收入和上级补助</w:t>
      </w:r>
      <w:r>
        <w:rPr>
          <w:rFonts w:hint="eastAsia" w:ascii="仿宋_GB2312" w:eastAsia="仿宋_GB2312"/>
          <w:szCs w:val="32"/>
        </w:rPr>
        <w:t>减少。</w:t>
      </w:r>
    </w:p>
    <w:p>
      <w:pPr>
        <w:spacing w:line="580" w:lineRule="exact"/>
        <w:rPr>
          <w:rFonts w:hint="eastAsia" w:ascii="黑体" w:hAnsi="黑体" w:eastAsia="黑体"/>
          <w:szCs w:val="32"/>
        </w:rPr>
      </w:pPr>
      <w:r>
        <w:rPr>
          <w:rFonts w:hint="eastAsia" w:ascii="黑体" w:hAnsi="黑体" w:eastAsia="黑体"/>
          <w:szCs w:val="32"/>
          <w:lang w:val="en-US" w:eastAsia="zh-CN"/>
        </w:rPr>
        <w:t xml:space="preserve">    </w:t>
      </w:r>
      <w:r>
        <w:rPr>
          <w:rFonts w:hint="eastAsia" w:ascii="黑体" w:hAnsi="黑体" w:eastAsia="黑体"/>
          <w:szCs w:val="32"/>
        </w:rPr>
        <w:t>五、一般公共预算财政拨款支出决算情况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（一）一般公共预算财政拨款支出决算总体情况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2023年度一般公共预算财政拨款支出</w:t>
      </w:r>
      <w:r>
        <w:rPr>
          <w:rFonts w:hint="eastAsia" w:ascii="仿宋_GB2312" w:eastAsia="仿宋_GB2312"/>
          <w:szCs w:val="32"/>
          <w:lang w:val="en-US" w:eastAsia="zh-CN"/>
        </w:rPr>
        <w:t>8966.35</w:t>
      </w:r>
      <w:r>
        <w:rPr>
          <w:rFonts w:hint="eastAsia" w:ascii="仿宋_GB2312" w:eastAsia="仿宋_GB2312"/>
          <w:szCs w:val="32"/>
        </w:rPr>
        <w:t>万元，占本年支出合计的</w:t>
      </w:r>
      <w:r>
        <w:rPr>
          <w:rFonts w:hint="eastAsia" w:ascii="仿宋_GB2312" w:eastAsia="仿宋_GB2312"/>
          <w:szCs w:val="32"/>
          <w:lang w:val="en-US" w:eastAsia="zh-CN"/>
        </w:rPr>
        <w:t>91.17</w:t>
      </w:r>
      <w:r>
        <w:rPr>
          <w:rFonts w:hint="eastAsia" w:ascii="仿宋_GB2312" w:eastAsia="仿宋_GB2312"/>
          <w:szCs w:val="32"/>
        </w:rPr>
        <w:t>%。与2022年度相比，一般公共预算财政拨款支出减少</w:t>
      </w:r>
      <w:r>
        <w:rPr>
          <w:rFonts w:hint="eastAsia" w:ascii="仿宋_GB2312" w:eastAsia="仿宋_GB2312"/>
          <w:szCs w:val="32"/>
          <w:lang w:val="en-US" w:eastAsia="zh-CN"/>
        </w:rPr>
        <w:t>14364.21</w:t>
      </w:r>
      <w:r>
        <w:rPr>
          <w:rFonts w:hint="eastAsia" w:ascii="仿宋_GB2312" w:eastAsia="仿宋_GB2312"/>
          <w:szCs w:val="32"/>
        </w:rPr>
        <w:t>万元，下降</w:t>
      </w:r>
      <w:r>
        <w:rPr>
          <w:rFonts w:hint="eastAsia" w:ascii="仿宋_GB2312" w:eastAsia="仿宋_GB2312"/>
          <w:szCs w:val="32"/>
          <w:lang w:val="en-US" w:eastAsia="zh-CN"/>
        </w:rPr>
        <w:t>61.57</w:t>
      </w:r>
      <w:r>
        <w:rPr>
          <w:rFonts w:hint="eastAsia" w:ascii="仿宋_GB2312" w:eastAsia="仿宋_GB2312"/>
          <w:szCs w:val="32"/>
        </w:rPr>
        <w:t>%。主要是</w:t>
      </w:r>
      <w:r>
        <w:rPr>
          <w:rFonts w:hint="eastAsia" w:ascii="仿宋_GB2312" w:eastAsia="仿宋_GB2312"/>
          <w:szCs w:val="32"/>
          <w:lang w:val="en-US" w:eastAsia="zh-CN"/>
        </w:rPr>
        <w:t>2023年</w:t>
      </w:r>
      <w:r>
        <w:rPr>
          <w:rFonts w:hint="eastAsia" w:ascii="仿宋_GB2312" w:eastAsia="仿宋_GB2312"/>
          <w:szCs w:val="32"/>
          <w:lang w:eastAsia="zh-CN"/>
        </w:rPr>
        <w:t>财政收入</w:t>
      </w:r>
      <w:r>
        <w:rPr>
          <w:rFonts w:hint="eastAsia" w:ascii="仿宋_GB2312" w:eastAsia="仿宋_GB2312"/>
          <w:szCs w:val="32"/>
        </w:rPr>
        <w:t>减少</w:t>
      </w:r>
      <w:r>
        <w:rPr>
          <w:rFonts w:hint="eastAsia" w:ascii="仿宋_GB2312" w:eastAsia="仿宋_GB2312"/>
          <w:szCs w:val="32"/>
          <w:lang w:eastAsia="zh-CN"/>
        </w:rPr>
        <w:t>，一般公共预算收入减少，相应支出减少</w:t>
      </w:r>
      <w:r>
        <w:rPr>
          <w:rFonts w:hint="eastAsia" w:ascii="仿宋_GB2312" w:eastAsia="仿宋_GB2312"/>
          <w:szCs w:val="32"/>
        </w:rPr>
        <w:t>。</w:t>
      </w:r>
    </w:p>
    <w:p>
      <w:pPr>
        <w:spacing w:line="580" w:lineRule="exact"/>
        <w:ind w:firstLine="640" w:firstLineChars="200"/>
        <w:rPr>
          <w:rFonts w:hint="eastAsia" w:ascii="仿宋_GB2312" w:eastAsia="仿宋_GB2312"/>
          <w:b/>
          <w:szCs w:val="32"/>
        </w:rPr>
      </w:pPr>
      <w:r>
        <w:rPr>
          <w:rFonts w:hint="eastAsia" w:ascii="仿宋_GB2312" w:eastAsia="仿宋_GB2312"/>
          <w:b/>
          <w:szCs w:val="32"/>
          <w:lang w:eastAsia="zh-CN"/>
        </w:rPr>
        <w:drawing>
          <wp:anchor distT="0" distB="0" distL="114300" distR="114300" simplePos="0" relativeHeight="251662336" behindDoc="0" locked="0" layoutInCell="1" allowOverlap="1">
            <wp:simplePos x="0" y="0"/>
            <wp:positionH relativeFrom="column">
              <wp:posOffset>88265</wp:posOffset>
            </wp:positionH>
            <wp:positionV relativeFrom="paragraph">
              <wp:posOffset>99060</wp:posOffset>
            </wp:positionV>
            <wp:extent cx="5135245" cy="2863850"/>
            <wp:effectExtent l="4445" t="4445" r="22860" b="825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580" w:lineRule="exact"/>
        <w:ind w:firstLine="640" w:firstLineChars="200"/>
        <w:rPr>
          <w:rFonts w:hint="eastAsia" w:ascii="楷体_GB2312" w:eastAsia="楷体_GB2312"/>
          <w:szCs w:val="32"/>
        </w:rPr>
      </w:pPr>
      <w:r>
        <w:rPr>
          <w:rFonts w:hint="eastAsia" w:ascii="楷体_GB2312" w:eastAsia="楷体_GB2312"/>
          <w:szCs w:val="32"/>
        </w:rPr>
        <w:t>（二）一般公共预算财政拨款支出决算结构情况</w:t>
      </w:r>
    </w:p>
    <w:p>
      <w:pPr>
        <w:spacing w:line="580" w:lineRule="exact"/>
        <w:ind w:firstLine="643" w:firstLineChars="200"/>
        <w:rPr>
          <w:rFonts w:hint="eastAsia" w:ascii="仿宋_GB2312" w:eastAsia="仿宋_GB2312"/>
          <w:szCs w:val="32"/>
        </w:rPr>
      </w:pPr>
      <w:r>
        <w:rPr>
          <w:rFonts w:hint="eastAsia" w:ascii="仿宋_GB2312" w:eastAsia="仿宋_GB2312"/>
          <w:szCs w:val="32"/>
        </w:rPr>
        <w:t>2023年度一般公共预算财政拨款支出</w:t>
      </w:r>
      <w:r>
        <w:rPr>
          <w:rFonts w:hint="eastAsia" w:ascii="仿宋_GB2312" w:eastAsia="仿宋_GB2312"/>
          <w:szCs w:val="32"/>
          <w:lang w:val="en-US" w:eastAsia="zh-CN"/>
        </w:rPr>
        <w:t>8966.35</w:t>
      </w:r>
      <w:r>
        <w:rPr>
          <w:rFonts w:hint="eastAsia" w:ascii="仿宋_GB2312" w:eastAsia="仿宋_GB2312"/>
          <w:szCs w:val="32"/>
        </w:rPr>
        <w:t>万元，主要用于以下方面：一般公共服务（类）支出</w:t>
      </w:r>
      <w:r>
        <w:rPr>
          <w:rFonts w:hint="eastAsia" w:ascii="仿宋_GB2312" w:eastAsia="仿宋_GB2312"/>
          <w:szCs w:val="32"/>
          <w:lang w:val="en-US" w:eastAsia="zh-CN"/>
        </w:rPr>
        <w:t>4042.62</w:t>
      </w:r>
      <w:r>
        <w:rPr>
          <w:rFonts w:hint="eastAsia" w:ascii="仿宋_GB2312" w:eastAsia="仿宋_GB2312"/>
          <w:szCs w:val="32"/>
        </w:rPr>
        <w:t>万元，占</w:t>
      </w:r>
      <w:r>
        <w:rPr>
          <w:rFonts w:hint="eastAsia" w:ascii="仿宋_GB2312" w:eastAsia="仿宋_GB2312"/>
          <w:szCs w:val="32"/>
          <w:lang w:val="en-US" w:eastAsia="zh-CN"/>
        </w:rPr>
        <w:t>45.09</w:t>
      </w:r>
      <w:r>
        <w:rPr>
          <w:rFonts w:hint="eastAsia" w:ascii="仿宋_GB2312" w:eastAsia="仿宋_GB2312"/>
          <w:szCs w:val="32"/>
        </w:rPr>
        <w:t>%；公共安全（类）支出34.43万元，占</w:t>
      </w:r>
      <w:r>
        <w:rPr>
          <w:rFonts w:hint="eastAsia" w:ascii="仿宋_GB2312" w:eastAsia="仿宋_GB2312"/>
          <w:szCs w:val="32"/>
          <w:lang w:val="en-US" w:eastAsia="zh-CN"/>
        </w:rPr>
        <w:t>0.38</w:t>
      </w:r>
      <w:r>
        <w:rPr>
          <w:rFonts w:hint="eastAsia" w:ascii="仿宋_GB2312" w:eastAsia="仿宋_GB2312"/>
          <w:szCs w:val="32"/>
        </w:rPr>
        <w:t>%；教育（类）支出857.52万元，占</w:t>
      </w:r>
      <w:r>
        <w:rPr>
          <w:rFonts w:hint="eastAsia" w:ascii="仿宋_GB2312" w:eastAsia="仿宋_GB2312"/>
          <w:szCs w:val="32"/>
          <w:lang w:val="en-US" w:eastAsia="zh-CN"/>
        </w:rPr>
        <w:t>9.56</w:t>
      </w:r>
      <w:r>
        <w:rPr>
          <w:rFonts w:hint="eastAsia" w:ascii="仿宋_GB2312" w:eastAsia="仿宋_GB2312"/>
          <w:szCs w:val="32"/>
        </w:rPr>
        <w:t xml:space="preserve"> %；社会保障和就业支出（类）支出668.55万元，占</w:t>
      </w:r>
      <w:r>
        <w:rPr>
          <w:rFonts w:hint="eastAsia" w:ascii="仿宋_GB2312" w:eastAsia="仿宋_GB2312"/>
          <w:szCs w:val="32"/>
          <w:lang w:val="en-US" w:eastAsia="zh-CN"/>
        </w:rPr>
        <w:t>7.46</w:t>
      </w:r>
      <w:r>
        <w:rPr>
          <w:rFonts w:hint="eastAsia" w:ascii="仿宋_GB2312" w:eastAsia="仿宋_GB2312"/>
          <w:szCs w:val="32"/>
        </w:rPr>
        <w:t>%；卫生健康支出（类）支出</w:t>
      </w:r>
      <w:r>
        <w:rPr>
          <w:rFonts w:hint="eastAsia" w:ascii="仿宋_GB2312" w:eastAsia="仿宋_GB2312"/>
          <w:szCs w:val="32"/>
          <w:lang w:val="en-US" w:eastAsia="zh-CN"/>
        </w:rPr>
        <w:t>17</w:t>
      </w:r>
      <w:r>
        <w:rPr>
          <w:rFonts w:hint="eastAsia" w:ascii="仿宋_GB2312" w:eastAsia="仿宋_GB2312"/>
          <w:szCs w:val="32"/>
        </w:rPr>
        <w:t>万元，占</w:t>
      </w:r>
      <w:r>
        <w:rPr>
          <w:rFonts w:hint="eastAsia" w:ascii="仿宋_GB2312" w:eastAsia="仿宋_GB2312"/>
          <w:szCs w:val="32"/>
          <w:lang w:val="en-US" w:eastAsia="zh-CN"/>
        </w:rPr>
        <w:t>0.19</w:t>
      </w:r>
      <w:r>
        <w:rPr>
          <w:rFonts w:hint="eastAsia" w:ascii="仿宋_GB2312" w:eastAsia="仿宋_GB2312"/>
          <w:szCs w:val="32"/>
        </w:rPr>
        <w:t>%；节能环保支出（类）支出</w:t>
      </w:r>
      <w:r>
        <w:rPr>
          <w:rFonts w:hint="eastAsia" w:ascii="仿宋_GB2312" w:eastAsia="仿宋_GB2312"/>
          <w:szCs w:val="32"/>
          <w:lang w:val="en-US" w:eastAsia="zh-CN"/>
        </w:rPr>
        <w:t>254.48</w:t>
      </w:r>
      <w:r>
        <w:rPr>
          <w:rFonts w:hint="eastAsia" w:ascii="仿宋_GB2312" w:eastAsia="仿宋_GB2312"/>
          <w:szCs w:val="32"/>
        </w:rPr>
        <w:t>万元，占</w:t>
      </w:r>
      <w:r>
        <w:rPr>
          <w:rFonts w:hint="eastAsia" w:ascii="仿宋_GB2312" w:eastAsia="仿宋_GB2312"/>
          <w:szCs w:val="32"/>
          <w:lang w:val="en-US" w:eastAsia="zh-CN"/>
        </w:rPr>
        <w:t>2.84</w:t>
      </w:r>
      <w:r>
        <w:rPr>
          <w:rFonts w:hint="eastAsia" w:ascii="仿宋_GB2312" w:eastAsia="仿宋_GB2312"/>
          <w:szCs w:val="32"/>
        </w:rPr>
        <w:t>%；城乡社区支出（类）支出</w:t>
      </w:r>
      <w:r>
        <w:rPr>
          <w:rFonts w:hint="eastAsia" w:ascii="仿宋_GB2312" w:eastAsia="仿宋_GB2312"/>
          <w:szCs w:val="32"/>
          <w:lang w:val="en-US" w:eastAsia="zh-CN"/>
        </w:rPr>
        <w:t>200</w:t>
      </w:r>
      <w:r>
        <w:rPr>
          <w:rFonts w:hint="eastAsia" w:ascii="仿宋_GB2312" w:eastAsia="仿宋_GB2312"/>
          <w:szCs w:val="32"/>
        </w:rPr>
        <w:t>万元，占</w:t>
      </w:r>
      <w:r>
        <w:rPr>
          <w:rFonts w:hint="eastAsia" w:ascii="仿宋_GB2312" w:eastAsia="仿宋_GB2312"/>
          <w:szCs w:val="32"/>
          <w:lang w:val="en-US" w:eastAsia="zh-CN"/>
        </w:rPr>
        <w:t>2.23</w:t>
      </w:r>
      <w:r>
        <w:rPr>
          <w:rFonts w:hint="eastAsia" w:ascii="仿宋_GB2312" w:eastAsia="仿宋_GB2312"/>
          <w:szCs w:val="32"/>
        </w:rPr>
        <w:t>%；农林水支出（类）支出</w:t>
      </w:r>
      <w:r>
        <w:rPr>
          <w:rFonts w:hint="eastAsia" w:ascii="仿宋_GB2312" w:eastAsia="仿宋_GB2312"/>
          <w:szCs w:val="32"/>
          <w:lang w:val="en-US" w:eastAsia="zh-CN"/>
        </w:rPr>
        <w:t>2688.44</w:t>
      </w:r>
      <w:r>
        <w:rPr>
          <w:rFonts w:hint="eastAsia" w:ascii="仿宋_GB2312" w:eastAsia="仿宋_GB2312"/>
          <w:szCs w:val="32"/>
        </w:rPr>
        <w:t>万元，占</w:t>
      </w:r>
      <w:r>
        <w:rPr>
          <w:rFonts w:hint="eastAsia" w:ascii="仿宋_GB2312" w:eastAsia="仿宋_GB2312"/>
          <w:szCs w:val="32"/>
          <w:lang w:val="en-US" w:eastAsia="zh-CN"/>
        </w:rPr>
        <w:t>29.98</w:t>
      </w:r>
      <w:r>
        <w:rPr>
          <w:rFonts w:hint="eastAsia" w:ascii="仿宋_GB2312" w:eastAsia="仿宋_GB2312"/>
          <w:szCs w:val="32"/>
        </w:rPr>
        <w:t>%；住房保障支出（类）支出</w:t>
      </w:r>
      <w:r>
        <w:rPr>
          <w:rFonts w:hint="eastAsia" w:ascii="仿宋_GB2312" w:eastAsia="仿宋_GB2312"/>
          <w:szCs w:val="32"/>
          <w:lang w:val="en-US" w:eastAsia="zh-CN"/>
        </w:rPr>
        <w:t>203.31</w:t>
      </w:r>
      <w:r>
        <w:rPr>
          <w:rFonts w:hint="eastAsia" w:ascii="仿宋_GB2312" w:eastAsia="仿宋_GB2312"/>
          <w:szCs w:val="32"/>
        </w:rPr>
        <w:t>万元，占</w:t>
      </w:r>
      <w:r>
        <w:rPr>
          <w:rFonts w:hint="eastAsia" w:ascii="仿宋_GB2312" w:eastAsia="仿宋_GB2312"/>
          <w:szCs w:val="32"/>
          <w:lang w:val="en-US" w:eastAsia="zh-CN"/>
        </w:rPr>
        <w:t>2.27</w:t>
      </w:r>
      <w:r>
        <w:rPr>
          <w:rFonts w:hint="eastAsia" w:ascii="仿宋_GB2312" w:eastAsia="仿宋_GB2312"/>
          <w:szCs w:val="32"/>
        </w:rPr>
        <w:t>%。</w:t>
      </w:r>
    </w:p>
    <w:p>
      <w:pPr>
        <w:spacing w:line="580" w:lineRule="exact"/>
        <w:ind w:firstLine="643" w:firstLineChars="200"/>
        <w:rPr>
          <w:rFonts w:hint="eastAsia" w:ascii="仿宋_GB2312" w:eastAsia="仿宋_GB2312"/>
          <w:b/>
          <w:szCs w:val="32"/>
          <w:lang w:eastAsia="zh-CN"/>
        </w:rPr>
      </w:pPr>
      <w:r>
        <w:rPr>
          <w:rFonts w:hint="eastAsia" w:ascii="仿宋_GB2312" w:eastAsia="仿宋_GB2312"/>
          <w:b/>
          <w:szCs w:val="32"/>
          <w:lang w:eastAsia="zh-CN"/>
        </w:rPr>
        <w:drawing>
          <wp:anchor distT="0" distB="0" distL="114300" distR="114300" simplePos="0" relativeHeight="251663360" behindDoc="0" locked="0" layoutInCell="1" allowOverlap="1">
            <wp:simplePos x="0" y="0"/>
            <wp:positionH relativeFrom="column">
              <wp:posOffset>172720</wp:posOffset>
            </wp:positionH>
            <wp:positionV relativeFrom="paragraph">
              <wp:posOffset>162560</wp:posOffset>
            </wp:positionV>
            <wp:extent cx="5080000" cy="3810000"/>
            <wp:effectExtent l="4445" t="4445" r="20955" b="14605"/>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580" w:lineRule="exact"/>
        <w:rPr>
          <w:rFonts w:hint="eastAsia" w:ascii="楷体_GB2312" w:eastAsia="楷体_GB2312"/>
          <w:szCs w:val="32"/>
        </w:rPr>
      </w:pPr>
      <w:r>
        <w:rPr>
          <w:rFonts w:hint="eastAsia" w:ascii="楷体_GB2312" w:eastAsia="楷体_GB2312"/>
          <w:szCs w:val="32"/>
        </w:rPr>
        <w:t>（三）一般公共预算财政拨款支出决算具体情况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2023年度一般公共预算财政拨款支出年初预算为</w:t>
      </w:r>
      <w:r>
        <w:rPr>
          <w:rFonts w:hint="eastAsia" w:ascii="仿宋_GB2312" w:eastAsia="仿宋_GB2312"/>
          <w:szCs w:val="32"/>
          <w:lang w:val="en-US" w:eastAsia="zh-CN"/>
        </w:rPr>
        <w:t>8966.35</w:t>
      </w:r>
      <w:r>
        <w:rPr>
          <w:rFonts w:hint="eastAsia" w:ascii="仿宋_GB2312" w:eastAsia="仿宋_GB2312"/>
          <w:szCs w:val="32"/>
        </w:rPr>
        <w:t>万元，支出决算为</w:t>
      </w:r>
      <w:r>
        <w:rPr>
          <w:rFonts w:hint="eastAsia" w:ascii="仿宋_GB2312" w:eastAsia="仿宋_GB2312"/>
          <w:szCs w:val="32"/>
          <w:lang w:val="en-US" w:eastAsia="zh-CN"/>
        </w:rPr>
        <w:t>8966.35</w:t>
      </w:r>
      <w:r>
        <w:rPr>
          <w:rFonts w:hint="eastAsia" w:ascii="仿宋_GB2312" w:eastAsia="仿宋_GB2312"/>
          <w:szCs w:val="32"/>
        </w:rPr>
        <w:t>万元，完成年初预算的</w:t>
      </w:r>
      <w:r>
        <w:rPr>
          <w:rFonts w:hint="eastAsia" w:ascii="仿宋_GB2312" w:eastAsia="仿宋_GB2312"/>
          <w:szCs w:val="32"/>
          <w:lang w:val="en-US" w:eastAsia="zh-CN"/>
        </w:rPr>
        <w:t>100</w:t>
      </w:r>
      <w:r>
        <w:rPr>
          <w:rFonts w:hint="eastAsia" w:ascii="仿宋_GB2312" w:eastAsia="仿宋_GB2312"/>
          <w:szCs w:val="32"/>
        </w:rPr>
        <w:t>%。其中：</w:t>
      </w:r>
    </w:p>
    <w:p>
      <w:pPr>
        <w:spacing w:line="580" w:lineRule="exact"/>
        <w:ind w:firstLine="640" w:firstLineChars="200"/>
        <w:rPr>
          <w:rFonts w:hint="eastAsia" w:ascii="仿宋_GB2312" w:eastAsia="仿宋_GB2312"/>
          <w:szCs w:val="32"/>
        </w:rPr>
      </w:pPr>
      <w:r>
        <w:rPr>
          <w:rFonts w:hint="eastAsia" w:ascii="仿宋_GB2312" w:eastAsia="仿宋_GB2312"/>
          <w:szCs w:val="32"/>
        </w:rPr>
        <w:t>1.一般公共服务支出（类）政府办公厅（室）及相关机构事务（款）行政运行（项）。年初预算为</w:t>
      </w:r>
      <w:r>
        <w:rPr>
          <w:rFonts w:hint="eastAsia" w:ascii="仿宋_GB2312" w:eastAsia="仿宋_GB2312"/>
          <w:szCs w:val="32"/>
          <w:lang w:val="en-US" w:eastAsia="zh-CN"/>
        </w:rPr>
        <w:t>3286.99</w:t>
      </w:r>
      <w:r>
        <w:rPr>
          <w:rFonts w:hint="eastAsia" w:ascii="仿宋_GB2312" w:eastAsia="仿宋_GB2312"/>
          <w:szCs w:val="32"/>
        </w:rPr>
        <w:t>万元，支出决算为4042.62万元，完成年初预算的</w:t>
      </w:r>
      <w:r>
        <w:rPr>
          <w:rFonts w:hint="eastAsia" w:ascii="仿宋_GB2312" w:eastAsia="仿宋_GB2312"/>
          <w:szCs w:val="32"/>
          <w:lang w:val="en-US" w:eastAsia="zh-CN"/>
        </w:rPr>
        <w:t>122.99</w:t>
      </w:r>
      <w:r>
        <w:rPr>
          <w:rFonts w:hint="eastAsia" w:ascii="仿宋_GB2312" w:eastAsia="仿宋_GB2312"/>
          <w:szCs w:val="32"/>
        </w:rPr>
        <w:t>%。决算数大于年初预算数的主要原因是机关在编人员增加，</w:t>
      </w:r>
      <w:r>
        <w:rPr>
          <w:rFonts w:hint="eastAsia" w:ascii="仿宋_GB2312" w:eastAsia="仿宋_GB2312"/>
          <w:szCs w:val="32"/>
          <w:lang w:eastAsia="zh-CN"/>
        </w:rPr>
        <w:t>人员类支出增加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hint="eastAsia" w:ascii="仿宋_GB2312" w:eastAsia="仿宋_GB2312"/>
          <w:szCs w:val="32"/>
        </w:rPr>
        <w:t>2.公共安全支出（类）公安（款）其他公安支出（项）。年初预算为</w:t>
      </w:r>
      <w:r>
        <w:rPr>
          <w:rFonts w:hint="eastAsia" w:ascii="仿宋_GB2312" w:eastAsia="仿宋_GB2312"/>
          <w:szCs w:val="32"/>
          <w:lang w:val="en-US" w:eastAsia="zh-CN"/>
        </w:rPr>
        <w:t>0</w:t>
      </w:r>
      <w:r>
        <w:rPr>
          <w:rFonts w:hint="eastAsia" w:ascii="仿宋_GB2312" w:eastAsia="仿宋_GB2312"/>
          <w:szCs w:val="32"/>
        </w:rPr>
        <w:t>万元，支出决算为34.43万元。决算数大于年初预算数的主要原因是</w:t>
      </w:r>
      <w:r>
        <w:rPr>
          <w:rFonts w:hint="eastAsia" w:ascii="仿宋_GB2312" w:eastAsia="仿宋_GB2312"/>
          <w:szCs w:val="32"/>
          <w:lang w:eastAsia="zh-CN"/>
        </w:rPr>
        <w:t>派出所办公经费追加预算</w:t>
      </w:r>
      <w:r>
        <w:rPr>
          <w:rFonts w:hint="eastAsia" w:ascii="仿宋_GB2312" w:eastAsia="仿宋_GB2312"/>
          <w:szCs w:val="32"/>
        </w:rPr>
        <w:t>，支出增加。</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3.教育支出（类）普通教育（款）学前教育（项）。年初预算为150.80万元，支出决算为223.13万元，完成年初预算的147.96%。</w:t>
      </w:r>
      <w:r>
        <w:rPr>
          <w:rFonts w:hint="eastAsia" w:ascii="仿宋_GB2312" w:eastAsia="仿宋_GB2312"/>
          <w:szCs w:val="32"/>
        </w:rPr>
        <w:t>决算数大于年初预算数的主要原因是</w:t>
      </w:r>
      <w:r>
        <w:rPr>
          <w:rFonts w:hint="eastAsia" w:ascii="仿宋_GB2312" w:eastAsia="仿宋_GB2312"/>
          <w:szCs w:val="32"/>
          <w:lang w:eastAsia="zh-CN"/>
        </w:rPr>
        <w:t>街道财政配套非公办幼师工资保险补助追加预算，支出增加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4.教育支出（类）普通教育（款）其他普通教育支出（项）。年初预算为0万元，支出决算为634.39万元。</w:t>
      </w:r>
      <w:r>
        <w:rPr>
          <w:rFonts w:hint="eastAsia" w:ascii="仿宋_GB2312" w:eastAsia="仿宋_GB2312"/>
          <w:szCs w:val="32"/>
        </w:rPr>
        <w:t>决算数大于年初预算数的主要原因是</w:t>
      </w:r>
      <w:r>
        <w:rPr>
          <w:rFonts w:hint="eastAsia" w:ascii="仿宋_GB2312" w:eastAsia="仿宋_GB2312"/>
          <w:szCs w:val="32"/>
          <w:lang w:eastAsia="zh-CN"/>
        </w:rPr>
        <w:t>学校建设支出及安保支出追加预算，支出增加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5.社会保障和就业支出（类）民政管理事务（款）其他民政管理事务支出（项）。年初预算为0万元，支出决算为79.47万元。</w:t>
      </w:r>
      <w:r>
        <w:rPr>
          <w:rFonts w:hint="eastAsia" w:ascii="仿宋_GB2312" w:eastAsia="仿宋_GB2312"/>
          <w:szCs w:val="32"/>
        </w:rPr>
        <w:t>决算数大于年初预算数的主要原因是</w:t>
      </w:r>
      <w:r>
        <w:rPr>
          <w:rFonts w:hint="eastAsia" w:ascii="仿宋_GB2312" w:eastAsia="仿宋_GB2312"/>
          <w:szCs w:val="32"/>
          <w:lang w:eastAsia="zh-CN"/>
        </w:rPr>
        <w:t>贫困户、优抚对象慰问支出追加预算，支出增加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6.社会保障和就业支出（类）行政事业单位养老支出（款）机关事业单位基本养老保险缴费支出（项）。年初预算为241.52万元，支出决算为241.52万元，完成年初预算的100%。</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7.社会保障和就业支出（类）行政事业单位养老支出（款）机关事业单位职业年金缴费支出（项）。年初预算为120.76万元，支出决算为116.65万元，完成年初预算的96.60%，与年初预算基本持平。</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8.社会保障和就业支出（类）退役安置（款）其他退役安置支出（项）。年初预算为0万元，支出决算为18.61万元。</w:t>
      </w:r>
      <w:r>
        <w:rPr>
          <w:rFonts w:hint="eastAsia" w:ascii="仿宋_GB2312" w:eastAsia="仿宋_GB2312"/>
          <w:szCs w:val="32"/>
        </w:rPr>
        <w:t>决算数大于年初预算数的主要原因是</w:t>
      </w:r>
      <w:r>
        <w:rPr>
          <w:rFonts w:hint="eastAsia" w:ascii="仿宋_GB2312" w:eastAsia="仿宋_GB2312"/>
          <w:szCs w:val="32"/>
          <w:lang w:eastAsia="zh-CN"/>
        </w:rPr>
        <w:t>八一走访慰问支出追加预算，支出增加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9.社会保障和就业支出（类）社会福利（款）养老服务（项）。年初预算为0万元，支出决算为172.00万元。</w:t>
      </w:r>
      <w:r>
        <w:rPr>
          <w:rFonts w:hint="eastAsia" w:ascii="仿宋_GB2312" w:eastAsia="仿宋_GB2312"/>
          <w:szCs w:val="32"/>
        </w:rPr>
        <w:t>决算数大于年初预算数的主要原因是</w:t>
      </w:r>
      <w:r>
        <w:rPr>
          <w:rFonts w:hint="eastAsia" w:ascii="仿宋_GB2312" w:eastAsia="仿宋_GB2312"/>
          <w:szCs w:val="32"/>
          <w:lang w:eastAsia="zh-CN"/>
        </w:rPr>
        <w:t>居家养老服务费支出追加预算，支出增加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10.社会保障和就业支出（类）其他社会保障和就业支出（款）其他社会保障和就业支出（项）。年初预算为0万元，支出决算为40.30万元。</w:t>
      </w:r>
      <w:r>
        <w:rPr>
          <w:rFonts w:hint="eastAsia" w:ascii="仿宋_GB2312" w:eastAsia="仿宋_GB2312"/>
          <w:szCs w:val="32"/>
        </w:rPr>
        <w:t>决算数大于年初预算数的主要原因是</w:t>
      </w:r>
      <w:r>
        <w:rPr>
          <w:rFonts w:hint="eastAsia" w:ascii="仿宋_GB2312" w:eastAsia="仿宋_GB2312"/>
          <w:szCs w:val="32"/>
          <w:lang w:eastAsia="zh-CN"/>
        </w:rPr>
        <w:t>临时救助、残疾人救助支出追加预算，支出增加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11.卫生健康支出（类）计划生育事务（款）其他计划生育事务支出（项）。年初预算为0万元，支出决算为7万元。</w:t>
      </w:r>
      <w:r>
        <w:rPr>
          <w:rFonts w:hint="eastAsia" w:ascii="仿宋_GB2312" w:eastAsia="仿宋_GB2312"/>
          <w:szCs w:val="32"/>
        </w:rPr>
        <w:t>决算数大于年初预算数的主要原因是</w:t>
      </w:r>
      <w:r>
        <w:rPr>
          <w:rFonts w:hint="eastAsia" w:ascii="仿宋_GB2312" w:eastAsia="仿宋_GB2312"/>
          <w:szCs w:val="32"/>
          <w:lang w:eastAsia="zh-CN"/>
        </w:rPr>
        <w:t>社会抚养费支出追加预算，支出增加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12.卫生健康支出（类）其他卫生健康支出（款）其他卫生健康支出（项）。年初预算为0万元，支出决算为10万元。</w:t>
      </w:r>
      <w:r>
        <w:rPr>
          <w:rFonts w:hint="eastAsia" w:ascii="仿宋_GB2312" w:eastAsia="仿宋_GB2312"/>
          <w:szCs w:val="32"/>
        </w:rPr>
        <w:t>决算数大于年初预算数的主要原因是</w:t>
      </w:r>
      <w:r>
        <w:rPr>
          <w:rFonts w:hint="eastAsia" w:ascii="仿宋_GB2312" w:eastAsia="仿宋_GB2312"/>
          <w:szCs w:val="32"/>
          <w:lang w:eastAsia="zh-CN"/>
        </w:rPr>
        <w:t>街道卫生院建设支出追加预算，支出增加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13.节能环保支出（类）自然生态保护（款）其他节能环保支出（项）。年初预算为0万元，支出决算为254.48万元。</w:t>
      </w:r>
      <w:r>
        <w:rPr>
          <w:rFonts w:hint="eastAsia" w:ascii="仿宋_GB2312" w:eastAsia="仿宋_GB2312"/>
          <w:szCs w:val="32"/>
        </w:rPr>
        <w:t>决算数大于年初预算数的主要原因是</w:t>
      </w:r>
      <w:r>
        <w:rPr>
          <w:rFonts w:hint="eastAsia" w:ascii="仿宋_GB2312" w:eastAsia="仿宋_GB2312"/>
          <w:szCs w:val="32"/>
          <w:lang w:eastAsia="zh-CN"/>
        </w:rPr>
        <w:t>清洁取暖项目</w:t>
      </w:r>
      <w:r>
        <w:rPr>
          <w:rFonts w:hint="eastAsia" w:ascii="仿宋_GB2312" w:eastAsia="仿宋_GB2312"/>
          <w:szCs w:val="32"/>
          <w:lang w:val="en-US" w:eastAsia="zh-CN"/>
        </w:rPr>
        <w:t>追加区级专项转移支付预算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14.城乡社区支出（类）城乡社区公共设施（款）其他城乡社区支出（项）。年初预算为0万元，支出决算为200万元。</w:t>
      </w:r>
      <w:r>
        <w:rPr>
          <w:rFonts w:hint="eastAsia" w:ascii="仿宋_GB2312" w:eastAsia="仿宋_GB2312"/>
          <w:szCs w:val="32"/>
        </w:rPr>
        <w:t>决算数大于年初预算数的主要原因是</w:t>
      </w:r>
      <w:r>
        <w:rPr>
          <w:rFonts w:hint="eastAsia" w:ascii="仿宋_GB2312" w:eastAsia="仿宋_GB2312"/>
          <w:szCs w:val="32"/>
          <w:lang w:eastAsia="zh-CN"/>
        </w:rPr>
        <w:t>追加街道道路等建设预算，支出增加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15.农林水支出（类）农业农村（款）其他农业农村支出（项）。年初预算为0元，支出决算为37.92万元。</w:t>
      </w:r>
      <w:r>
        <w:rPr>
          <w:rFonts w:hint="eastAsia" w:ascii="仿宋_GB2312" w:eastAsia="仿宋_GB2312"/>
          <w:szCs w:val="32"/>
        </w:rPr>
        <w:t>决算数大于年初预算数的主要原因是</w:t>
      </w:r>
      <w:r>
        <w:rPr>
          <w:rFonts w:hint="eastAsia" w:ascii="仿宋_GB2312" w:eastAsia="仿宋_GB2312"/>
          <w:szCs w:val="32"/>
          <w:lang w:eastAsia="zh-CN"/>
        </w:rPr>
        <w:t>追加</w:t>
      </w:r>
      <w:r>
        <w:rPr>
          <w:rFonts w:hint="eastAsia" w:ascii="仿宋_GB2312" w:eastAsia="仿宋_GB2312"/>
          <w:szCs w:val="32"/>
          <w:lang w:val="en-US" w:eastAsia="zh-CN"/>
        </w:rPr>
        <w:t>基本农田区级专项转移支付预算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16.农林水支出（类）林业与草原（款）森林生态效益补偿（项）。年初预算为0万元，支出决算为11.07万元。</w:t>
      </w:r>
      <w:r>
        <w:rPr>
          <w:rFonts w:hint="eastAsia" w:ascii="仿宋_GB2312" w:eastAsia="仿宋_GB2312"/>
          <w:szCs w:val="32"/>
        </w:rPr>
        <w:t>决算数大于年初预算数的主要原因是</w:t>
      </w:r>
      <w:r>
        <w:rPr>
          <w:rFonts w:hint="eastAsia" w:ascii="仿宋_GB2312" w:eastAsia="仿宋_GB2312"/>
          <w:szCs w:val="32"/>
          <w:lang w:eastAsia="zh-CN"/>
        </w:rPr>
        <w:t>追加公益林</w:t>
      </w:r>
      <w:r>
        <w:rPr>
          <w:rFonts w:hint="eastAsia" w:ascii="仿宋_GB2312" w:eastAsia="仿宋_GB2312"/>
          <w:szCs w:val="32"/>
          <w:lang w:val="en-US" w:eastAsia="zh-CN"/>
        </w:rPr>
        <w:t>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17.农林水支出（类）林业与草原（款）林业草原防灾减灾（项）。年初预算为0万元，支出决算为0.84万元。</w:t>
      </w:r>
      <w:r>
        <w:rPr>
          <w:rFonts w:hint="eastAsia" w:ascii="仿宋_GB2312" w:eastAsia="仿宋_GB2312"/>
          <w:szCs w:val="32"/>
        </w:rPr>
        <w:t>决算数大于年初预算数的主要原因是</w:t>
      </w:r>
      <w:r>
        <w:rPr>
          <w:rFonts w:hint="eastAsia" w:ascii="仿宋_GB2312" w:eastAsia="仿宋_GB2312"/>
          <w:szCs w:val="32"/>
          <w:lang w:eastAsia="zh-CN"/>
        </w:rPr>
        <w:t>追加森林防护预算，支出增加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18.农林水支出（类）巩固脱贫衔接乡村振兴（款）其他巩固脱贫衔接乡村振兴支出（项）。年初预算为0万元，支出决算为48.37万元。</w:t>
      </w:r>
      <w:r>
        <w:rPr>
          <w:rFonts w:hint="eastAsia" w:ascii="仿宋_GB2312" w:eastAsia="仿宋_GB2312"/>
          <w:szCs w:val="32"/>
        </w:rPr>
        <w:t>决算数大于年初预算数的主要原因是</w:t>
      </w:r>
      <w:r>
        <w:rPr>
          <w:rFonts w:hint="eastAsia" w:ascii="仿宋_GB2312" w:eastAsia="仿宋_GB2312"/>
          <w:szCs w:val="32"/>
          <w:lang w:eastAsia="zh-CN"/>
        </w:rPr>
        <w:t>追加扶贫项目等</w:t>
      </w:r>
      <w:r>
        <w:rPr>
          <w:rFonts w:hint="eastAsia" w:ascii="仿宋_GB2312" w:eastAsia="仿宋_GB2312"/>
          <w:szCs w:val="32"/>
          <w:lang w:val="en-US" w:eastAsia="zh-CN"/>
        </w:rPr>
        <w:t>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19.农林水支出（类）农村综合改革（款）对村民委员会和村党支部的补助（项）。年初预算为0万元，支出决算为671万元。</w:t>
      </w:r>
      <w:r>
        <w:rPr>
          <w:rFonts w:hint="eastAsia" w:ascii="仿宋_GB2312" w:eastAsia="仿宋_GB2312"/>
          <w:szCs w:val="32"/>
        </w:rPr>
        <w:t>决算数大于年初预算数的主要原因是</w:t>
      </w:r>
      <w:r>
        <w:rPr>
          <w:rFonts w:hint="eastAsia" w:ascii="仿宋_GB2312" w:eastAsia="仿宋_GB2312"/>
          <w:szCs w:val="32"/>
          <w:lang w:eastAsia="zh-CN"/>
        </w:rPr>
        <w:t>追加对村级的补助预算，支出增加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20.农林水支出（类）农村综合改革（款）其他农村综合改革支出（项）。年初预算为29万元，支出决算为29万元。</w:t>
      </w:r>
      <w:r>
        <w:rPr>
          <w:rFonts w:hint="eastAsia" w:ascii="仿宋_GB2312" w:eastAsia="仿宋_GB2312"/>
          <w:szCs w:val="32"/>
        </w:rPr>
        <w:t>决算数大于年初预算数的主要原因是</w:t>
      </w:r>
      <w:r>
        <w:rPr>
          <w:rFonts w:hint="eastAsia" w:ascii="仿宋_GB2312" w:eastAsia="仿宋_GB2312"/>
          <w:szCs w:val="32"/>
          <w:lang w:eastAsia="zh-CN"/>
        </w:rPr>
        <w:t>追加一事一议项目</w:t>
      </w:r>
      <w:r>
        <w:rPr>
          <w:rFonts w:hint="eastAsia" w:ascii="仿宋_GB2312" w:eastAsia="仿宋_GB2312"/>
          <w:szCs w:val="32"/>
          <w:lang w:val="en-US" w:eastAsia="zh-CN"/>
        </w:rPr>
        <w:t>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21.农林水支出（类）其他农林水支出（款）其他农林水支出（项）。年初预算为0万元，支出决算为1890.23万元。</w:t>
      </w:r>
      <w:r>
        <w:rPr>
          <w:rFonts w:hint="eastAsia" w:ascii="仿宋_GB2312" w:eastAsia="仿宋_GB2312"/>
          <w:szCs w:val="32"/>
        </w:rPr>
        <w:t>决算数大于年初预算数的主要原因是</w:t>
      </w:r>
      <w:r>
        <w:rPr>
          <w:rFonts w:hint="eastAsia" w:ascii="仿宋_GB2312" w:eastAsia="仿宋_GB2312"/>
          <w:szCs w:val="32"/>
          <w:lang w:eastAsia="zh-CN"/>
        </w:rPr>
        <w:t>追加示范区建设等</w:t>
      </w:r>
      <w:r>
        <w:rPr>
          <w:rFonts w:hint="eastAsia" w:ascii="仿宋_GB2312" w:eastAsia="仿宋_GB2312"/>
          <w:szCs w:val="32"/>
          <w:lang w:val="en-US" w:eastAsia="zh-CN"/>
        </w:rPr>
        <w:t>区级专项转移支付预算</w:t>
      </w:r>
      <w:r>
        <w:rPr>
          <w:rFonts w:hint="eastAsia" w:ascii="仿宋_GB2312" w:eastAsia="仿宋_GB2312"/>
          <w:szCs w:val="32"/>
          <w:lang w:eastAsia="zh-CN"/>
        </w:rPr>
        <w:t>，支出增加</w:t>
      </w:r>
      <w:r>
        <w:rPr>
          <w:rFonts w:hint="eastAsia" w:ascii="仿宋_GB2312" w:eastAsia="仿宋_GB2312"/>
          <w:szCs w:val="32"/>
        </w:rPr>
        <w:t>。</w:t>
      </w:r>
    </w:p>
    <w:p>
      <w:pPr>
        <w:spacing w:line="580" w:lineRule="exact"/>
        <w:ind w:firstLine="640" w:firstLineChars="200"/>
        <w:rPr>
          <w:rFonts w:hint="eastAsia" w:ascii="仿宋_GB2312" w:eastAsia="仿宋_GB2312"/>
          <w:b/>
          <w:szCs w:val="32"/>
        </w:rPr>
      </w:pPr>
      <w:r>
        <w:rPr>
          <w:rFonts w:hint="eastAsia" w:ascii="仿宋_GB2312" w:eastAsia="仿宋_GB2312"/>
          <w:szCs w:val="32"/>
          <w:lang w:val="en-US" w:eastAsia="zh-CN"/>
        </w:rPr>
        <w:t>22.住房保障支出（类）住房改革支出（款）住房公积金（项）。年初预算为203.31万元，支出决算为203.31万元，完成年初预算的100%。</w:t>
      </w:r>
    </w:p>
    <w:p>
      <w:pPr>
        <w:spacing w:line="580" w:lineRule="exact"/>
        <w:ind w:firstLine="640" w:firstLineChars="200"/>
        <w:rPr>
          <w:rFonts w:hint="eastAsia" w:ascii="黑体" w:hAnsi="黑体" w:eastAsia="黑体"/>
          <w:szCs w:val="32"/>
        </w:rPr>
      </w:pPr>
      <w:r>
        <w:rPr>
          <w:rFonts w:hint="eastAsia" w:ascii="黑体" w:hAnsi="黑体" w:eastAsia="黑体"/>
          <w:szCs w:val="32"/>
        </w:rPr>
        <w:t>六、一般公共预算财政拨款基本支出决算情况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2023年度一般公共预算财政拨款基本支出决算</w:t>
      </w:r>
      <w:r>
        <w:rPr>
          <w:rFonts w:hint="eastAsia" w:ascii="仿宋_GB2312" w:eastAsia="仿宋_GB2312"/>
          <w:szCs w:val="32"/>
          <w:lang w:val="en-US" w:eastAsia="zh-CN"/>
        </w:rPr>
        <w:t>2775.06</w:t>
      </w:r>
      <w:r>
        <w:rPr>
          <w:rFonts w:hint="eastAsia" w:ascii="仿宋_GB2312" w:eastAsia="仿宋_GB2312"/>
          <w:szCs w:val="32"/>
        </w:rPr>
        <w:t>万元，包括人员经费和公用经费，支出具体情况如下：</w:t>
      </w:r>
    </w:p>
    <w:p>
      <w:pPr>
        <w:spacing w:line="580" w:lineRule="exact"/>
        <w:ind w:firstLine="640" w:firstLineChars="200"/>
        <w:rPr>
          <w:rFonts w:hint="eastAsia" w:ascii="仿宋_GB2312" w:eastAsia="仿宋_GB2312"/>
          <w:szCs w:val="32"/>
        </w:rPr>
      </w:pPr>
      <w:r>
        <w:rPr>
          <w:rFonts w:hint="eastAsia" w:ascii="仿宋_GB2312" w:eastAsia="仿宋_GB2312"/>
          <w:szCs w:val="32"/>
        </w:rPr>
        <w:t>人员经费</w:t>
      </w:r>
      <w:r>
        <w:rPr>
          <w:rFonts w:hint="eastAsia" w:ascii="仿宋_GB2312" w:eastAsia="仿宋_GB2312"/>
          <w:szCs w:val="32"/>
          <w:lang w:val="en-US" w:eastAsia="zh-CN"/>
        </w:rPr>
        <w:t>2620.70</w:t>
      </w:r>
      <w:r>
        <w:rPr>
          <w:rFonts w:hint="eastAsia" w:ascii="仿宋_GB2312" w:eastAsia="仿宋_GB2312"/>
          <w:szCs w:val="32"/>
        </w:rPr>
        <w:t>万元，主要包括：基本工资476.67</w:t>
      </w:r>
      <w:r>
        <w:rPr>
          <w:rFonts w:hint="eastAsia" w:ascii="仿宋_GB2312" w:eastAsia="仿宋_GB2312"/>
          <w:szCs w:val="32"/>
          <w:lang w:eastAsia="zh-CN"/>
        </w:rPr>
        <w:t>万元</w:t>
      </w:r>
      <w:r>
        <w:rPr>
          <w:rFonts w:hint="eastAsia" w:ascii="仿宋_GB2312" w:eastAsia="仿宋_GB2312"/>
          <w:szCs w:val="32"/>
        </w:rPr>
        <w:t>、津贴补贴</w:t>
      </w:r>
      <w:r>
        <w:rPr>
          <w:rFonts w:hint="eastAsia" w:ascii="仿宋_GB2312" w:eastAsia="仿宋_GB2312"/>
          <w:szCs w:val="32"/>
          <w:lang w:val="en-US" w:eastAsia="zh-CN"/>
        </w:rPr>
        <w:t>437.85万元</w:t>
      </w:r>
      <w:r>
        <w:rPr>
          <w:rFonts w:hint="eastAsia" w:ascii="仿宋_GB2312" w:eastAsia="仿宋_GB2312"/>
          <w:szCs w:val="32"/>
        </w:rPr>
        <w:t>、奖金</w:t>
      </w:r>
      <w:r>
        <w:rPr>
          <w:rFonts w:hint="eastAsia" w:ascii="仿宋_GB2312" w:eastAsia="仿宋_GB2312"/>
          <w:szCs w:val="32"/>
          <w:lang w:val="en-US" w:eastAsia="zh-CN"/>
        </w:rPr>
        <w:t>637.10万元、绩效工资297.91万元、机关事业单位基本养老保险缴费241.52万元、职业年金缴费116.65万元、职工基本医疗保险缴费139.30万元、公务员医疗补助缴费51.04万元、其他社会保障缴费9.02万元、住房公积金203.31万元、其他工资福利支出2.35万元、生活补助7.54万元、其他对个人和家庭的补助0.46万元</w:t>
      </w:r>
      <w:r>
        <w:rPr>
          <w:rFonts w:hint="eastAsia" w:ascii="仿宋_GB2312" w:eastAsia="仿宋_GB2312"/>
          <w:szCs w:val="32"/>
        </w:rPr>
        <w:t>等。</w:t>
      </w:r>
    </w:p>
    <w:p>
      <w:pPr>
        <w:spacing w:line="580" w:lineRule="exact"/>
        <w:ind w:firstLine="640" w:firstLineChars="200"/>
        <w:rPr>
          <w:rFonts w:hint="eastAsia" w:ascii="仿宋_GB2312" w:eastAsia="仿宋_GB2312"/>
          <w:b/>
          <w:szCs w:val="32"/>
        </w:rPr>
      </w:pPr>
      <w:r>
        <w:rPr>
          <w:rFonts w:hint="eastAsia" w:ascii="仿宋_GB2312" w:eastAsia="仿宋_GB2312"/>
          <w:szCs w:val="32"/>
        </w:rPr>
        <w:t>公用经费</w:t>
      </w:r>
      <w:r>
        <w:rPr>
          <w:rFonts w:hint="eastAsia" w:ascii="仿宋_GB2312" w:eastAsia="仿宋_GB2312"/>
          <w:szCs w:val="32"/>
          <w:lang w:val="en-US" w:eastAsia="zh-CN"/>
        </w:rPr>
        <w:t>154.36</w:t>
      </w:r>
      <w:r>
        <w:rPr>
          <w:rFonts w:hint="eastAsia" w:ascii="仿宋_GB2312" w:eastAsia="仿宋_GB2312"/>
          <w:szCs w:val="32"/>
        </w:rPr>
        <w:t>万元，主要包括：办公费</w:t>
      </w:r>
      <w:r>
        <w:rPr>
          <w:rFonts w:hint="eastAsia" w:ascii="仿宋_GB2312" w:eastAsia="仿宋_GB2312"/>
          <w:szCs w:val="32"/>
          <w:lang w:val="en-US" w:eastAsia="zh-CN"/>
        </w:rPr>
        <w:t>61.97万元</w:t>
      </w:r>
      <w:r>
        <w:rPr>
          <w:rFonts w:hint="eastAsia" w:ascii="仿宋_GB2312" w:eastAsia="仿宋_GB2312"/>
          <w:szCs w:val="32"/>
        </w:rPr>
        <w:t>、</w:t>
      </w:r>
      <w:r>
        <w:rPr>
          <w:rFonts w:hint="eastAsia" w:ascii="仿宋_GB2312" w:eastAsia="仿宋_GB2312"/>
          <w:szCs w:val="32"/>
          <w:lang w:eastAsia="zh-CN"/>
        </w:rPr>
        <w:t>电费</w:t>
      </w:r>
      <w:r>
        <w:rPr>
          <w:rFonts w:hint="eastAsia" w:ascii="仿宋_GB2312" w:eastAsia="仿宋_GB2312"/>
          <w:szCs w:val="32"/>
          <w:lang w:val="en-US" w:eastAsia="zh-CN"/>
        </w:rPr>
        <w:t>34.28万元、邮电费17.32万元、差旅费8.36万元、维修（护）费3.28万元、劳务费0.42万元、委托业务费15.74万元、公务用车运行维护费9万元、</w:t>
      </w:r>
      <w:r>
        <w:rPr>
          <w:rFonts w:hint="eastAsia" w:ascii="仿宋_GB2312" w:eastAsia="仿宋_GB2312"/>
          <w:szCs w:val="32"/>
        </w:rPr>
        <w:t>其他交通费用</w:t>
      </w:r>
      <w:r>
        <w:rPr>
          <w:rFonts w:hint="eastAsia" w:ascii="仿宋_GB2312" w:eastAsia="仿宋_GB2312"/>
          <w:szCs w:val="32"/>
          <w:lang w:val="en-US" w:eastAsia="zh-CN"/>
        </w:rPr>
        <w:t>1.34万元、其他商品和服务支出2.66万元</w:t>
      </w:r>
      <w:r>
        <w:rPr>
          <w:rFonts w:hint="eastAsia" w:ascii="仿宋_GB2312" w:eastAsia="仿宋_GB2312"/>
          <w:szCs w:val="32"/>
        </w:rPr>
        <w:t>。</w:t>
      </w:r>
    </w:p>
    <w:p>
      <w:pPr>
        <w:spacing w:line="580" w:lineRule="exact"/>
        <w:ind w:firstLine="640" w:firstLineChars="200"/>
        <w:rPr>
          <w:rFonts w:hint="eastAsia" w:ascii="黑体" w:hAnsi="黑体" w:eastAsia="黑体"/>
          <w:szCs w:val="32"/>
        </w:rPr>
      </w:pPr>
      <w:r>
        <w:rPr>
          <w:rFonts w:hint="eastAsia" w:ascii="黑体" w:hAnsi="黑体" w:eastAsia="黑体"/>
          <w:szCs w:val="32"/>
        </w:rPr>
        <w:t>七、政府性基金预算财政拨款收入支出决算情况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2023年度政府性基金预算财政拨款年初结转和结余</w:t>
      </w:r>
      <w:r>
        <w:rPr>
          <w:rFonts w:hint="eastAsia" w:ascii="仿宋_GB2312" w:eastAsia="仿宋_GB2312"/>
          <w:szCs w:val="32"/>
          <w:lang w:val="en-US" w:eastAsia="zh-CN"/>
        </w:rPr>
        <w:t>0</w:t>
      </w:r>
      <w:r>
        <w:rPr>
          <w:rFonts w:hint="eastAsia" w:ascii="仿宋_GB2312" w:eastAsia="仿宋_GB2312"/>
          <w:szCs w:val="32"/>
        </w:rPr>
        <w:t xml:space="preserve">    万元，本年收入</w:t>
      </w:r>
      <w:r>
        <w:rPr>
          <w:rFonts w:hint="eastAsia" w:ascii="仿宋_GB2312" w:eastAsia="仿宋_GB2312"/>
          <w:szCs w:val="32"/>
          <w:lang w:val="en-US" w:eastAsia="zh-CN"/>
        </w:rPr>
        <w:t>868.54</w:t>
      </w:r>
      <w:r>
        <w:rPr>
          <w:rFonts w:hint="eastAsia" w:ascii="仿宋_GB2312" w:eastAsia="仿宋_GB2312"/>
          <w:szCs w:val="32"/>
        </w:rPr>
        <w:t>万元，本年支出</w:t>
      </w:r>
      <w:r>
        <w:rPr>
          <w:rFonts w:hint="eastAsia" w:ascii="仿宋_GB2312" w:eastAsia="仿宋_GB2312"/>
          <w:szCs w:val="32"/>
          <w:lang w:val="en-US" w:eastAsia="zh-CN"/>
        </w:rPr>
        <w:t>868.54</w:t>
      </w:r>
      <w:r>
        <w:rPr>
          <w:rFonts w:hint="eastAsia" w:ascii="仿宋_GB2312" w:eastAsia="仿宋_GB2312"/>
          <w:szCs w:val="32"/>
        </w:rPr>
        <w:t>万元，年末结转和结余</w:t>
      </w:r>
      <w:r>
        <w:rPr>
          <w:rFonts w:hint="eastAsia" w:ascii="仿宋_GB2312" w:eastAsia="仿宋_GB2312"/>
          <w:szCs w:val="32"/>
          <w:lang w:val="en-US" w:eastAsia="zh-CN"/>
        </w:rPr>
        <w:t>0</w:t>
      </w:r>
      <w:r>
        <w:rPr>
          <w:rFonts w:hint="eastAsia" w:ascii="仿宋_GB2312" w:eastAsia="仿宋_GB2312"/>
          <w:szCs w:val="32"/>
        </w:rPr>
        <w:t>万元。支出具体情况如下：</w:t>
      </w:r>
    </w:p>
    <w:p>
      <w:pPr>
        <w:numPr>
          <w:ilvl w:val="0"/>
          <w:numId w:val="1"/>
        </w:numPr>
        <w:spacing w:line="580" w:lineRule="exact"/>
        <w:ind w:firstLine="640" w:firstLineChars="200"/>
        <w:rPr>
          <w:rFonts w:hint="eastAsia" w:ascii="仿宋_GB2312" w:eastAsia="仿宋_GB2312"/>
          <w:szCs w:val="32"/>
        </w:rPr>
      </w:pPr>
      <w:r>
        <w:rPr>
          <w:rFonts w:hint="eastAsia" w:ascii="仿宋_GB2312" w:eastAsia="仿宋_GB2312"/>
          <w:szCs w:val="32"/>
        </w:rPr>
        <w:t>城乡社区支出（类）国有土地使用权出让收入安排的支出（款）征地和拆迁补偿支出（项）年初预算为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8.54</w:t>
      </w:r>
      <w:r>
        <w:rPr>
          <w:rFonts w:hint="eastAsia" w:ascii="仿宋_GB2312" w:eastAsia="仿宋_GB2312"/>
          <w:szCs w:val="32"/>
        </w:rPr>
        <w:t>万元。决算数大于年初预算数的主要原因是</w:t>
      </w:r>
      <w:r>
        <w:rPr>
          <w:rFonts w:hint="eastAsia" w:ascii="仿宋_GB2312" w:eastAsia="仿宋_GB2312"/>
          <w:szCs w:val="32"/>
          <w:lang w:eastAsia="zh-CN"/>
        </w:rPr>
        <w:t>上年结转政府投资</w:t>
      </w:r>
      <w:r>
        <w:rPr>
          <w:rFonts w:hint="eastAsia" w:ascii="仿宋_GB2312" w:eastAsia="仿宋_GB2312"/>
          <w:szCs w:val="32"/>
          <w:lang w:val="en-US" w:eastAsia="zh-CN"/>
        </w:rPr>
        <w:t>-道路</w:t>
      </w:r>
      <w:r>
        <w:rPr>
          <w:rFonts w:hint="eastAsia" w:ascii="仿宋_GB2312" w:eastAsia="仿宋_GB2312"/>
          <w:szCs w:val="32"/>
        </w:rPr>
        <w:t>项目预算</w:t>
      </w:r>
      <w:r>
        <w:rPr>
          <w:rFonts w:hint="eastAsia" w:ascii="仿宋_GB2312" w:eastAsia="仿宋_GB2312"/>
          <w:szCs w:val="32"/>
          <w:lang w:val="en-US" w:eastAsia="zh-CN"/>
        </w:rPr>
        <w:t>8.54</w:t>
      </w:r>
      <w:r>
        <w:rPr>
          <w:rFonts w:hint="eastAsia" w:ascii="仿宋_GB2312" w:eastAsia="仿宋_GB2312"/>
          <w:szCs w:val="32"/>
        </w:rPr>
        <w:t>万元，基金性收入增加相应支出增加。</w:t>
      </w:r>
    </w:p>
    <w:p>
      <w:pPr>
        <w:numPr>
          <w:ilvl w:val="0"/>
          <w:numId w:val="0"/>
        </w:numPr>
        <w:spacing w:line="580" w:lineRule="exact"/>
        <w:rPr>
          <w:rFonts w:hint="eastAsia" w:ascii="仿宋_GB2312" w:eastAsia="仿宋_GB2312"/>
          <w:b/>
          <w:szCs w:val="32"/>
        </w:rPr>
      </w:pPr>
      <w:r>
        <w:rPr>
          <w:rFonts w:hint="eastAsia" w:ascii="仿宋_GB2312" w:eastAsia="仿宋_GB2312"/>
          <w:szCs w:val="32"/>
          <w:lang w:val="en-US" w:eastAsia="zh-CN"/>
        </w:rPr>
        <w:t xml:space="preserve">    </w:t>
      </w:r>
      <w:r>
        <w:rPr>
          <w:rFonts w:hint="eastAsia" w:ascii="仿宋_GB2312" w:eastAsia="仿宋_GB2312"/>
          <w:szCs w:val="32"/>
        </w:rPr>
        <w:t>（二）城乡社区支出（类）国有土地使用权出让收入安排的支出（款）农村基础设施建设支出（项）年初预算为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860</w:t>
      </w:r>
      <w:r>
        <w:rPr>
          <w:rFonts w:hint="eastAsia" w:ascii="仿宋_GB2312" w:eastAsia="仿宋_GB2312"/>
          <w:szCs w:val="32"/>
        </w:rPr>
        <w:t>万元。决算数大于年初预算数的主要原因是新增区级转移支付</w:t>
      </w:r>
      <w:r>
        <w:rPr>
          <w:rFonts w:hint="eastAsia" w:ascii="仿宋_GB2312" w:eastAsia="仿宋_GB2312"/>
          <w:szCs w:val="32"/>
          <w:lang w:eastAsia="zh-CN"/>
        </w:rPr>
        <w:t>示范片区</w:t>
      </w:r>
      <w:r>
        <w:rPr>
          <w:rFonts w:hint="eastAsia" w:ascii="仿宋_GB2312" w:eastAsia="仿宋_GB2312"/>
          <w:szCs w:val="32"/>
        </w:rPr>
        <w:t>项目预算</w:t>
      </w:r>
      <w:r>
        <w:rPr>
          <w:rFonts w:hint="eastAsia" w:ascii="仿宋_GB2312" w:eastAsia="仿宋_GB2312"/>
          <w:szCs w:val="32"/>
          <w:lang w:val="en-US" w:eastAsia="zh-CN"/>
        </w:rPr>
        <w:t>860</w:t>
      </w:r>
      <w:r>
        <w:rPr>
          <w:rFonts w:hint="eastAsia" w:ascii="仿宋_GB2312" w:eastAsia="仿宋_GB2312"/>
          <w:szCs w:val="32"/>
        </w:rPr>
        <w:t>万元，基金性收入增加相应支出增加。</w:t>
      </w:r>
    </w:p>
    <w:p>
      <w:pPr>
        <w:spacing w:line="580" w:lineRule="exact"/>
        <w:ind w:firstLine="640" w:firstLineChars="200"/>
        <w:rPr>
          <w:rFonts w:hint="eastAsia" w:ascii="黑体" w:hAnsi="黑体" w:eastAsia="黑体"/>
          <w:szCs w:val="32"/>
        </w:rPr>
      </w:pPr>
      <w:r>
        <w:rPr>
          <w:rFonts w:hint="eastAsia" w:ascii="黑体" w:hAnsi="黑体" w:eastAsia="黑体"/>
          <w:szCs w:val="32"/>
        </w:rPr>
        <w:t>八、国有资本经营预算财政拨款支出决算情况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本部门没有国有资本经营预算财政拨款支出</w:t>
      </w:r>
      <w:r>
        <w:rPr>
          <w:rFonts w:hint="eastAsia" w:ascii="仿宋_GB2312" w:eastAsia="仿宋_GB2312"/>
          <w:szCs w:val="32"/>
          <w:lang w:eastAsia="zh-CN"/>
        </w:rPr>
        <w:t>。</w:t>
      </w:r>
    </w:p>
    <w:p>
      <w:pPr>
        <w:spacing w:line="580" w:lineRule="exact"/>
        <w:ind w:firstLine="640" w:firstLineChars="200"/>
        <w:rPr>
          <w:rFonts w:hint="eastAsia" w:ascii="黑体" w:hAnsi="黑体" w:eastAsia="黑体"/>
          <w:szCs w:val="32"/>
        </w:rPr>
      </w:pPr>
      <w:r>
        <w:rPr>
          <w:rFonts w:hint="eastAsia" w:ascii="黑体" w:hAnsi="黑体" w:eastAsia="黑体"/>
          <w:szCs w:val="32"/>
        </w:rPr>
        <w:t>九、财政拨款“三公”经费支出决算情况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（一）“三公”经费支出决算总体情况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2023年度财政拨款“三公”经费支出年初预算为</w:t>
      </w:r>
      <w:r>
        <w:rPr>
          <w:rFonts w:hint="eastAsia" w:ascii="仿宋_GB2312" w:eastAsia="仿宋_GB2312"/>
          <w:szCs w:val="32"/>
          <w:lang w:val="en-US" w:eastAsia="zh-CN"/>
        </w:rPr>
        <w:t>10</w:t>
      </w:r>
      <w:r>
        <w:rPr>
          <w:rFonts w:hint="eastAsia" w:ascii="仿宋_GB2312" w:eastAsia="仿宋_GB2312"/>
          <w:szCs w:val="32"/>
        </w:rPr>
        <w:t>万元，支出决算为</w:t>
      </w:r>
      <w:r>
        <w:rPr>
          <w:rFonts w:hint="eastAsia" w:ascii="仿宋_GB2312" w:eastAsia="仿宋_GB2312"/>
          <w:szCs w:val="32"/>
          <w:lang w:val="en-US" w:eastAsia="zh-CN"/>
        </w:rPr>
        <w:t>16.2</w:t>
      </w:r>
      <w:r>
        <w:rPr>
          <w:rFonts w:hint="eastAsia" w:ascii="仿宋_GB2312" w:eastAsia="仿宋_GB2312"/>
          <w:szCs w:val="32"/>
        </w:rPr>
        <w:t>万元，比年初预算增加</w:t>
      </w:r>
      <w:r>
        <w:rPr>
          <w:rFonts w:hint="eastAsia" w:ascii="仿宋_GB2312" w:eastAsia="仿宋_GB2312"/>
          <w:szCs w:val="32"/>
          <w:lang w:val="en-US" w:eastAsia="zh-CN"/>
        </w:rPr>
        <w:t>6.2</w:t>
      </w:r>
      <w:r>
        <w:rPr>
          <w:rFonts w:hint="eastAsia" w:ascii="仿宋_GB2312" w:eastAsia="仿宋_GB2312"/>
          <w:szCs w:val="32"/>
        </w:rPr>
        <w:t>万元，完成年初预算的</w:t>
      </w:r>
      <w:r>
        <w:rPr>
          <w:rFonts w:hint="eastAsia" w:ascii="仿宋_GB2312" w:eastAsia="仿宋_GB2312"/>
          <w:szCs w:val="32"/>
          <w:lang w:val="en-US" w:eastAsia="zh-CN"/>
        </w:rPr>
        <w:t>162</w:t>
      </w:r>
      <w:r>
        <w:rPr>
          <w:rFonts w:hint="eastAsia" w:ascii="仿宋_GB2312" w:eastAsia="仿宋_GB2312"/>
          <w:szCs w:val="32"/>
        </w:rPr>
        <w:t>%</w:t>
      </w:r>
      <w:r>
        <w:rPr>
          <w:rFonts w:hint="eastAsia" w:ascii="仿宋_GB2312" w:eastAsia="仿宋_GB2312"/>
          <w:szCs w:val="32"/>
          <w:lang w:eastAsia="zh-CN"/>
        </w:rPr>
        <w:t>，</w:t>
      </w:r>
      <w:r>
        <w:rPr>
          <w:rFonts w:hint="eastAsia" w:ascii="仿宋_GB2312" w:eastAsia="仿宋_GB2312"/>
          <w:szCs w:val="32"/>
        </w:rPr>
        <w:t>决算数大于年初预算数的主要原因是</w:t>
      </w:r>
      <w:r>
        <w:rPr>
          <w:rFonts w:hint="eastAsia" w:ascii="仿宋_GB2312" w:eastAsia="仿宋_GB2312"/>
          <w:szCs w:val="32"/>
          <w:lang w:eastAsia="zh-CN"/>
        </w:rPr>
        <w:t>事业编制车辆燃油预算支出增加</w:t>
      </w:r>
      <w:r>
        <w:rPr>
          <w:rFonts w:hint="eastAsia" w:ascii="仿宋_GB2312" w:eastAsia="仿宋_GB2312"/>
          <w:szCs w:val="32"/>
        </w:rPr>
        <w:t>。</w:t>
      </w:r>
    </w:p>
    <w:p>
      <w:pPr>
        <w:spacing w:line="580" w:lineRule="exact"/>
        <w:ind w:firstLine="640" w:firstLineChars="200"/>
        <w:rPr>
          <w:rFonts w:hint="eastAsia" w:ascii="楷体_GB2312" w:eastAsia="楷体_GB2312"/>
          <w:szCs w:val="32"/>
        </w:rPr>
      </w:pPr>
      <w:r>
        <w:rPr>
          <w:rFonts w:hint="eastAsia" w:ascii="楷体_GB2312" w:eastAsia="楷体_GB2312"/>
          <w:szCs w:val="32"/>
        </w:rPr>
        <w:t>（二）“三公”经费支出决算具体情况</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1.因公出国（境）费年初预算为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0</w:t>
      </w:r>
      <w:r>
        <w:rPr>
          <w:rFonts w:hint="eastAsia" w:ascii="仿宋_GB2312" w:eastAsia="仿宋_GB2312"/>
          <w:szCs w:val="32"/>
        </w:rPr>
        <w:t>万元，与2023年预算基本持平</w:t>
      </w:r>
      <w:r>
        <w:rPr>
          <w:rFonts w:hint="eastAsia" w:ascii="仿宋_GB2312" w:eastAsia="仿宋_GB2312"/>
          <w:szCs w:val="32"/>
          <w:lang w:eastAsia="zh-CN"/>
        </w:rPr>
        <w:t>。</w:t>
      </w:r>
    </w:p>
    <w:p>
      <w:pPr>
        <w:spacing w:line="580" w:lineRule="exact"/>
        <w:ind w:firstLine="640" w:firstLineChars="200"/>
        <w:rPr>
          <w:rFonts w:hint="eastAsia" w:ascii="仿宋_GB2312" w:eastAsia="仿宋_GB2312"/>
          <w:szCs w:val="32"/>
        </w:rPr>
      </w:pPr>
      <w:r>
        <w:rPr>
          <w:rFonts w:hint="eastAsia" w:ascii="仿宋_GB2312" w:eastAsia="仿宋_GB2312"/>
          <w:szCs w:val="32"/>
        </w:rPr>
        <w:t>全年支出涉及因公出国（境）团组</w:t>
      </w:r>
      <w:r>
        <w:rPr>
          <w:rFonts w:hint="eastAsia" w:ascii="仿宋_GB2312" w:eastAsia="仿宋_GB2312"/>
          <w:szCs w:val="32"/>
          <w:lang w:val="en-US" w:eastAsia="zh-CN"/>
        </w:rPr>
        <w:t>0</w:t>
      </w:r>
      <w:r>
        <w:rPr>
          <w:rFonts w:hint="eastAsia" w:ascii="仿宋_GB2312" w:eastAsia="仿宋_GB2312"/>
          <w:szCs w:val="32"/>
        </w:rPr>
        <w:t>个,累计</w:t>
      </w:r>
      <w:r>
        <w:rPr>
          <w:rFonts w:hint="eastAsia" w:ascii="仿宋_GB2312" w:eastAsia="仿宋_GB2312"/>
          <w:szCs w:val="32"/>
          <w:lang w:val="en-US" w:eastAsia="zh-CN"/>
        </w:rPr>
        <w:t>0</w:t>
      </w:r>
      <w:r>
        <w:rPr>
          <w:rFonts w:hint="eastAsia" w:ascii="仿宋_GB2312" w:eastAsia="仿宋_GB2312"/>
          <w:szCs w:val="32"/>
        </w:rPr>
        <w:t>人次。</w:t>
      </w:r>
    </w:p>
    <w:p>
      <w:pPr>
        <w:spacing w:line="580" w:lineRule="exact"/>
        <w:ind w:firstLine="640" w:firstLineChars="200"/>
        <w:rPr>
          <w:rFonts w:hint="eastAsia" w:ascii="仿宋_GB2312" w:eastAsia="仿宋_GB2312"/>
          <w:szCs w:val="32"/>
        </w:rPr>
      </w:pPr>
      <w:r>
        <w:rPr>
          <w:rFonts w:hint="eastAsia" w:ascii="仿宋_GB2312" w:eastAsia="仿宋_GB2312"/>
          <w:szCs w:val="32"/>
        </w:rPr>
        <w:t>2.公务用车购置及运行维护费年初预算为</w:t>
      </w:r>
      <w:r>
        <w:rPr>
          <w:rFonts w:hint="eastAsia" w:ascii="仿宋_GB2312" w:eastAsia="仿宋_GB2312"/>
          <w:szCs w:val="32"/>
          <w:lang w:val="en-US" w:eastAsia="zh-CN"/>
        </w:rPr>
        <w:t>10</w:t>
      </w:r>
      <w:r>
        <w:rPr>
          <w:rFonts w:hint="eastAsia" w:ascii="仿宋_GB2312" w:eastAsia="仿宋_GB2312"/>
          <w:szCs w:val="32"/>
        </w:rPr>
        <w:t>万元，支出决算为</w:t>
      </w:r>
      <w:r>
        <w:rPr>
          <w:rFonts w:hint="eastAsia" w:ascii="仿宋_GB2312" w:eastAsia="仿宋_GB2312"/>
          <w:szCs w:val="32"/>
          <w:lang w:val="en-US" w:eastAsia="zh-CN"/>
        </w:rPr>
        <w:t>15.83</w:t>
      </w:r>
      <w:r>
        <w:rPr>
          <w:rFonts w:hint="eastAsia" w:ascii="仿宋_GB2312" w:eastAsia="仿宋_GB2312"/>
          <w:szCs w:val="32"/>
        </w:rPr>
        <w:t>万元，比年初预算增加</w:t>
      </w:r>
      <w:r>
        <w:rPr>
          <w:rFonts w:hint="eastAsia" w:ascii="仿宋_GB2312" w:eastAsia="仿宋_GB2312"/>
          <w:szCs w:val="32"/>
          <w:lang w:val="en-US" w:eastAsia="zh-CN"/>
        </w:rPr>
        <w:t>5.83</w:t>
      </w:r>
      <w:r>
        <w:rPr>
          <w:rFonts w:hint="eastAsia" w:ascii="仿宋_GB2312" w:eastAsia="仿宋_GB2312"/>
          <w:szCs w:val="32"/>
        </w:rPr>
        <w:t>万元，完成年初预算的</w:t>
      </w:r>
      <w:r>
        <w:rPr>
          <w:rFonts w:hint="eastAsia" w:ascii="仿宋_GB2312" w:eastAsia="仿宋_GB2312"/>
          <w:szCs w:val="32"/>
          <w:lang w:val="en-US" w:eastAsia="zh-CN"/>
        </w:rPr>
        <w:t>158.30</w:t>
      </w:r>
      <w:r>
        <w:rPr>
          <w:rFonts w:hint="eastAsia" w:ascii="仿宋_GB2312" w:eastAsia="仿宋_GB2312"/>
          <w:szCs w:val="32"/>
        </w:rPr>
        <w:t>%，决算数大于年初预算数的主要原因是</w:t>
      </w:r>
      <w:r>
        <w:rPr>
          <w:rFonts w:hint="eastAsia" w:ascii="仿宋_GB2312" w:eastAsia="仿宋_GB2312"/>
          <w:szCs w:val="32"/>
          <w:lang w:eastAsia="zh-CN"/>
        </w:rPr>
        <w:t>事业编制车辆燃油预算支出增加</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hint="eastAsia" w:ascii="仿宋_GB2312" w:eastAsia="仿宋_GB2312"/>
          <w:szCs w:val="32"/>
        </w:rPr>
        <w:t>其中：公务用车购置费支出</w:t>
      </w:r>
      <w:r>
        <w:rPr>
          <w:rFonts w:hint="eastAsia" w:ascii="仿宋_GB2312" w:eastAsia="仿宋_GB2312"/>
          <w:szCs w:val="32"/>
          <w:lang w:val="en-US" w:eastAsia="zh-CN"/>
        </w:rPr>
        <w:t>0</w:t>
      </w:r>
      <w:r>
        <w:rPr>
          <w:rFonts w:hint="eastAsia" w:ascii="仿宋_GB2312" w:eastAsia="仿宋_GB2312"/>
          <w:szCs w:val="32"/>
        </w:rPr>
        <w:t>万元，2023年</w:t>
      </w:r>
      <w:r>
        <w:rPr>
          <w:rFonts w:hint="eastAsia" w:ascii="仿宋_GB2312" w:eastAsia="仿宋_GB2312"/>
          <w:szCs w:val="32"/>
          <w:lang w:eastAsia="zh-CN"/>
        </w:rPr>
        <w:t>即墨区龙泉街道</w:t>
      </w:r>
      <w:r>
        <w:rPr>
          <w:rFonts w:hint="eastAsia" w:ascii="仿宋_GB2312" w:eastAsia="仿宋_GB2312"/>
          <w:szCs w:val="32"/>
        </w:rPr>
        <w:t>单位使用财政拨款购置公务用车</w:t>
      </w:r>
      <w:r>
        <w:rPr>
          <w:rFonts w:hint="eastAsia" w:ascii="仿宋_GB2312" w:eastAsia="仿宋_GB2312"/>
          <w:szCs w:val="32"/>
          <w:lang w:val="en-US" w:eastAsia="zh-CN"/>
        </w:rPr>
        <w:t>0</w:t>
      </w:r>
      <w:r>
        <w:rPr>
          <w:rFonts w:hint="eastAsia" w:ascii="仿宋_GB2312" w:eastAsia="仿宋_GB2312"/>
          <w:szCs w:val="32"/>
        </w:rPr>
        <w:t>辆。公务用车运行维护费</w:t>
      </w:r>
      <w:r>
        <w:rPr>
          <w:rFonts w:hint="eastAsia" w:ascii="仿宋_GB2312" w:eastAsia="仿宋_GB2312"/>
          <w:szCs w:val="32"/>
          <w:lang w:val="en-US" w:eastAsia="zh-CN"/>
        </w:rPr>
        <w:t>15.83</w:t>
      </w:r>
      <w:r>
        <w:rPr>
          <w:rFonts w:hint="eastAsia" w:ascii="仿宋_GB2312" w:eastAsia="仿宋_GB2312"/>
          <w:szCs w:val="32"/>
        </w:rPr>
        <w:t>万元，主要是按规定保留的公务用车的燃料费、维修费</w:t>
      </w:r>
      <w:r>
        <w:rPr>
          <w:rFonts w:hint="eastAsia" w:ascii="仿宋_GB2312" w:eastAsia="仿宋_GB2312"/>
          <w:szCs w:val="32"/>
          <w:lang w:eastAsia="zh-CN"/>
        </w:rPr>
        <w:t>、保险费</w:t>
      </w:r>
      <w:r>
        <w:rPr>
          <w:rFonts w:hint="eastAsia" w:ascii="仿宋_GB2312" w:eastAsia="仿宋_GB2312"/>
          <w:szCs w:val="32"/>
        </w:rPr>
        <w:t>支出。截至2023年12月31日，</w:t>
      </w:r>
      <w:r>
        <w:rPr>
          <w:rFonts w:hint="eastAsia" w:ascii="仿宋_GB2312" w:eastAsia="仿宋_GB2312"/>
          <w:szCs w:val="32"/>
          <w:lang w:eastAsia="zh-CN"/>
        </w:rPr>
        <w:t>即墨区龙泉街道</w:t>
      </w:r>
      <w:r>
        <w:rPr>
          <w:rFonts w:hint="eastAsia" w:ascii="仿宋_GB2312" w:eastAsia="仿宋_GB2312"/>
          <w:szCs w:val="32"/>
        </w:rPr>
        <w:t>单位财政拨款开支运行维护费的公务用车保有量为</w:t>
      </w:r>
      <w:r>
        <w:rPr>
          <w:rFonts w:hint="eastAsia" w:ascii="仿宋_GB2312" w:eastAsia="仿宋_GB2312"/>
          <w:szCs w:val="32"/>
          <w:lang w:val="en-US" w:eastAsia="zh-CN"/>
        </w:rPr>
        <w:t>9</w:t>
      </w:r>
      <w:r>
        <w:rPr>
          <w:rFonts w:hint="eastAsia" w:ascii="仿宋_GB2312" w:eastAsia="仿宋_GB2312"/>
          <w:szCs w:val="32"/>
        </w:rPr>
        <w:t>辆。</w:t>
      </w:r>
    </w:p>
    <w:p>
      <w:pPr>
        <w:spacing w:line="580" w:lineRule="exact"/>
        <w:ind w:firstLine="640" w:firstLineChars="200"/>
        <w:rPr>
          <w:rFonts w:hint="eastAsia" w:ascii="仿宋_GB2312" w:eastAsia="仿宋_GB2312"/>
          <w:szCs w:val="32"/>
        </w:rPr>
      </w:pPr>
      <w:r>
        <w:rPr>
          <w:rFonts w:hint="eastAsia" w:ascii="仿宋_GB2312" w:eastAsia="仿宋_GB2312"/>
          <w:szCs w:val="32"/>
        </w:rPr>
        <w:t>3.公务接待费年初预算为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0.37</w:t>
      </w:r>
      <w:r>
        <w:rPr>
          <w:rFonts w:hint="eastAsia" w:ascii="仿宋_GB2312" w:eastAsia="仿宋_GB2312"/>
          <w:szCs w:val="32"/>
        </w:rPr>
        <w:t>万元，比年初预算增加</w:t>
      </w:r>
      <w:r>
        <w:rPr>
          <w:rFonts w:hint="eastAsia" w:ascii="仿宋_GB2312" w:eastAsia="仿宋_GB2312"/>
          <w:szCs w:val="32"/>
          <w:lang w:val="en-US" w:eastAsia="zh-CN"/>
        </w:rPr>
        <w:t>0.37</w:t>
      </w:r>
      <w:r>
        <w:rPr>
          <w:rFonts w:hint="eastAsia" w:ascii="仿宋_GB2312" w:eastAsia="仿宋_GB2312"/>
          <w:szCs w:val="32"/>
        </w:rPr>
        <w:t>万元，决算数大于年初预算数的主要原因是</w:t>
      </w:r>
      <w:r>
        <w:rPr>
          <w:rFonts w:hint="eastAsia" w:ascii="仿宋_GB2312" w:eastAsia="仿宋_GB2312"/>
          <w:szCs w:val="32"/>
          <w:lang w:eastAsia="zh-CN"/>
        </w:rPr>
        <w:t>知名媒体乡村振兴青岛行活动临时增加预算支出。</w:t>
      </w:r>
      <w:r>
        <w:rPr>
          <w:rFonts w:hint="eastAsia" w:ascii="仿宋_GB2312" w:eastAsia="仿宋_GB2312"/>
          <w:szCs w:val="32"/>
        </w:rPr>
        <w:t>其中：国内接待费</w:t>
      </w:r>
      <w:r>
        <w:rPr>
          <w:rFonts w:hint="eastAsia" w:ascii="仿宋_GB2312" w:eastAsia="仿宋_GB2312"/>
          <w:szCs w:val="32"/>
          <w:lang w:val="en-US" w:eastAsia="zh-CN"/>
        </w:rPr>
        <w:t>0.37</w:t>
      </w:r>
      <w:r>
        <w:rPr>
          <w:rFonts w:hint="eastAsia" w:ascii="仿宋_GB2312" w:eastAsia="仿宋_GB2312"/>
          <w:szCs w:val="32"/>
        </w:rPr>
        <w:t>万元，主要用于</w:t>
      </w:r>
      <w:r>
        <w:rPr>
          <w:rFonts w:hint="eastAsia" w:ascii="仿宋_GB2312" w:eastAsia="仿宋_GB2312"/>
          <w:szCs w:val="32"/>
          <w:lang w:eastAsia="zh-CN"/>
        </w:rPr>
        <w:t>村振兴青岛行活动接待</w:t>
      </w:r>
      <w:r>
        <w:rPr>
          <w:rFonts w:hint="eastAsia" w:ascii="仿宋_GB2312" w:eastAsia="仿宋_GB2312"/>
          <w:szCs w:val="32"/>
        </w:rPr>
        <w:t>，共计接待</w:t>
      </w:r>
      <w:r>
        <w:rPr>
          <w:rFonts w:hint="eastAsia" w:ascii="仿宋_GB2312" w:eastAsia="仿宋_GB2312"/>
          <w:szCs w:val="32"/>
          <w:lang w:val="en-US" w:eastAsia="zh-CN"/>
        </w:rPr>
        <w:t>1</w:t>
      </w:r>
      <w:r>
        <w:rPr>
          <w:rFonts w:hint="eastAsia" w:ascii="仿宋_GB2312" w:eastAsia="仿宋_GB2312"/>
          <w:szCs w:val="32"/>
        </w:rPr>
        <w:t>批次、</w:t>
      </w:r>
      <w:r>
        <w:rPr>
          <w:rFonts w:hint="eastAsia" w:ascii="仿宋_GB2312" w:eastAsia="仿宋_GB2312"/>
          <w:szCs w:val="32"/>
          <w:lang w:val="en-US" w:eastAsia="zh-CN"/>
        </w:rPr>
        <w:t>45</w:t>
      </w:r>
      <w:r>
        <w:rPr>
          <w:rFonts w:hint="eastAsia" w:ascii="仿宋_GB2312" w:eastAsia="仿宋_GB2312"/>
          <w:szCs w:val="32"/>
        </w:rPr>
        <w:t>人次（含外事接待</w:t>
      </w:r>
      <w:r>
        <w:rPr>
          <w:rFonts w:hint="eastAsia" w:ascii="仿宋_GB2312" w:eastAsia="仿宋_GB2312"/>
          <w:szCs w:val="32"/>
          <w:lang w:val="en-US" w:eastAsia="zh-CN"/>
        </w:rPr>
        <w:t>0</w:t>
      </w:r>
      <w:r>
        <w:rPr>
          <w:rFonts w:hint="eastAsia" w:ascii="仿宋_GB2312" w:eastAsia="仿宋_GB2312"/>
          <w:szCs w:val="32"/>
        </w:rPr>
        <w:t>批次、</w:t>
      </w:r>
      <w:r>
        <w:rPr>
          <w:rFonts w:hint="eastAsia" w:ascii="仿宋_GB2312" w:eastAsia="仿宋_GB2312"/>
          <w:szCs w:val="32"/>
          <w:lang w:val="en-US" w:eastAsia="zh-CN"/>
        </w:rPr>
        <w:t>0</w:t>
      </w:r>
      <w:r>
        <w:rPr>
          <w:rFonts w:hint="eastAsia" w:ascii="仿宋_GB2312" w:eastAsia="仿宋_GB2312"/>
          <w:szCs w:val="32"/>
        </w:rPr>
        <w:t>人次）；国（境）外接待费</w:t>
      </w:r>
      <w:r>
        <w:rPr>
          <w:rFonts w:hint="eastAsia" w:ascii="仿宋_GB2312" w:eastAsia="仿宋_GB2312"/>
          <w:szCs w:val="32"/>
          <w:lang w:val="en-US" w:eastAsia="zh-CN"/>
        </w:rPr>
        <w:t>0</w:t>
      </w:r>
      <w:r>
        <w:rPr>
          <w:rFonts w:hint="eastAsia" w:ascii="仿宋_GB2312" w:eastAsia="仿宋_GB2312"/>
          <w:szCs w:val="32"/>
        </w:rPr>
        <w:t>万元。</w:t>
      </w:r>
    </w:p>
    <w:p>
      <w:pPr>
        <w:spacing w:line="580" w:lineRule="exact"/>
        <w:ind w:firstLine="640" w:firstLineChars="200"/>
        <w:rPr>
          <w:rFonts w:hint="eastAsia" w:ascii="黑体" w:hAnsi="黑体" w:eastAsia="黑体"/>
          <w:szCs w:val="32"/>
        </w:rPr>
      </w:pPr>
      <w:r>
        <w:rPr>
          <w:rFonts w:hint="eastAsia" w:ascii="黑体" w:hAnsi="黑体" w:eastAsia="黑体"/>
          <w:szCs w:val="32"/>
        </w:rPr>
        <w:t xml:space="preserve">十、其他重要事项情况说明 </w:t>
      </w:r>
    </w:p>
    <w:p>
      <w:pPr>
        <w:spacing w:line="580" w:lineRule="exact"/>
        <w:ind w:firstLine="640" w:firstLineChars="200"/>
        <w:rPr>
          <w:rFonts w:hint="eastAsia" w:ascii="楷体_GB2312" w:eastAsia="楷体_GB2312"/>
          <w:szCs w:val="32"/>
        </w:rPr>
      </w:pPr>
      <w:r>
        <w:rPr>
          <w:rFonts w:hint="eastAsia" w:ascii="楷体_GB2312" w:eastAsia="楷体_GB2312"/>
          <w:szCs w:val="32"/>
        </w:rPr>
        <w:t>（一）机关运行经费支出情况</w:t>
      </w:r>
    </w:p>
    <w:p>
      <w:pPr>
        <w:spacing w:line="580" w:lineRule="exact"/>
        <w:ind w:firstLine="640" w:firstLineChars="200"/>
        <w:rPr>
          <w:rFonts w:hint="eastAsia" w:ascii="仿宋_GB2312" w:hAnsi="宋体" w:eastAsia="仿宋_GB2312" w:cs="Courier New"/>
          <w:szCs w:val="32"/>
          <w:lang w:eastAsia="zh-CN"/>
        </w:rPr>
      </w:pPr>
      <w:r>
        <w:rPr>
          <w:rFonts w:hint="eastAsia" w:ascii="仿宋_GB2312" w:eastAsia="仿宋_GB2312"/>
          <w:szCs w:val="32"/>
        </w:rPr>
        <w:t>2023年度机关运行经费支出</w:t>
      </w:r>
      <w:r>
        <w:rPr>
          <w:rFonts w:hint="eastAsia" w:ascii="仿宋_GB2312" w:eastAsia="仿宋_GB2312"/>
          <w:szCs w:val="32"/>
          <w:lang w:val="en-US" w:eastAsia="zh-CN"/>
        </w:rPr>
        <w:t>154.36</w:t>
      </w:r>
      <w:r>
        <w:rPr>
          <w:rFonts w:hint="eastAsia" w:ascii="仿宋_GB2312" w:eastAsia="仿宋_GB2312"/>
          <w:szCs w:val="32"/>
        </w:rPr>
        <w:t>万元</w:t>
      </w:r>
      <w:r>
        <w:rPr>
          <w:rFonts w:hint="eastAsia" w:ascii="仿宋_GB2312" w:hAnsi="宋体" w:eastAsia="仿宋_GB2312" w:cs="Courier New"/>
          <w:szCs w:val="32"/>
        </w:rPr>
        <w:t>，与2023</w:t>
      </w:r>
      <w:r>
        <w:rPr>
          <w:rFonts w:hint="eastAsia" w:ascii="仿宋_GB2312" w:hAnsi="宋体" w:eastAsia="仿宋_GB2312" w:cs="Courier New"/>
          <w:szCs w:val="32"/>
        </w:rPr>
        <w:t>年初</w:t>
      </w:r>
      <w:r>
        <w:rPr>
          <w:rFonts w:hint="eastAsia" w:ascii="仿宋_GB2312" w:hAnsi="宋体" w:eastAsia="仿宋_GB2312" w:cs="Courier New"/>
          <w:szCs w:val="32"/>
        </w:rPr>
        <w:t>预算基本持平</w:t>
      </w:r>
      <w:r>
        <w:rPr>
          <w:rFonts w:hint="eastAsia" w:ascii="仿宋_GB2312" w:hAnsi="宋体" w:eastAsia="仿宋_GB2312" w:cs="Courier New"/>
          <w:szCs w:val="32"/>
          <w:lang w:eastAsia="zh-CN"/>
        </w:rPr>
        <w:t>。</w:t>
      </w:r>
    </w:p>
    <w:p>
      <w:pPr>
        <w:spacing w:line="580" w:lineRule="exact"/>
        <w:ind w:firstLine="640" w:firstLineChars="200"/>
        <w:rPr>
          <w:rFonts w:hint="eastAsia" w:ascii="楷体_GB2312" w:eastAsia="楷体_GB2312"/>
          <w:szCs w:val="32"/>
        </w:rPr>
      </w:pPr>
      <w:r>
        <w:rPr>
          <w:rFonts w:hint="eastAsia" w:ascii="楷体_GB2312" w:eastAsia="楷体_GB2312"/>
          <w:szCs w:val="32"/>
        </w:rPr>
        <w:t>（二）政府采购支出情况</w:t>
      </w:r>
    </w:p>
    <w:p>
      <w:pPr>
        <w:autoSpaceDE w:val="0"/>
        <w:autoSpaceDN w:val="0"/>
        <w:adjustRightInd w:val="0"/>
        <w:spacing w:line="580" w:lineRule="exact"/>
        <w:ind w:firstLine="640" w:firstLineChars="200"/>
        <w:jc w:val="left"/>
        <w:rPr>
          <w:rFonts w:hint="eastAsia" w:ascii="仿宋_GB2312" w:hAnsi="宋体" w:eastAsia="仿宋_GB2312" w:cs="Courier New"/>
          <w:szCs w:val="32"/>
        </w:rPr>
      </w:pPr>
      <w:r>
        <w:rPr>
          <w:rFonts w:hint="eastAsia" w:ascii="仿宋_GB2312" w:hAnsi="宋体" w:eastAsia="仿宋_GB2312" w:cs="Courier New"/>
          <w:szCs w:val="32"/>
        </w:rPr>
        <w:t>2023年度政府采购支出总额851.79万元，其中：政府采购货物支出594.18万元、政府采购工程支出239.87万元、政府采购服务支出17.73万元。授予中小企业合同金额832.77万元，占政府采购支出总额的</w:t>
      </w:r>
      <w:r>
        <w:rPr>
          <w:rFonts w:hint="eastAsia" w:ascii="仿宋_GB2312" w:hAnsi="宋体" w:eastAsia="仿宋_GB2312" w:cs="Courier New"/>
          <w:szCs w:val="32"/>
          <w:lang w:val="en-US" w:eastAsia="zh-CN"/>
        </w:rPr>
        <w:t>97.77</w:t>
      </w:r>
      <w:r>
        <w:rPr>
          <w:rFonts w:hint="eastAsia" w:ascii="仿宋_GB2312" w:hAnsi="宋体" w:eastAsia="仿宋_GB2312" w:cs="Courier New"/>
          <w:szCs w:val="32"/>
        </w:rPr>
        <w:t>%，其中：授予小微企业合同金额    587.63万元，占政府采购支出总额的</w:t>
      </w:r>
      <w:r>
        <w:rPr>
          <w:rFonts w:hint="eastAsia" w:ascii="仿宋_GB2312" w:hAnsi="宋体" w:eastAsia="仿宋_GB2312" w:cs="Courier New"/>
          <w:szCs w:val="32"/>
          <w:lang w:val="en-US" w:eastAsia="zh-CN"/>
        </w:rPr>
        <w:t>68.99</w:t>
      </w:r>
      <w:r>
        <w:rPr>
          <w:rFonts w:hint="eastAsia" w:ascii="仿宋_GB2312" w:hAnsi="宋体" w:eastAsia="仿宋_GB2312" w:cs="Courier New"/>
          <w:szCs w:val="32"/>
        </w:rPr>
        <w:t>%。货物采购授予中小企业合同金额占货物支出金额的</w:t>
      </w:r>
      <w:r>
        <w:rPr>
          <w:rFonts w:hint="eastAsia" w:ascii="仿宋_GB2312" w:hAnsi="宋体" w:eastAsia="仿宋_GB2312" w:cs="Courier New"/>
          <w:szCs w:val="32"/>
          <w:lang w:val="en-US" w:eastAsia="zh-CN"/>
        </w:rPr>
        <w:t>100</w:t>
      </w:r>
      <w:r>
        <w:rPr>
          <w:rFonts w:hint="eastAsia" w:ascii="仿宋_GB2312" w:hAnsi="宋体" w:eastAsia="仿宋_GB2312" w:cs="Courier New"/>
          <w:szCs w:val="32"/>
        </w:rPr>
        <w:t>%，工程采购授予中小企业合同金额占工程支出金额的</w:t>
      </w:r>
      <w:r>
        <w:rPr>
          <w:rFonts w:hint="eastAsia" w:ascii="仿宋_GB2312" w:hAnsi="宋体" w:eastAsia="仿宋_GB2312" w:cs="Courier New"/>
          <w:szCs w:val="32"/>
          <w:lang w:val="en-US" w:eastAsia="zh-CN"/>
        </w:rPr>
        <w:t>100</w:t>
      </w:r>
      <w:r>
        <w:rPr>
          <w:rFonts w:hint="eastAsia" w:ascii="仿宋_GB2312" w:hAnsi="宋体" w:eastAsia="仿宋_GB2312" w:cs="Courier New"/>
          <w:szCs w:val="32"/>
        </w:rPr>
        <w:t>%，服务采购授予中小企业合同金额占服务支出金额的</w:t>
      </w:r>
      <w:r>
        <w:rPr>
          <w:rFonts w:hint="eastAsia" w:ascii="仿宋_GB2312" w:hAnsi="宋体" w:eastAsia="仿宋_GB2312" w:cs="Courier New"/>
          <w:szCs w:val="32"/>
          <w:lang w:val="en-US" w:eastAsia="zh-CN"/>
        </w:rPr>
        <w:t>97.77</w:t>
      </w:r>
      <w:r>
        <w:rPr>
          <w:rFonts w:hint="eastAsia" w:ascii="仿宋_GB2312" w:hAnsi="宋体" w:eastAsia="仿宋_GB2312" w:cs="Courier New"/>
          <w:szCs w:val="32"/>
        </w:rPr>
        <w:t>%。</w:t>
      </w:r>
    </w:p>
    <w:p>
      <w:pPr>
        <w:spacing w:line="580" w:lineRule="exact"/>
        <w:ind w:firstLine="640" w:firstLineChars="200"/>
        <w:rPr>
          <w:rFonts w:hint="eastAsia" w:ascii="楷体_GB2312" w:eastAsia="楷体_GB2312"/>
          <w:szCs w:val="32"/>
        </w:rPr>
      </w:pPr>
      <w:r>
        <w:rPr>
          <w:rFonts w:hint="eastAsia" w:ascii="楷体_GB2312" w:eastAsia="楷体_GB2312"/>
          <w:szCs w:val="32"/>
        </w:rPr>
        <w:t>（三）国有资产占用情况</w:t>
      </w:r>
    </w:p>
    <w:p>
      <w:pPr>
        <w:spacing w:line="580" w:lineRule="exact"/>
        <w:ind w:firstLine="640" w:firstLineChars="200"/>
        <w:rPr>
          <w:rFonts w:hint="eastAsia" w:ascii="仿宋_GB2312" w:hAnsi="宋体" w:eastAsia="仿宋_GB2312" w:cs="Courier New"/>
          <w:szCs w:val="32"/>
        </w:rPr>
      </w:pPr>
      <w:r>
        <w:rPr>
          <w:rFonts w:hint="eastAsia" w:ascii="仿宋_GB2312" w:hAnsi="宋体" w:eastAsia="仿宋_GB2312" w:cs="Courier New"/>
          <w:szCs w:val="32"/>
        </w:rPr>
        <w:t>截至 2023年 12 月 31 日，本部门共有车辆</w:t>
      </w:r>
      <w:r>
        <w:rPr>
          <w:rFonts w:hint="eastAsia" w:ascii="仿宋_GB2312" w:hAnsi="宋体" w:eastAsia="仿宋_GB2312" w:cs="Courier New"/>
          <w:szCs w:val="32"/>
          <w:lang w:val="en-US" w:eastAsia="zh-CN"/>
        </w:rPr>
        <w:t>9</w:t>
      </w:r>
      <w:r>
        <w:rPr>
          <w:rFonts w:hint="eastAsia" w:ascii="仿宋_GB2312" w:hAnsi="宋体" w:eastAsia="仿宋_GB2312" w:cs="Courier New"/>
          <w:szCs w:val="32"/>
        </w:rPr>
        <w:t>辆，其中，符合规定领导干部用车</w:t>
      </w:r>
      <w:r>
        <w:rPr>
          <w:rFonts w:hint="eastAsia" w:ascii="仿宋_GB2312" w:hAnsi="宋体" w:eastAsia="仿宋_GB2312" w:cs="Courier New"/>
          <w:szCs w:val="32"/>
          <w:lang w:val="en-US" w:eastAsia="zh-CN"/>
        </w:rPr>
        <w:t>0</w:t>
      </w:r>
      <w:r>
        <w:rPr>
          <w:rFonts w:hint="eastAsia" w:ascii="仿宋_GB2312" w:hAnsi="宋体" w:eastAsia="仿宋_GB2312" w:cs="Courier New"/>
          <w:szCs w:val="32"/>
        </w:rPr>
        <w:t>辆、机要通信用车</w:t>
      </w:r>
      <w:r>
        <w:rPr>
          <w:rFonts w:hint="eastAsia" w:ascii="仿宋_GB2312" w:hAnsi="宋体" w:eastAsia="仿宋_GB2312" w:cs="Courier New"/>
          <w:szCs w:val="32"/>
          <w:lang w:val="en-US" w:eastAsia="zh-CN"/>
        </w:rPr>
        <w:t>2</w:t>
      </w:r>
      <w:r>
        <w:rPr>
          <w:rFonts w:hint="eastAsia" w:ascii="仿宋_GB2312" w:hAnsi="宋体" w:eastAsia="仿宋_GB2312" w:cs="Courier New"/>
          <w:szCs w:val="32"/>
        </w:rPr>
        <w:t>辆、应急保障用车</w:t>
      </w:r>
      <w:r>
        <w:rPr>
          <w:rFonts w:hint="eastAsia" w:ascii="仿宋_GB2312" w:hAnsi="宋体" w:eastAsia="仿宋_GB2312" w:cs="Courier New"/>
          <w:szCs w:val="32"/>
          <w:lang w:val="en-US" w:eastAsia="zh-CN"/>
        </w:rPr>
        <w:t>0</w:t>
      </w:r>
      <w:r>
        <w:rPr>
          <w:rFonts w:hint="eastAsia" w:ascii="仿宋_GB2312" w:hAnsi="宋体" w:eastAsia="仿宋_GB2312" w:cs="Courier New"/>
          <w:szCs w:val="32"/>
        </w:rPr>
        <w:t>辆、执法执勤用车</w:t>
      </w:r>
      <w:r>
        <w:rPr>
          <w:rFonts w:hint="eastAsia" w:ascii="仿宋_GB2312" w:hAnsi="宋体" w:eastAsia="仿宋_GB2312" w:cs="Courier New"/>
          <w:szCs w:val="32"/>
          <w:lang w:val="en-US" w:eastAsia="zh-CN"/>
        </w:rPr>
        <w:t>0</w:t>
      </w:r>
      <w:r>
        <w:rPr>
          <w:rFonts w:hint="eastAsia" w:ascii="仿宋_GB2312" w:hAnsi="宋体" w:eastAsia="仿宋_GB2312" w:cs="Courier New"/>
          <w:szCs w:val="32"/>
        </w:rPr>
        <w:t>辆、特种专业技术用车</w:t>
      </w:r>
      <w:r>
        <w:rPr>
          <w:rFonts w:hint="eastAsia" w:ascii="仿宋_GB2312" w:hAnsi="宋体" w:eastAsia="仿宋_GB2312" w:cs="Courier New"/>
          <w:szCs w:val="32"/>
          <w:lang w:val="en-US" w:eastAsia="zh-CN"/>
        </w:rPr>
        <w:t>3</w:t>
      </w:r>
      <w:r>
        <w:rPr>
          <w:rFonts w:hint="eastAsia" w:ascii="仿宋_GB2312" w:hAnsi="宋体" w:eastAsia="仿宋_GB2312" w:cs="Courier New"/>
          <w:szCs w:val="32"/>
        </w:rPr>
        <w:t>辆、离退休干部服务用车</w:t>
      </w:r>
      <w:r>
        <w:rPr>
          <w:rFonts w:hint="eastAsia" w:ascii="仿宋_GB2312" w:hAnsi="宋体" w:eastAsia="仿宋_GB2312" w:cs="Courier New"/>
          <w:szCs w:val="32"/>
          <w:lang w:val="en-US" w:eastAsia="zh-CN"/>
        </w:rPr>
        <w:t>0</w:t>
      </w:r>
      <w:r>
        <w:rPr>
          <w:rFonts w:hint="eastAsia" w:ascii="仿宋_GB2312" w:hAnsi="宋体" w:eastAsia="仿宋_GB2312" w:cs="Courier New"/>
          <w:szCs w:val="32"/>
        </w:rPr>
        <w:t>辆、其他用车</w:t>
      </w:r>
      <w:r>
        <w:rPr>
          <w:rFonts w:hint="eastAsia" w:ascii="仿宋_GB2312" w:hAnsi="宋体" w:eastAsia="仿宋_GB2312" w:cs="Courier New"/>
          <w:szCs w:val="32"/>
          <w:lang w:val="en-US" w:eastAsia="zh-CN"/>
        </w:rPr>
        <w:t>4</w:t>
      </w:r>
      <w:r>
        <w:rPr>
          <w:rFonts w:hint="eastAsia" w:ascii="仿宋_GB2312" w:hAnsi="宋体" w:eastAsia="仿宋_GB2312" w:cs="Courier New"/>
          <w:szCs w:val="32"/>
        </w:rPr>
        <w:t xml:space="preserve">辆，其他用车主要是其他公务出行用车；单位价值 100 万元（含）以上设备（不含车辆）      </w:t>
      </w:r>
      <w:r>
        <w:rPr>
          <w:rFonts w:hint="eastAsia" w:ascii="仿宋_GB2312" w:hAnsi="宋体" w:eastAsia="仿宋_GB2312" w:cs="Courier New"/>
          <w:szCs w:val="32"/>
          <w:lang w:val="en-US" w:eastAsia="zh-CN"/>
        </w:rPr>
        <w:t>2</w:t>
      </w:r>
      <w:r>
        <w:rPr>
          <w:rFonts w:hint="eastAsia" w:ascii="仿宋_GB2312" w:hAnsi="宋体" w:eastAsia="仿宋_GB2312" w:cs="Courier New"/>
          <w:szCs w:val="32"/>
        </w:rPr>
        <w:t>台（套）。</w:t>
      </w:r>
    </w:p>
    <w:p>
      <w:pPr>
        <w:spacing w:line="580" w:lineRule="exact"/>
        <w:ind w:firstLine="640" w:firstLineChars="200"/>
        <w:rPr>
          <w:rFonts w:ascii="黑体" w:hAnsi="黑体" w:eastAsia="黑体"/>
          <w:szCs w:val="32"/>
        </w:rPr>
      </w:pPr>
      <w:r>
        <w:rPr>
          <w:rFonts w:hint="eastAsia" w:ascii="黑体" w:hAnsi="黑体" w:eastAsia="黑体"/>
          <w:szCs w:val="32"/>
        </w:rPr>
        <w:t>十一、预算绩效情况说明</w:t>
      </w:r>
    </w:p>
    <w:p>
      <w:pPr>
        <w:pStyle w:val="22"/>
        <w:spacing w:line="580" w:lineRule="exact"/>
        <w:ind w:firstLine="515" w:firstLineChars="161"/>
        <w:jc w:val="both"/>
        <w:rPr>
          <w:rFonts w:hint="eastAsia" w:ascii="楷体_GB2312" w:eastAsia="楷体_GB2312"/>
          <w:bCs/>
          <w:kern w:val="0"/>
          <w:szCs w:val="32"/>
        </w:rPr>
      </w:pPr>
      <w:r>
        <w:rPr>
          <w:rFonts w:hint="eastAsia" w:ascii="楷体_GB2312" w:eastAsia="楷体_GB2312"/>
          <w:bCs/>
          <w:kern w:val="0"/>
          <w:szCs w:val="32"/>
        </w:rPr>
        <w:t>（一）预算绩效管理工作开展情况</w:t>
      </w:r>
    </w:p>
    <w:p>
      <w:pPr>
        <w:pStyle w:val="22"/>
        <w:spacing w:line="580" w:lineRule="exact"/>
        <w:ind w:firstLine="515" w:firstLineChars="161"/>
        <w:jc w:val="both"/>
        <w:rPr>
          <w:rFonts w:ascii="仿宋_GB2312" w:eastAsia="仿宋_GB2312"/>
          <w:color w:val="000000"/>
          <w:kern w:val="0"/>
          <w:szCs w:val="32"/>
        </w:rPr>
      </w:pPr>
      <w:r>
        <w:rPr>
          <w:rFonts w:hint="eastAsia" w:ascii="仿宋_GB2312" w:eastAsia="仿宋_GB2312"/>
          <w:kern w:val="0"/>
          <w:szCs w:val="32"/>
        </w:rPr>
        <w:t>根据预算绩效管理要求，</w:t>
      </w:r>
      <w:r>
        <w:rPr>
          <w:rFonts w:hint="eastAsia" w:ascii="仿宋_GB2312" w:eastAsia="仿宋_GB2312"/>
          <w:kern w:val="0"/>
          <w:szCs w:val="32"/>
          <w:lang w:eastAsia="zh-CN"/>
        </w:rPr>
        <w:t>即墨区龙泉街道</w:t>
      </w:r>
      <w:r>
        <w:rPr>
          <w:rFonts w:hint="eastAsia" w:ascii="仿宋_GB2312" w:eastAsia="仿宋_GB2312"/>
          <w:kern w:val="0"/>
          <w:szCs w:val="32"/>
        </w:rPr>
        <w:t>组织对2023年度</w:t>
      </w:r>
      <w:r>
        <w:rPr>
          <w:rFonts w:hint="eastAsia" w:ascii="仿宋_GB2312" w:eastAsia="仿宋_GB2312"/>
          <w:kern w:val="0"/>
          <w:szCs w:val="32"/>
          <w:lang w:eastAsia="zh-CN"/>
        </w:rPr>
        <w:t>区级</w:t>
      </w:r>
      <w:r>
        <w:rPr>
          <w:rFonts w:hint="eastAsia" w:ascii="仿宋_GB2312" w:eastAsia="仿宋_GB2312"/>
          <w:kern w:val="0"/>
          <w:szCs w:val="32"/>
        </w:rPr>
        <w:t>预算项目和中央、省</w:t>
      </w:r>
      <w:r>
        <w:rPr>
          <w:rFonts w:hint="eastAsia" w:ascii="仿宋_GB2312" w:eastAsia="仿宋_GB2312"/>
          <w:kern w:val="0"/>
          <w:szCs w:val="32"/>
          <w:lang w:eastAsia="zh-CN"/>
        </w:rPr>
        <w:t>、</w:t>
      </w:r>
      <w:r>
        <w:rPr>
          <w:rFonts w:hint="eastAsia" w:ascii="仿宋_GB2312" w:eastAsia="仿宋_GB2312"/>
          <w:kern w:val="0"/>
          <w:szCs w:val="32"/>
          <w:lang w:val="en-US" w:eastAsia="zh-CN"/>
        </w:rPr>
        <w:t>市</w:t>
      </w:r>
      <w:r>
        <w:rPr>
          <w:rFonts w:hint="eastAsia" w:ascii="仿宋_GB2312" w:eastAsia="仿宋_GB2312"/>
          <w:kern w:val="0"/>
          <w:szCs w:val="32"/>
        </w:rPr>
        <w:t>转移支付项目全面开展绩效自评。</w:t>
      </w:r>
      <w:r>
        <w:rPr>
          <w:rFonts w:hint="eastAsia" w:ascii="仿宋_GB2312" w:eastAsia="仿宋_GB2312"/>
          <w:kern w:val="0"/>
          <w:szCs w:val="32"/>
          <w:lang w:eastAsia="zh-CN"/>
        </w:rPr>
        <w:t>区级</w:t>
      </w:r>
      <w:r>
        <w:rPr>
          <w:rFonts w:hint="eastAsia" w:ascii="仿宋_GB2312" w:eastAsia="仿宋_GB2312"/>
          <w:kern w:val="0"/>
          <w:szCs w:val="32"/>
        </w:rPr>
        <w:t>预算项目</w:t>
      </w:r>
      <w:r>
        <w:rPr>
          <w:rFonts w:hint="eastAsia" w:ascii="仿宋_GB2312" w:eastAsia="仿宋_GB2312"/>
          <w:kern w:val="0"/>
          <w:szCs w:val="32"/>
          <w:lang w:val="en-US" w:eastAsia="zh-CN"/>
        </w:rPr>
        <w:t>8</w:t>
      </w:r>
      <w:r>
        <w:rPr>
          <w:rFonts w:hint="eastAsia" w:ascii="仿宋_GB2312" w:eastAsia="仿宋_GB2312"/>
          <w:kern w:val="0"/>
          <w:szCs w:val="32"/>
        </w:rPr>
        <w:t>个，涉及预算资金</w:t>
      </w:r>
      <w:r>
        <w:rPr>
          <w:rFonts w:hint="eastAsia" w:ascii="仿宋_GB2312" w:eastAsia="仿宋_GB2312"/>
          <w:kern w:val="0"/>
          <w:szCs w:val="32"/>
          <w:lang w:val="en-US" w:eastAsia="zh-CN"/>
        </w:rPr>
        <w:t>326.16</w:t>
      </w:r>
      <w:r>
        <w:rPr>
          <w:rFonts w:hint="eastAsia" w:ascii="仿宋_GB2312" w:eastAsia="仿宋_GB2312"/>
          <w:kern w:val="0"/>
          <w:szCs w:val="32"/>
        </w:rPr>
        <w:t>万元，占部门</w:t>
      </w:r>
      <w:r>
        <w:rPr>
          <w:rFonts w:hint="eastAsia" w:ascii="仿宋_GB2312" w:eastAsia="仿宋_GB2312"/>
          <w:kern w:val="0"/>
          <w:szCs w:val="32"/>
          <w:lang w:eastAsia="zh-CN"/>
        </w:rPr>
        <w:t>区级</w:t>
      </w:r>
      <w:r>
        <w:rPr>
          <w:rFonts w:hint="eastAsia" w:ascii="仿宋_GB2312" w:eastAsia="仿宋_GB2312"/>
          <w:kern w:val="0"/>
          <w:szCs w:val="32"/>
        </w:rPr>
        <w:t>预算项目支出总额的</w:t>
      </w:r>
      <w:r>
        <w:rPr>
          <w:rFonts w:hint="eastAsia" w:ascii="仿宋_GB2312" w:eastAsia="仿宋_GB2312"/>
          <w:kern w:val="0"/>
          <w:szCs w:val="32"/>
          <w:lang w:val="en-US" w:eastAsia="zh-CN"/>
        </w:rPr>
        <w:t>16.46</w:t>
      </w:r>
      <w:r>
        <w:rPr>
          <w:rFonts w:hint="eastAsia" w:ascii="仿宋_GB2312" w:eastAsia="仿宋_GB2312"/>
          <w:kern w:val="0"/>
          <w:szCs w:val="32"/>
        </w:rPr>
        <w:t>%。中央转移支付项目</w:t>
      </w:r>
      <w:r>
        <w:rPr>
          <w:rFonts w:hint="eastAsia" w:ascii="仿宋_GB2312" w:eastAsia="仿宋_GB2312"/>
          <w:kern w:val="0"/>
          <w:szCs w:val="32"/>
          <w:lang w:val="en-US" w:eastAsia="zh-CN"/>
        </w:rPr>
        <w:t>2</w:t>
      </w:r>
      <w:r>
        <w:rPr>
          <w:rFonts w:hint="eastAsia" w:ascii="仿宋_GB2312" w:eastAsia="仿宋_GB2312"/>
          <w:kern w:val="0"/>
          <w:szCs w:val="32"/>
        </w:rPr>
        <w:t>个，涉及预算资金</w:t>
      </w:r>
      <w:r>
        <w:rPr>
          <w:rFonts w:hint="eastAsia" w:ascii="仿宋_GB2312" w:eastAsia="仿宋_GB2312"/>
          <w:kern w:val="0"/>
          <w:szCs w:val="32"/>
          <w:lang w:val="en-US" w:eastAsia="zh-CN"/>
        </w:rPr>
        <w:t>260.37</w:t>
      </w:r>
      <w:r>
        <w:rPr>
          <w:rFonts w:hint="eastAsia" w:ascii="仿宋_GB2312" w:eastAsia="仿宋_GB2312"/>
          <w:kern w:val="0"/>
          <w:szCs w:val="32"/>
        </w:rPr>
        <w:t>万元。</w:t>
      </w:r>
      <w:r>
        <w:rPr>
          <w:rFonts w:hint="eastAsia" w:ascii="仿宋_GB2312" w:eastAsia="仿宋_GB2312"/>
          <w:color w:val="000000"/>
          <w:kern w:val="0"/>
          <w:szCs w:val="32"/>
        </w:rPr>
        <w:t>省转移支付项目</w:t>
      </w:r>
      <w:r>
        <w:rPr>
          <w:rFonts w:hint="eastAsia" w:ascii="仿宋_GB2312" w:eastAsia="仿宋_GB2312"/>
          <w:color w:val="000000"/>
          <w:kern w:val="0"/>
          <w:szCs w:val="32"/>
          <w:lang w:val="en-US" w:eastAsia="zh-CN"/>
        </w:rPr>
        <w:t>0</w:t>
      </w:r>
      <w:r>
        <w:rPr>
          <w:rFonts w:hint="eastAsia" w:ascii="仿宋_GB2312" w:eastAsia="仿宋_GB2312"/>
          <w:color w:val="000000"/>
          <w:kern w:val="0"/>
          <w:szCs w:val="32"/>
        </w:rPr>
        <w:t>个，涉及预算资金</w:t>
      </w:r>
      <w:r>
        <w:rPr>
          <w:rFonts w:hint="eastAsia" w:ascii="仿宋_GB2312" w:eastAsia="仿宋_GB2312"/>
          <w:color w:val="000000"/>
          <w:kern w:val="0"/>
          <w:szCs w:val="32"/>
          <w:lang w:val="en-US" w:eastAsia="zh-CN"/>
        </w:rPr>
        <w:t>0</w:t>
      </w:r>
      <w:r>
        <w:rPr>
          <w:rFonts w:hint="eastAsia" w:ascii="仿宋_GB2312" w:eastAsia="仿宋_GB2312"/>
          <w:color w:val="000000"/>
          <w:kern w:val="0"/>
          <w:szCs w:val="32"/>
        </w:rPr>
        <w:t>万元。</w:t>
      </w:r>
      <w:r>
        <w:rPr>
          <w:rFonts w:hint="eastAsia" w:ascii="仿宋_GB2312" w:eastAsia="仿宋_GB2312"/>
          <w:kern w:val="0"/>
          <w:szCs w:val="32"/>
        </w:rPr>
        <w:t>市转移支付项目</w:t>
      </w:r>
      <w:r>
        <w:rPr>
          <w:rFonts w:hint="eastAsia" w:ascii="仿宋_GB2312" w:eastAsia="仿宋_GB2312"/>
          <w:kern w:val="0"/>
          <w:szCs w:val="32"/>
          <w:lang w:val="en-US" w:eastAsia="zh-CN"/>
        </w:rPr>
        <w:t>4</w:t>
      </w:r>
      <w:r>
        <w:rPr>
          <w:rFonts w:hint="eastAsia" w:ascii="仿宋_GB2312" w:eastAsia="仿宋_GB2312"/>
          <w:kern w:val="0"/>
          <w:szCs w:val="32"/>
        </w:rPr>
        <w:t>个，涉及预算资金</w:t>
      </w:r>
      <w:r>
        <w:rPr>
          <w:rFonts w:hint="eastAsia" w:ascii="仿宋_GB2312" w:eastAsia="仿宋_GB2312"/>
          <w:kern w:val="0"/>
          <w:szCs w:val="32"/>
          <w:lang w:val="en-US" w:eastAsia="zh-CN"/>
        </w:rPr>
        <w:t>1395.19</w:t>
      </w:r>
      <w:r>
        <w:rPr>
          <w:rFonts w:hint="eastAsia" w:ascii="仿宋_GB2312" w:eastAsia="仿宋_GB2312"/>
          <w:kern w:val="0"/>
          <w:szCs w:val="32"/>
        </w:rPr>
        <w:t>万元</w:t>
      </w:r>
      <w:r>
        <w:rPr>
          <w:rFonts w:hint="eastAsia" w:ascii="仿宋_GB2312" w:eastAsia="仿宋_GB2312"/>
          <w:color w:val="000000"/>
          <w:kern w:val="0"/>
          <w:szCs w:val="32"/>
        </w:rPr>
        <w:t>。</w:t>
      </w:r>
    </w:p>
    <w:p>
      <w:pPr>
        <w:spacing w:line="580" w:lineRule="exact"/>
        <w:ind w:firstLine="640" w:firstLineChars="200"/>
        <w:rPr>
          <w:rFonts w:hint="eastAsia" w:ascii="仿宋_GB2312" w:eastAsia="仿宋_GB2312"/>
          <w:szCs w:val="32"/>
        </w:rPr>
      </w:pPr>
      <w:r>
        <w:rPr>
          <w:rFonts w:hint="eastAsia" w:ascii="仿宋_GB2312" w:eastAsia="仿宋_GB2312"/>
          <w:szCs w:val="32"/>
        </w:rPr>
        <w:t>组织对“2022年农村清洁取暖中央补贴资金”“2023年公益林生态绩效补偿资金”等</w:t>
      </w:r>
      <w:r>
        <w:rPr>
          <w:rFonts w:hint="eastAsia" w:ascii="仿宋_GB2312" w:eastAsia="仿宋_GB2312"/>
          <w:szCs w:val="32"/>
          <w:lang w:val="en-US" w:eastAsia="zh-CN"/>
        </w:rPr>
        <w:t>14</w:t>
      </w:r>
      <w:r>
        <w:rPr>
          <w:rFonts w:hint="eastAsia" w:ascii="仿宋_GB2312" w:eastAsia="仿宋_GB2312"/>
          <w:szCs w:val="32"/>
        </w:rPr>
        <w:t>个项目开展了部门评价，涉及预算资金</w:t>
      </w:r>
      <w:r>
        <w:rPr>
          <w:rFonts w:hint="eastAsia" w:ascii="仿宋_GB2312" w:eastAsia="仿宋_GB2312"/>
          <w:szCs w:val="32"/>
          <w:lang w:val="en-US" w:eastAsia="zh-CN"/>
        </w:rPr>
        <w:t>1981.71</w:t>
      </w:r>
      <w:r>
        <w:rPr>
          <w:rFonts w:hint="eastAsia" w:ascii="仿宋_GB2312" w:eastAsia="仿宋_GB2312"/>
          <w:szCs w:val="32"/>
        </w:rPr>
        <w:t>万元。</w:t>
      </w:r>
    </w:p>
    <w:p>
      <w:pPr>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（二）</w:t>
      </w:r>
      <w:r>
        <w:rPr>
          <w:rFonts w:hint="eastAsia" w:ascii="楷体_GB2312" w:eastAsia="楷体_GB2312"/>
          <w:bCs/>
          <w:kern w:val="0"/>
          <w:szCs w:val="32"/>
          <w:lang w:eastAsia="zh-CN"/>
        </w:rPr>
        <w:t>区级</w:t>
      </w:r>
      <w:r>
        <w:rPr>
          <w:rFonts w:hint="eastAsia" w:ascii="楷体_GB2312" w:eastAsia="楷体_GB2312"/>
          <w:bCs/>
          <w:kern w:val="0"/>
          <w:szCs w:val="32"/>
        </w:rPr>
        <w:t>预算项目绩效自评结果</w:t>
      </w:r>
    </w:p>
    <w:p>
      <w:pPr>
        <w:spacing w:line="580" w:lineRule="exact"/>
        <w:ind w:firstLine="640" w:firstLineChars="200"/>
        <w:rPr>
          <w:rFonts w:hint="eastAsia" w:ascii="仿宋_GB2312" w:eastAsia="仿宋_GB2312" w:cs="仿宋_GB2312"/>
          <w:szCs w:val="32"/>
        </w:rPr>
      </w:pPr>
      <w:r>
        <w:rPr>
          <w:rFonts w:hint="eastAsia" w:ascii="仿宋_GB2312" w:eastAsia="仿宋_GB2312"/>
          <w:szCs w:val="32"/>
          <w:lang w:eastAsia="zh-CN"/>
        </w:rPr>
        <w:t>即墨区龙泉街道</w:t>
      </w:r>
      <w:r>
        <w:rPr>
          <w:rFonts w:hint="eastAsia" w:ascii="仿宋_GB2312" w:eastAsia="仿宋_GB2312"/>
          <w:szCs w:val="32"/>
        </w:rPr>
        <w:t>2023年度</w:t>
      </w:r>
      <w:r>
        <w:rPr>
          <w:rFonts w:hint="eastAsia" w:ascii="仿宋_GB2312" w:eastAsia="仿宋_GB2312"/>
          <w:szCs w:val="32"/>
          <w:lang w:eastAsia="zh-CN"/>
        </w:rPr>
        <w:t>区级</w:t>
      </w:r>
      <w:r>
        <w:rPr>
          <w:rFonts w:hint="eastAsia" w:ascii="仿宋_GB2312" w:eastAsia="仿宋_GB2312"/>
          <w:szCs w:val="32"/>
        </w:rPr>
        <w:t>预算项目绩效自评的</w:t>
      </w:r>
      <w:r>
        <w:rPr>
          <w:rFonts w:hint="eastAsia" w:ascii="仿宋_GB2312" w:eastAsia="仿宋_GB2312"/>
          <w:szCs w:val="32"/>
          <w:lang w:val="en-US" w:eastAsia="zh-CN"/>
        </w:rPr>
        <w:t>8</w:t>
      </w:r>
      <w:r>
        <w:rPr>
          <w:rFonts w:hint="eastAsia" w:ascii="仿宋_GB2312" w:eastAsia="仿宋_GB2312"/>
          <w:szCs w:val="32"/>
        </w:rPr>
        <w:t>个项目中，</w:t>
      </w:r>
      <w:r>
        <w:rPr>
          <w:rFonts w:hint="eastAsia" w:ascii="仿宋_GB2312" w:eastAsia="仿宋_GB2312"/>
          <w:szCs w:val="32"/>
          <w:lang w:val="en-US" w:eastAsia="zh-CN"/>
        </w:rPr>
        <w:t>7</w:t>
      </w:r>
      <w:r>
        <w:rPr>
          <w:rFonts w:hint="eastAsia" w:ascii="仿宋_GB2312" w:eastAsia="仿宋_GB2312"/>
          <w:szCs w:val="32"/>
        </w:rPr>
        <w:t>个项目自评等级为“优”，</w:t>
      </w:r>
      <w:r>
        <w:rPr>
          <w:rFonts w:hint="eastAsia" w:ascii="仿宋_GB2312" w:eastAsia="仿宋_GB2312"/>
          <w:szCs w:val="32"/>
          <w:lang w:val="en-US" w:eastAsia="zh-CN"/>
        </w:rPr>
        <w:t>1</w:t>
      </w:r>
      <w:r>
        <w:rPr>
          <w:rFonts w:hint="eastAsia" w:ascii="仿宋_GB2312" w:eastAsia="仿宋_GB2312"/>
          <w:szCs w:val="32"/>
        </w:rPr>
        <w:t>个项目自评等级为“良”。</w:t>
      </w:r>
      <w:r>
        <w:rPr>
          <w:rFonts w:hint="eastAsia" w:ascii="仿宋_GB2312" w:eastAsia="仿宋_GB2312" w:cs="仿宋_GB2312"/>
          <w:szCs w:val="32"/>
        </w:rPr>
        <w:t>从自评情况看，项目支出绩效管理的重视程度进一步提升，大部分项目有序开展，执行和完成情况较好，资金使用比较规范，但也存在部分项目绩效目标值不明晰、项目实施进展慢等问题。</w:t>
      </w:r>
    </w:p>
    <w:p>
      <w:pPr>
        <w:spacing w:line="580" w:lineRule="exact"/>
        <w:ind w:firstLine="640" w:firstLineChars="200"/>
        <w:rPr>
          <w:rFonts w:hint="eastAsia" w:ascii="仿宋_GB2312" w:eastAsia="仿宋_GB2312"/>
          <w:szCs w:val="32"/>
        </w:rPr>
      </w:pPr>
      <w:r>
        <w:rPr>
          <w:rFonts w:hint="eastAsia" w:ascii="仿宋_GB2312" w:eastAsia="仿宋_GB2312"/>
          <w:szCs w:val="32"/>
        </w:rPr>
        <w:t>今年在部门决算中反映了2023年度全部</w:t>
      </w:r>
      <w:r>
        <w:rPr>
          <w:rFonts w:hint="eastAsia" w:ascii="仿宋_GB2312" w:eastAsia="仿宋_GB2312"/>
          <w:szCs w:val="32"/>
          <w:lang w:eastAsia="zh-CN"/>
        </w:rPr>
        <w:t>区级</w:t>
      </w:r>
      <w:r>
        <w:rPr>
          <w:rFonts w:hint="eastAsia" w:ascii="仿宋_GB2312" w:eastAsia="仿宋_GB2312"/>
          <w:szCs w:val="32"/>
        </w:rPr>
        <w:t>预算项目绩效自评结果，以及“落实公办及集体幼儿园非公办教职工待遇”“永久基本农田非耕地整改奖补资金”等</w:t>
      </w:r>
      <w:r>
        <w:rPr>
          <w:rFonts w:hint="eastAsia" w:ascii="仿宋_GB2312" w:eastAsia="仿宋_GB2312"/>
          <w:szCs w:val="32"/>
          <w:lang w:val="en-US" w:eastAsia="zh-CN"/>
        </w:rPr>
        <w:t>8</w:t>
      </w:r>
      <w:r>
        <w:rPr>
          <w:rFonts w:hint="eastAsia" w:ascii="仿宋_GB2312" w:eastAsia="仿宋_GB2312"/>
          <w:szCs w:val="32"/>
        </w:rPr>
        <w:t>个项目的绩效自评表。</w:t>
      </w:r>
    </w:p>
    <w:p>
      <w:pPr>
        <w:spacing w:line="620" w:lineRule="exact"/>
        <w:ind w:firstLine="640" w:firstLineChars="200"/>
        <w:rPr>
          <w:rFonts w:hint="eastAsia" w:ascii="楷体" w:hAnsi="楷体" w:eastAsia="楷体" w:cs="楷体"/>
          <w:bCs/>
          <w:sz w:val="32"/>
          <w:szCs w:val="32"/>
        </w:rPr>
      </w:pPr>
      <w:r>
        <w:rPr>
          <w:rFonts w:hint="eastAsia" w:ascii="仿宋_GB2312" w:eastAsia="仿宋_GB2312"/>
          <w:szCs w:val="32"/>
        </w:rPr>
        <w:t>1.永久基本农田非耕地整改奖补资金项目绩效自评综述：根据年初设定的绩效目标，项目自评得分为</w:t>
      </w:r>
      <w:r>
        <w:rPr>
          <w:rFonts w:hint="eastAsia" w:ascii="仿宋_GB2312" w:eastAsia="仿宋_GB2312"/>
          <w:szCs w:val="32"/>
          <w:lang w:val="en-US" w:eastAsia="zh-CN"/>
        </w:rPr>
        <w:t>100</w:t>
      </w:r>
      <w:r>
        <w:rPr>
          <w:rFonts w:hint="eastAsia" w:ascii="仿宋_GB2312" w:eastAsia="仿宋_GB2312"/>
          <w:szCs w:val="32"/>
        </w:rPr>
        <w:t>分。全年预算数为</w:t>
      </w:r>
      <w:r>
        <w:rPr>
          <w:rFonts w:hint="eastAsia" w:ascii="仿宋_GB2312" w:eastAsia="仿宋_GB2312"/>
          <w:szCs w:val="32"/>
          <w:lang w:val="en-US" w:eastAsia="zh-CN"/>
        </w:rPr>
        <w:t>37.9235</w:t>
      </w:r>
      <w:r>
        <w:rPr>
          <w:rFonts w:hint="eastAsia" w:ascii="仿宋_GB2312" w:eastAsia="仿宋_GB2312"/>
          <w:szCs w:val="32"/>
        </w:rPr>
        <w:t>万元，执行数为</w:t>
      </w:r>
      <w:r>
        <w:rPr>
          <w:rFonts w:hint="eastAsia" w:ascii="仿宋_GB2312" w:eastAsia="仿宋_GB2312"/>
          <w:szCs w:val="32"/>
          <w:lang w:val="en-US" w:eastAsia="zh-CN"/>
        </w:rPr>
        <w:t>37.9235</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spacing w:line="58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eastAsia="仿宋_GB2312"/>
          <w:szCs w:val="32"/>
        </w:rPr>
        <w:t>2.</w:t>
      </w:r>
      <w:r>
        <w:rPr>
          <w:rFonts w:hint="eastAsia" w:ascii="仿宋_GB2312" w:eastAsia="仿宋_GB2312"/>
          <w:szCs w:val="32"/>
          <w:lang w:val="en-US" w:eastAsia="zh-CN"/>
        </w:rPr>
        <w:t>2023年度龙泉街道段村修家街小型公益性基础设施</w:t>
      </w:r>
      <w:r>
        <w:rPr>
          <w:rFonts w:hint="eastAsia" w:ascii="仿宋_GB2312" w:eastAsia="仿宋_GB2312"/>
          <w:szCs w:val="32"/>
        </w:rPr>
        <w:t>项目绩效自评综述：根据年初设定的绩效目标，项目自评得分为</w:t>
      </w:r>
      <w:r>
        <w:rPr>
          <w:rFonts w:hint="eastAsia" w:ascii="仿宋_GB2312" w:eastAsia="仿宋_GB2312"/>
          <w:szCs w:val="32"/>
          <w:lang w:val="en-US" w:eastAsia="zh-CN"/>
        </w:rPr>
        <w:t>100</w:t>
      </w:r>
      <w:r>
        <w:rPr>
          <w:rFonts w:hint="eastAsia" w:ascii="仿宋_GB2312" w:eastAsia="仿宋_GB2312"/>
          <w:szCs w:val="32"/>
        </w:rPr>
        <w:t>分。全年预算数为49.863525万元，执行数为49.863525万元，完成预算的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r>
        <w:rPr>
          <w:rFonts w:hint="eastAsia" w:ascii="仿宋_GB2312" w:hAnsi="仿宋_GB2312" w:eastAsia="仿宋_GB2312" w:cs="仿宋_GB2312"/>
          <w:bCs/>
          <w:sz w:val="32"/>
          <w:szCs w:val="32"/>
          <w:lang w:val="en-US" w:eastAsia="zh-CN"/>
        </w:rPr>
        <w:t xml:space="preserve">   </w:t>
      </w:r>
    </w:p>
    <w:p>
      <w:pPr>
        <w:numPr>
          <w:ilvl w:val="0"/>
          <w:numId w:val="2"/>
        </w:numPr>
        <w:spacing w:line="580" w:lineRule="exact"/>
        <w:ind w:firstLine="640" w:firstLineChars="200"/>
        <w:rPr>
          <w:rFonts w:hint="eastAsia" w:ascii="仿宋_GB2312" w:hAnsi="仿宋_GB2312" w:eastAsia="仿宋_GB2312" w:cs="仿宋_GB2312"/>
          <w:bCs/>
          <w:sz w:val="32"/>
          <w:szCs w:val="32"/>
          <w:lang w:eastAsia="zh-CN"/>
        </w:rPr>
      </w:pPr>
      <w:r>
        <w:rPr>
          <w:rFonts w:hint="eastAsia" w:ascii="仿宋_GB2312" w:eastAsia="仿宋_GB2312"/>
          <w:szCs w:val="32"/>
        </w:rPr>
        <w:t>政府投资项目-空中缆线整治上半年奖补资金项目绩效自评综述：根据年初设定的绩效目标，项目自评得分为</w:t>
      </w:r>
      <w:r>
        <w:rPr>
          <w:rFonts w:hint="eastAsia" w:ascii="仿宋_GB2312" w:eastAsia="仿宋_GB2312"/>
          <w:szCs w:val="32"/>
          <w:lang w:val="en-US" w:eastAsia="zh-CN"/>
        </w:rPr>
        <w:t>90</w:t>
      </w:r>
      <w:r>
        <w:rPr>
          <w:rFonts w:hint="eastAsia" w:ascii="仿宋_GB2312" w:eastAsia="仿宋_GB2312"/>
          <w:szCs w:val="32"/>
        </w:rPr>
        <w:t>分。全年预算数为</w:t>
      </w:r>
      <w:r>
        <w:rPr>
          <w:rFonts w:hint="eastAsia" w:ascii="仿宋_GB2312" w:eastAsia="仿宋_GB2312"/>
          <w:szCs w:val="32"/>
          <w:lang w:val="en-US" w:eastAsia="zh-CN"/>
        </w:rPr>
        <w:t>4.17</w:t>
      </w:r>
      <w:r>
        <w:rPr>
          <w:rFonts w:hint="eastAsia" w:ascii="仿宋_GB2312" w:eastAsia="仿宋_GB2312"/>
          <w:szCs w:val="32"/>
        </w:rPr>
        <w:t>万元，执行数为</w:t>
      </w:r>
      <w:r>
        <w:rPr>
          <w:rFonts w:hint="eastAsia" w:ascii="仿宋_GB2312" w:eastAsia="仿宋_GB2312"/>
          <w:szCs w:val="32"/>
          <w:lang w:val="en-US" w:eastAsia="zh-CN"/>
        </w:rPr>
        <w:t>4.17</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numPr>
          <w:ilvl w:val="0"/>
          <w:numId w:val="2"/>
        </w:numPr>
        <w:spacing w:line="580" w:lineRule="exact"/>
        <w:ind w:firstLine="640" w:firstLineChars="200"/>
        <w:rPr>
          <w:rFonts w:hint="eastAsia" w:ascii="仿宋_GB2312" w:eastAsia="仿宋_GB2312"/>
          <w:szCs w:val="32"/>
        </w:rPr>
      </w:pPr>
      <w:r>
        <w:rPr>
          <w:rFonts w:hint="eastAsia" w:ascii="仿宋_GB2312" w:eastAsia="仿宋_GB2312"/>
          <w:szCs w:val="32"/>
        </w:rPr>
        <w:t>2022年下半年农村改厕管护补贴资金项目绩效自评综述：根据年初设定的绩效目标，项目自评得分为</w:t>
      </w:r>
      <w:r>
        <w:rPr>
          <w:rFonts w:hint="eastAsia" w:ascii="仿宋_GB2312" w:eastAsia="仿宋_GB2312"/>
          <w:szCs w:val="32"/>
          <w:lang w:val="en-US" w:eastAsia="zh-CN"/>
        </w:rPr>
        <w:t>90</w:t>
      </w:r>
      <w:r>
        <w:rPr>
          <w:rFonts w:hint="eastAsia" w:ascii="仿宋_GB2312" w:eastAsia="仿宋_GB2312"/>
          <w:szCs w:val="32"/>
        </w:rPr>
        <w:t>分。全年预算数为</w:t>
      </w:r>
      <w:r>
        <w:rPr>
          <w:rFonts w:hint="eastAsia" w:ascii="仿宋_GB2312" w:eastAsia="仿宋_GB2312"/>
          <w:szCs w:val="32"/>
          <w:lang w:val="en-US" w:eastAsia="zh-CN"/>
        </w:rPr>
        <w:t>16.09</w:t>
      </w:r>
      <w:r>
        <w:rPr>
          <w:rFonts w:hint="eastAsia" w:ascii="仿宋_GB2312" w:eastAsia="仿宋_GB2312"/>
          <w:szCs w:val="32"/>
        </w:rPr>
        <w:t>万元，执行数为</w:t>
      </w:r>
      <w:r>
        <w:rPr>
          <w:rFonts w:hint="eastAsia" w:ascii="仿宋_GB2312" w:eastAsia="仿宋_GB2312"/>
          <w:szCs w:val="32"/>
          <w:lang w:val="en-US" w:eastAsia="zh-CN"/>
        </w:rPr>
        <w:t>0</w:t>
      </w:r>
      <w:r>
        <w:rPr>
          <w:rFonts w:hint="eastAsia" w:ascii="仿宋_GB2312" w:eastAsia="仿宋_GB2312"/>
          <w:szCs w:val="32"/>
        </w:rPr>
        <w:t>万元，完成预算的</w:t>
      </w:r>
      <w:r>
        <w:rPr>
          <w:rFonts w:hint="eastAsia" w:ascii="仿宋_GB2312" w:eastAsia="仿宋_GB2312"/>
          <w:szCs w:val="32"/>
          <w:lang w:val="en-US" w:eastAsia="zh-CN"/>
        </w:rPr>
        <w:t>0</w:t>
      </w:r>
      <w:r>
        <w:rPr>
          <w:rFonts w:hint="eastAsia" w:ascii="仿宋_GB2312" w:eastAsia="仿宋_GB2312"/>
          <w:szCs w:val="32"/>
        </w:rPr>
        <w:t>%。</w:t>
      </w:r>
      <w:r>
        <w:rPr>
          <w:rFonts w:hint="eastAsia" w:ascii="仿宋_GB2312" w:eastAsia="仿宋_GB2312"/>
          <w:szCs w:val="32"/>
          <w:lang w:val="en-US" w:eastAsia="zh-CN"/>
        </w:rPr>
        <w:t>2024年已支付。</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numPr>
          <w:ilvl w:val="0"/>
          <w:numId w:val="2"/>
        </w:numPr>
        <w:spacing w:line="580" w:lineRule="exact"/>
        <w:ind w:firstLine="640" w:firstLineChars="200"/>
        <w:rPr>
          <w:rFonts w:hint="eastAsia" w:ascii="仿宋_GB2312" w:eastAsia="仿宋_GB2312"/>
          <w:szCs w:val="32"/>
        </w:rPr>
      </w:pPr>
      <w:r>
        <w:rPr>
          <w:rFonts w:hint="eastAsia" w:ascii="仿宋_GB2312" w:eastAsia="仿宋_GB2312"/>
          <w:szCs w:val="32"/>
        </w:rPr>
        <w:t>2022年-2023年上半年部分农村人居环境整治提升奖补项目绩效自评综述：根据年初设定的绩效目标，项目自评得分为</w:t>
      </w:r>
      <w:r>
        <w:rPr>
          <w:rFonts w:hint="eastAsia" w:ascii="仿宋_GB2312" w:eastAsia="仿宋_GB2312"/>
          <w:szCs w:val="32"/>
          <w:lang w:val="en-US" w:eastAsia="zh-CN"/>
        </w:rPr>
        <w:t>90</w:t>
      </w:r>
      <w:r>
        <w:rPr>
          <w:rFonts w:hint="eastAsia" w:ascii="仿宋_GB2312" w:eastAsia="仿宋_GB2312"/>
          <w:szCs w:val="32"/>
        </w:rPr>
        <w:t>分。全年预算数为</w:t>
      </w:r>
      <w:r>
        <w:rPr>
          <w:rFonts w:hint="eastAsia" w:ascii="仿宋_GB2312" w:eastAsia="仿宋_GB2312"/>
          <w:szCs w:val="32"/>
          <w:lang w:val="en-US" w:eastAsia="zh-CN"/>
        </w:rPr>
        <w:t>20</w:t>
      </w:r>
      <w:r>
        <w:rPr>
          <w:rFonts w:hint="eastAsia" w:ascii="仿宋_GB2312" w:eastAsia="仿宋_GB2312"/>
          <w:szCs w:val="32"/>
        </w:rPr>
        <w:t>万元，执行数为</w:t>
      </w:r>
      <w:r>
        <w:rPr>
          <w:rFonts w:hint="eastAsia" w:ascii="仿宋_GB2312" w:eastAsia="仿宋_GB2312"/>
          <w:szCs w:val="32"/>
          <w:lang w:val="en-US" w:eastAsia="zh-CN"/>
        </w:rPr>
        <w:t>0</w:t>
      </w:r>
      <w:r>
        <w:rPr>
          <w:rFonts w:hint="eastAsia" w:ascii="仿宋_GB2312" w:eastAsia="仿宋_GB2312"/>
          <w:szCs w:val="32"/>
        </w:rPr>
        <w:t>万元，完成预算的</w:t>
      </w:r>
      <w:r>
        <w:rPr>
          <w:rFonts w:hint="eastAsia" w:ascii="仿宋_GB2312" w:eastAsia="仿宋_GB2312"/>
          <w:szCs w:val="32"/>
          <w:lang w:val="en-US" w:eastAsia="zh-CN"/>
        </w:rPr>
        <w:t>0</w:t>
      </w:r>
      <w:r>
        <w:rPr>
          <w:rFonts w:hint="eastAsia" w:ascii="仿宋_GB2312" w:eastAsia="仿宋_GB2312"/>
          <w:szCs w:val="32"/>
        </w:rPr>
        <w:t>%。</w:t>
      </w:r>
      <w:r>
        <w:rPr>
          <w:rFonts w:hint="eastAsia" w:ascii="仿宋_GB2312" w:eastAsia="仿宋_GB2312"/>
          <w:szCs w:val="32"/>
          <w:lang w:val="en-US" w:eastAsia="zh-CN"/>
        </w:rPr>
        <w:t>2024年已支付。</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numPr>
          <w:ilvl w:val="0"/>
          <w:numId w:val="2"/>
        </w:num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农村综合改革转移支付</w:t>
      </w:r>
      <w:r>
        <w:rPr>
          <w:rFonts w:hint="eastAsia" w:ascii="仿宋_GB2312" w:eastAsia="仿宋_GB2312"/>
          <w:szCs w:val="32"/>
        </w:rPr>
        <w:t>项目绩效自评综述：根据年初设定的绩效目标，项目自评得分为</w:t>
      </w:r>
      <w:r>
        <w:rPr>
          <w:rFonts w:hint="eastAsia" w:ascii="仿宋_GB2312" w:eastAsia="仿宋_GB2312"/>
          <w:szCs w:val="32"/>
          <w:lang w:val="en-US" w:eastAsia="zh-CN"/>
        </w:rPr>
        <w:t>100</w:t>
      </w:r>
      <w:r>
        <w:rPr>
          <w:rFonts w:hint="eastAsia" w:ascii="仿宋_GB2312" w:eastAsia="仿宋_GB2312"/>
          <w:szCs w:val="32"/>
        </w:rPr>
        <w:t>分。全年预算数为</w:t>
      </w:r>
      <w:r>
        <w:rPr>
          <w:rFonts w:hint="eastAsia" w:ascii="仿宋_GB2312" w:eastAsia="仿宋_GB2312"/>
          <w:szCs w:val="32"/>
          <w:lang w:val="en-US" w:eastAsia="zh-CN"/>
        </w:rPr>
        <w:t>29</w:t>
      </w:r>
      <w:r>
        <w:rPr>
          <w:rFonts w:hint="eastAsia" w:ascii="仿宋_GB2312" w:eastAsia="仿宋_GB2312"/>
          <w:szCs w:val="32"/>
        </w:rPr>
        <w:t>万元，执行数为</w:t>
      </w:r>
      <w:r>
        <w:rPr>
          <w:rFonts w:hint="eastAsia" w:ascii="仿宋_GB2312" w:eastAsia="仿宋_GB2312"/>
          <w:szCs w:val="32"/>
          <w:lang w:val="en-US" w:eastAsia="zh-CN"/>
        </w:rPr>
        <w:t>29</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numPr>
          <w:ilvl w:val="0"/>
          <w:numId w:val="2"/>
        </w:numPr>
        <w:spacing w:line="580" w:lineRule="exact"/>
        <w:ind w:firstLine="640" w:firstLineChars="200"/>
        <w:rPr>
          <w:rFonts w:hint="eastAsia" w:ascii="仿宋_GB2312" w:eastAsia="仿宋_GB2312"/>
          <w:szCs w:val="32"/>
        </w:rPr>
      </w:pPr>
      <w:r>
        <w:rPr>
          <w:rFonts w:hint="eastAsia" w:ascii="仿宋_GB2312" w:eastAsia="仿宋_GB2312"/>
          <w:szCs w:val="32"/>
        </w:rPr>
        <w:t>落实公办及集体幼儿园非公办教职工待遇项目绩效自评综述：根据年初设定的绩效目标，项目自评得分为</w:t>
      </w:r>
      <w:r>
        <w:rPr>
          <w:rFonts w:hint="eastAsia" w:ascii="仿宋_GB2312" w:eastAsia="仿宋_GB2312"/>
          <w:szCs w:val="32"/>
          <w:lang w:val="en-US" w:eastAsia="zh-CN"/>
        </w:rPr>
        <w:t>100</w:t>
      </w:r>
      <w:r>
        <w:rPr>
          <w:rFonts w:hint="eastAsia" w:ascii="仿宋_GB2312" w:eastAsia="仿宋_GB2312"/>
          <w:szCs w:val="32"/>
        </w:rPr>
        <w:t>分。全年预算数为</w:t>
      </w:r>
      <w:r>
        <w:rPr>
          <w:rFonts w:hint="eastAsia" w:ascii="仿宋_GB2312" w:eastAsia="仿宋_GB2312"/>
          <w:szCs w:val="32"/>
          <w:lang w:val="en-US" w:eastAsia="zh-CN"/>
        </w:rPr>
        <w:t>150.8</w:t>
      </w:r>
      <w:r>
        <w:rPr>
          <w:rFonts w:hint="eastAsia" w:ascii="仿宋_GB2312" w:eastAsia="仿宋_GB2312"/>
          <w:szCs w:val="32"/>
        </w:rPr>
        <w:t>万元，执行数为</w:t>
      </w:r>
      <w:r>
        <w:rPr>
          <w:rFonts w:hint="eastAsia" w:ascii="仿宋_GB2312" w:eastAsia="仿宋_GB2312"/>
          <w:szCs w:val="32"/>
          <w:lang w:val="en-US" w:eastAsia="zh-CN"/>
        </w:rPr>
        <w:t>150.8</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numPr>
          <w:ilvl w:val="0"/>
          <w:numId w:val="2"/>
        </w:numPr>
        <w:spacing w:line="580" w:lineRule="exact"/>
        <w:ind w:firstLine="640" w:firstLineChars="200"/>
        <w:rPr>
          <w:rFonts w:hint="eastAsia" w:ascii="仿宋_GB2312" w:eastAsia="仿宋_GB2312"/>
          <w:szCs w:val="32"/>
        </w:rPr>
      </w:pPr>
      <w:r>
        <w:rPr>
          <w:rFonts w:hint="eastAsia" w:ascii="仿宋_GB2312" w:eastAsia="仿宋_GB2312"/>
          <w:szCs w:val="32"/>
        </w:rPr>
        <w:t>城市社区党组织服务群众项目绩效自评综述：根据年初设定的绩效目标，项目自评得分为</w:t>
      </w:r>
      <w:r>
        <w:rPr>
          <w:rFonts w:hint="eastAsia" w:ascii="仿宋_GB2312" w:eastAsia="仿宋_GB2312"/>
          <w:szCs w:val="32"/>
          <w:lang w:val="en-US" w:eastAsia="zh-CN"/>
        </w:rPr>
        <w:t>80</w:t>
      </w:r>
      <w:r>
        <w:rPr>
          <w:rFonts w:hint="eastAsia" w:ascii="仿宋_GB2312" w:eastAsia="仿宋_GB2312"/>
          <w:szCs w:val="32"/>
        </w:rPr>
        <w:t>分。全年预算数为</w:t>
      </w:r>
      <w:r>
        <w:rPr>
          <w:rFonts w:hint="eastAsia" w:ascii="仿宋_GB2312" w:eastAsia="仿宋_GB2312"/>
          <w:szCs w:val="32"/>
          <w:lang w:val="en-US" w:eastAsia="zh-CN"/>
        </w:rPr>
        <w:t>20</w:t>
      </w:r>
      <w:r>
        <w:rPr>
          <w:rFonts w:hint="eastAsia" w:ascii="仿宋_GB2312" w:eastAsia="仿宋_GB2312"/>
          <w:szCs w:val="32"/>
        </w:rPr>
        <w:t>万元，执行数为</w:t>
      </w:r>
      <w:r>
        <w:rPr>
          <w:rFonts w:hint="eastAsia" w:ascii="仿宋_GB2312" w:eastAsia="仿宋_GB2312"/>
          <w:szCs w:val="32"/>
          <w:lang w:val="en-US" w:eastAsia="zh-CN"/>
        </w:rPr>
        <w:t>0</w:t>
      </w:r>
      <w:r>
        <w:rPr>
          <w:rFonts w:hint="eastAsia" w:ascii="仿宋_GB2312" w:eastAsia="仿宋_GB2312"/>
          <w:szCs w:val="32"/>
        </w:rPr>
        <w:t>万元，完成预算的</w:t>
      </w:r>
      <w:r>
        <w:rPr>
          <w:rFonts w:hint="eastAsia" w:ascii="仿宋_GB2312" w:eastAsia="仿宋_GB2312"/>
          <w:szCs w:val="32"/>
          <w:lang w:val="en-US" w:eastAsia="zh-CN"/>
        </w:rPr>
        <w:t>0</w:t>
      </w:r>
      <w:r>
        <w:rPr>
          <w:rFonts w:hint="eastAsia" w:ascii="仿宋_GB2312" w:eastAsia="仿宋_GB2312"/>
          <w:szCs w:val="32"/>
        </w:rPr>
        <w:t>%。项目绩效目标完成情况：</w:t>
      </w:r>
      <w:r>
        <w:rPr>
          <w:rFonts w:hint="eastAsia" w:ascii="仿宋_GB2312" w:hAnsi="仿宋_GB2312" w:eastAsia="仿宋_GB2312" w:cs="仿宋_GB2312"/>
          <w:bCs/>
          <w:sz w:val="32"/>
          <w:szCs w:val="32"/>
          <w:lang w:eastAsia="zh-CN"/>
        </w:rPr>
        <w:t>已完成。</w:t>
      </w:r>
    </w:p>
    <w:p>
      <w:pPr>
        <w:spacing w:line="580" w:lineRule="exact"/>
        <w:ind w:firstLine="640" w:firstLineChars="200"/>
        <w:rPr>
          <w:rFonts w:ascii="仿宋_GB2312" w:eastAsia="仿宋_GB2312"/>
          <w:szCs w:val="32"/>
        </w:rPr>
      </w:pPr>
      <w:r>
        <w:rPr>
          <w:rFonts w:hint="eastAsia" w:ascii="仿宋_GB2312" w:eastAsia="仿宋_GB2312"/>
          <w:kern w:val="0"/>
          <w:szCs w:val="32"/>
        </w:rPr>
        <w:t>2023年度</w:t>
      </w:r>
      <w:r>
        <w:rPr>
          <w:rFonts w:hint="eastAsia" w:ascii="仿宋_GB2312" w:eastAsia="仿宋_GB2312"/>
          <w:kern w:val="0"/>
          <w:szCs w:val="32"/>
          <w:lang w:eastAsia="zh-CN"/>
        </w:rPr>
        <w:t>区级</w:t>
      </w:r>
      <w:r>
        <w:rPr>
          <w:rFonts w:hint="eastAsia" w:ascii="仿宋_GB2312" w:eastAsia="仿宋_GB2312"/>
          <w:kern w:val="0"/>
          <w:szCs w:val="32"/>
        </w:rPr>
        <w:t>预算项目绩效自评情况汇总表和</w:t>
      </w:r>
      <w:r>
        <w:rPr>
          <w:rFonts w:hint="eastAsia" w:ascii="仿宋_GB2312" w:eastAsia="仿宋_GB2312"/>
          <w:kern w:val="0"/>
          <w:szCs w:val="32"/>
          <w:lang w:eastAsia="zh-CN" w:bidi="ar"/>
        </w:rPr>
        <w:t>区级</w:t>
      </w:r>
      <w:r>
        <w:rPr>
          <w:rFonts w:hint="eastAsia" w:ascii="仿宋_GB2312" w:eastAsia="仿宋_GB2312"/>
          <w:kern w:val="0"/>
          <w:szCs w:val="32"/>
          <w:lang w:bidi="ar"/>
        </w:rPr>
        <w:t>预算项目绩效自评表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（三）中央转移支付项目绩效自评结果</w:t>
      </w:r>
    </w:p>
    <w:p>
      <w:pPr>
        <w:spacing w:line="580" w:lineRule="exact"/>
        <w:ind w:firstLine="640" w:firstLineChars="200"/>
        <w:rPr>
          <w:rFonts w:hint="eastAsia" w:ascii="仿宋_GB2312" w:eastAsia="仿宋_GB2312"/>
          <w:b/>
          <w:szCs w:val="32"/>
          <w:u w:val="single"/>
        </w:rPr>
      </w:pPr>
      <w:r>
        <w:rPr>
          <w:rFonts w:hint="eastAsia" w:ascii="仿宋_GB2312" w:eastAsia="仿宋_GB2312"/>
          <w:szCs w:val="32"/>
          <w:lang w:eastAsia="zh-CN"/>
        </w:rPr>
        <w:t>即墨区龙泉街道</w:t>
      </w:r>
      <w:r>
        <w:rPr>
          <w:rFonts w:hint="eastAsia" w:ascii="仿宋_GB2312" w:eastAsia="仿宋_GB2312"/>
          <w:szCs w:val="32"/>
        </w:rPr>
        <w:t>对“2022年农村清洁取暖补贴资金”</w:t>
      </w:r>
      <w:r>
        <w:rPr>
          <w:rFonts w:hint="eastAsia" w:ascii="仿宋_GB2312" w:eastAsia="仿宋_GB2312"/>
          <w:szCs w:val="32"/>
          <w:lang w:eastAsia="zh-CN"/>
        </w:rPr>
        <w:t>和</w:t>
      </w:r>
      <w:r>
        <w:rPr>
          <w:rFonts w:hint="eastAsia" w:ascii="仿宋_GB2312" w:eastAsia="仿宋_GB2312"/>
          <w:szCs w:val="32"/>
        </w:rPr>
        <w:t>“公益林生态补偿资金”2023年度中央对地方转移支付项目开展绩效自评。</w:t>
      </w:r>
      <w:r>
        <w:rPr>
          <w:rFonts w:hint="eastAsia" w:ascii="仿宋_GB2312" w:eastAsia="仿宋_GB2312" w:cs="仿宋_GB2312"/>
          <w:szCs w:val="32"/>
        </w:rPr>
        <w:t>从自评情况看，项目支出绩效管理的重视程度进一步提升，</w:t>
      </w:r>
      <w:r>
        <w:rPr>
          <w:rFonts w:hint="eastAsia" w:ascii="仿宋_GB2312" w:hAnsi="仿宋_GB2312" w:eastAsia="仿宋_GB2312" w:cs="仿宋_GB2312"/>
          <w:bCs/>
          <w:sz w:val="32"/>
          <w:szCs w:val="32"/>
        </w:rPr>
        <w:t>项目资金实际到位、支出情况与绩效目标设定一致，资金做到专款专用，</w:t>
      </w:r>
      <w:r>
        <w:rPr>
          <w:rFonts w:hint="eastAsia" w:ascii="仿宋_GB2312" w:eastAsia="仿宋_GB2312" w:cs="仿宋_GB2312"/>
          <w:szCs w:val="32"/>
        </w:rPr>
        <w:t>但也存在部分项目绩效目标值不明晰等问题。</w:t>
      </w:r>
    </w:p>
    <w:p>
      <w:pPr>
        <w:spacing w:line="580" w:lineRule="exact"/>
        <w:ind w:firstLine="640" w:firstLineChars="200"/>
        <w:rPr>
          <w:rFonts w:hint="eastAsia" w:ascii="仿宋_GB2312" w:eastAsia="仿宋_GB2312"/>
          <w:color w:val="auto"/>
          <w:szCs w:val="32"/>
        </w:rPr>
      </w:pPr>
      <w:r>
        <w:rPr>
          <w:rFonts w:hint="eastAsia" w:ascii="仿宋_GB2312" w:eastAsia="仿宋_GB2312"/>
          <w:szCs w:val="32"/>
        </w:rPr>
        <w:t>1.2022年农村清洁取暖补贴资金项目绩效自评综述：该项目全年预算数为</w:t>
      </w:r>
      <w:r>
        <w:rPr>
          <w:rFonts w:hint="eastAsia" w:ascii="仿宋_GB2312" w:eastAsia="仿宋_GB2312"/>
          <w:szCs w:val="32"/>
          <w:lang w:val="en-US" w:eastAsia="zh-CN"/>
        </w:rPr>
        <w:t>254.48</w:t>
      </w:r>
      <w:r>
        <w:rPr>
          <w:rFonts w:hint="eastAsia" w:ascii="仿宋_GB2312" w:eastAsia="仿宋_GB2312"/>
          <w:szCs w:val="32"/>
        </w:rPr>
        <w:t>万元，执行数为</w:t>
      </w:r>
      <w:r>
        <w:rPr>
          <w:rFonts w:hint="eastAsia" w:ascii="仿宋_GB2312" w:eastAsia="仿宋_GB2312"/>
          <w:szCs w:val="32"/>
          <w:lang w:val="en-US" w:eastAsia="zh-CN"/>
        </w:rPr>
        <w:t>254.48</w:t>
      </w:r>
      <w:r>
        <w:rPr>
          <w:rFonts w:hint="eastAsia" w:ascii="仿宋_GB2312" w:eastAsia="仿宋_GB2312"/>
          <w:szCs w:val="32"/>
        </w:rPr>
        <w:t>万元，项目绩效目标完成情况：</w:t>
      </w:r>
      <w:r>
        <w:rPr>
          <w:rFonts w:hint="eastAsia" w:ascii="仿宋_GB2312" w:eastAsia="仿宋_GB2312"/>
          <w:color w:val="auto"/>
          <w:szCs w:val="32"/>
        </w:rPr>
        <w:t>实施清洁取暖替代传统取暖，确保群众安全取暖，持续改善大气环境质量。</w:t>
      </w:r>
    </w:p>
    <w:p>
      <w:pPr>
        <w:spacing w:line="580" w:lineRule="exact"/>
        <w:ind w:firstLine="640" w:firstLineChars="200"/>
        <w:rPr>
          <w:rFonts w:ascii="仿宋_GB2312" w:eastAsia="仿宋_GB2312"/>
          <w:color w:val="auto"/>
          <w:szCs w:val="32"/>
        </w:rPr>
      </w:pPr>
      <w:r>
        <w:rPr>
          <w:rFonts w:hint="eastAsia" w:ascii="仿宋_GB2312" w:eastAsia="仿宋_GB2312"/>
          <w:szCs w:val="32"/>
        </w:rPr>
        <w:t>2.公益林生态补偿资金项目绩效自评综述：该项目全年预算数为</w:t>
      </w:r>
      <w:r>
        <w:rPr>
          <w:rFonts w:hint="eastAsia" w:ascii="仿宋_GB2312" w:eastAsia="仿宋_GB2312"/>
          <w:szCs w:val="32"/>
          <w:lang w:val="en-US" w:eastAsia="zh-CN"/>
        </w:rPr>
        <w:t>5.8867</w:t>
      </w:r>
      <w:r>
        <w:rPr>
          <w:rFonts w:hint="eastAsia" w:ascii="仿宋_GB2312" w:eastAsia="仿宋_GB2312"/>
          <w:szCs w:val="32"/>
        </w:rPr>
        <w:t>万元，执行数为</w:t>
      </w:r>
      <w:r>
        <w:rPr>
          <w:rFonts w:hint="eastAsia" w:ascii="仿宋_GB2312" w:eastAsia="仿宋_GB2312"/>
          <w:szCs w:val="32"/>
          <w:lang w:val="en-US" w:eastAsia="zh-CN"/>
        </w:rPr>
        <w:t>5.8867</w:t>
      </w:r>
      <w:r>
        <w:rPr>
          <w:rFonts w:hint="eastAsia" w:ascii="仿宋_GB2312" w:eastAsia="仿宋_GB2312"/>
          <w:szCs w:val="32"/>
        </w:rPr>
        <w:t>万元，项目绩效目标完成情况：</w:t>
      </w:r>
      <w:r>
        <w:rPr>
          <w:rFonts w:hint="eastAsia" w:ascii="仿宋_GB2312" w:eastAsia="仿宋_GB2312"/>
          <w:color w:val="auto"/>
          <w:szCs w:val="32"/>
        </w:rPr>
        <w:t>加快生态文明建设，充分发挥财政资金激励引导作用，增强公益林管护能力，稳定森林覆盖率。</w:t>
      </w:r>
    </w:p>
    <w:p>
      <w:pPr>
        <w:spacing w:line="580" w:lineRule="exact"/>
        <w:ind w:firstLine="640" w:firstLineChars="200"/>
        <w:rPr>
          <w:rFonts w:ascii="仿宋_GB2312" w:eastAsia="仿宋_GB2312"/>
          <w:szCs w:val="32"/>
        </w:rPr>
      </w:pPr>
      <w:r>
        <w:rPr>
          <w:rFonts w:hint="eastAsia" w:ascii="仿宋_GB2312" w:eastAsia="仿宋_GB2312"/>
          <w:kern w:val="0"/>
          <w:szCs w:val="32"/>
        </w:rPr>
        <w:t>2023年度中央对地方转移支付项目绩效</w:t>
      </w:r>
      <w:r>
        <w:rPr>
          <w:rFonts w:hint="eastAsia" w:ascii="仿宋_GB2312" w:eastAsia="仿宋_GB2312"/>
          <w:kern w:val="0"/>
          <w:szCs w:val="32"/>
          <w:lang w:bidi="ar"/>
        </w:rPr>
        <w:t>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（四）省转移支付项目绩效自评结果</w:t>
      </w:r>
    </w:p>
    <w:p>
      <w:pPr>
        <w:spacing w:line="580" w:lineRule="exact"/>
        <w:ind w:firstLine="640" w:firstLineChars="200"/>
        <w:rPr>
          <w:rFonts w:hint="eastAsia" w:ascii="仿宋_GB2312" w:eastAsia="仿宋_GB2312"/>
          <w:b w:val="0"/>
          <w:bCs/>
          <w:szCs w:val="32"/>
        </w:rPr>
      </w:pPr>
      <w:r>
        <w:rPr>
          <w:rFonts w:hint="eastAsia" w:ascii="仿宋_GB2312" w:eastAsia="仿宋_GB2312"/>
          <w:b w:val="0"/>
          <w:bCs/>
          <w:szCs w:val="32"/>
        </w:rPr>
        <w:t>本部门无省转移支付绩效自评项目</w:t>
      </w:r>
      <w:r>
        <w:rPr>
          <w:rFonts w:hint="eastAsia" w:ascii="仿宋_GB2312" w:eastAsia="仿宋_GB2312"/>
          <w:b w:val="0"/>
          <w:bCs/>
          <w:szCs w:val="32"/>
          <w:lang w:eastAsia="zh-CN"/>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w:t>
      </w:r>
      <w:r>
        <w:rPr>
          <w:rFonts w:hint="eastAsia" w:ascii="楷体_GB2312" w:hAnsi="楷体_GB2312" w:eastAsia="楷体_GB2312" w:cs="楷体_GB2312"/>
          <w:bCs/>
          <w:szCs w:val="32"/>
          <w:lang w:val="en-US" w:eastAsia="zh-CN"/>
        </w:rPr>
        <w:t>五</w:t>
      </w:r>
      <w:r>
        <w:rPr>
          <w:rFonts w:hint="eastAsia" w:ascii="楷体_GB2312" w:hAnsi="楷体_GB2312" w:eastAsia="楷体_GB2312" w:cs="楷体_GB2312"/>
          <w:bCs/>
          <w:szCs w:val="32"/>
        </w:rPr>
        <w:t>）</w:t>
      </w:r>
      <w:r>
        <w:rPr>
          <w:rFonts w:hint="eastAsia" w:ascii="楷体_GB2312" w:hAnsi="楷体_GB2312" w:eastAsia="楷体_GB2312" w:cs="楷体_GB2312"/>
          <w:bCs/>
          <w:szCs w:val="32"/>
          <w:lang w:val="en-US" w:eastAsia="zh-CN"/>
        </w:rPr>
        <w:t>市</w:t>
      </w:r>
      <w:r>
        <w:rPr>
          <w:rFonts w:hint="eastAsia" w:ascii="楷体_GB2312" w:hAnsi="楷体_GB2312" w:eastAsia="楷体_GB2312" w:cs="楷体_GB2312"/>
          <w:bCs/>
          <w:szCs w:val="32"/>
        </w:rPr>
        <w:t>转移支付项目绩效自评结果</w:t>
      </w:r>
    </w:p>
    <w:p>
      <w:pPr>
        <w:spacing w:line="580" w:lineRule="exact"/>
        <w:ind w:firstLine="640" w:firstLineChars="200"/>
        <w:rPr>
          <w:rFonts w:hint="eastAsia" w:ascii="仿宋_GB2312" w:eastAsia="仿宋_GB2312"/>
          <w:b/>
          <w:szCs w:val="32"/>
          <w:u w:val="single"/>
        </w:rPr>
      </w:pPr>
      <w:r>
        <w:rPr>
          <w:rFonts w:hint="eastAsia" w:ascii="仿宋_GB2312" w:eastAsia="仿宋_GB2312"/>
          <w:szCs w:val="32"/>
          <w:lang w:eastAsia="zh-CN"/>
        </w:rPr>
        <w:t>即墨区龙泉街道</w:t>
      </w:r>
      <w:r>
        <w:rPr>
          <w:rFonts w:hint="eastAsia" w:ascii="仿宋_GB2312" w:eastAsia="仿宋_GB2312"/>
          <w:szCs w:val="32"/>
        </w:rPr>
        <w:t>对“公益林生态补偿资金”“乡村振兴示范片区建设资金”等2023年度</w:t>
      </w:r>
      <w:r>
        <w:rPr>
          <w:rFonts w:hint="eastAsia" w:ascii="仿宋_GB2312" w:eastAsia="仿宋_GB2312"/>
          <w:szCs w:val="32"/>
          <w:lang w:val="en-US" w:eastAsia="zh-CN"/>
        </w:rPr>
        <w:t>市</w:t>
      </w:r>
      <w:r>
        <w:rPr>
          <w:rFonts w:hint="eastAsia" w:ascii="仿宋_GB2312" w:eastAsia="仿宋_GB2312"/>
          <w:szCs w:val="32"/>
        </w:rPr>
        <w:t>转移支付项目开展绩效自评。</w:t>
      </w:r>
      <w:r>
        <w:rPr>
          <w:rFonts w:hint="eastAsia" w:ascii="仿宋_GB2312" w:eastAsia="仿宋_GB2312" w:cs="仿宋_GB2312"/>
          <w:szCs w:val="32"/>
        </w:rPr>
        <w:t>从自评情况看，项目支出绩效管理的重视程度进一步提升，</w:t>
      </w:r>
      <w:r>
        <w:rPr>
          <w:rFonts w:hint="eastAsia" w:ascii="仿宋_GB2312" w:hAnsi="仿宋_GB2312" w:eastAsia="仿宋_GB2312" w:cs="仿宋_GB2312"/>
          <w:bCs/>
          <w:sz w:val="32"/>
          <w:szCs w:val="32"/>
        </w:rPr>
        <w:t>项目资金实际到位、支出情况与绩效目标设定一致，资金做到专款专用，</w:t>
      </w:r>
      <w:r>
        <w:rPr>
          <w:rFonts w:hint="eastAsia" w:ascii="仿宋_GB2312" w:eastAsia="仿宋_GB2312" w:cs="仿宋_GB2312"/>
          <w:szCs w:val="32"/>
        </w:rPr>
        <w:t>但也存在部分项目绩效目标值不明晰等问题。</w:t>
      </w:r>
    </w:p>
    <w:p>
      <w:pPr>
        <w:spacing w:line="580" w:lineRule="exact"/>
        <w:ind w:firstLine="640" w:firstLineChars="200"/>
        <w:rPr>
          <w:rFonts w:ascii="仿宋_GB2312" w:eastAsia="仿宋_GB2312"/>
          <w:color w:val="auto"/>
          <w:szCs w:val="32"/>
        </w:rPr>
      </w:pPr>
      <w:r>
        <w:rPr>
          <w:rFonts w:hint="eastAsia" w:ascii="仿宋_GB2312" w:eastAsia="仿宋_GB2312"/>
          <w:szCs w:val="32"/>
        </w:rPr>
        <w:t>1.公益林生态补偿资金项目绩效自评综述：该项目全年预算数为</w:t>
      </w:r>
      <w:r>
        <w:rPr>
          <w:rFonts w:hint="eastAsia" w:ascii="仿宋_GB2312" w:eastAsia="仿宋_GB2312"/>
          <w:szCs w:val="32"/>
          <w:lang w:val="en-US" w:eastAsia="zh-CN"/>
        </w:rPr>
        <w:t>5.1863</w:t>
      </w:r>
      <w:r>
        <w:rPr>
          <w:rFonts w:hint="eastAsia" w:ascii="仿宋_GB2312" w:eastAsia="仿宋_GB2312"/>
          <w:szCs w:val="32"/>
        </w:rPr>
        <w:t>万元，执行数为5.1863万元，项目绩效目标完成情况：</w:t>
      </w:r>
      <w:r>
        <w:rPr>
          <w:rFonts w:hint="eastAsia" w:ascii="仿宋_GB2312" w:eastAsia="仿宋_GB2312"/>
          <w:color w:val="auto"/>
          <w:szCs w:val="32"/>
        </w:rPr>
        <w:t>加快生态文明建设，充分发挥财政资金激励引导作用，增强公益林管护能力，稳定森林覆盖率。</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2.</w:t>
      </w:r>
      <w:r>
        <w:rPr>
          <w:rFonts w:hint="eastAsia" w:ascii="仿宋_GB2312" w:eastAsia="仿宋_GB2312"/>
          <w:szCs w:val="32"/>
          <w:lang w:eastAsia="zh-CN"/>
        </w:rPr>
        <w:t>乡</w:t>
      </w:r>
      <w:r>
        <w:rPr>
          <w:rFonts w:hint="eastAsia" w:ascii="仿宋_GB2312" w:eastAsia="仿宋_GB2312"/>
          <w:szCs w:val="32"/>
        </w:rPr>
        <w:t>村振兴示范片区建设资金项目绩效自评综述：该项目全年预算数为</w:t>
      </w:r>
      <w:r>
        <w:rPr>
          <w:rFonts w:hint="eastAsia" w:ascii="仿宋_GB2312" w:eastAsia="仿宋_GB2312"/>
          <w:szCs w:val="32"/>
          <w:lang w:val="en-US" w:eastAsia="zh-CN"/>
        </w:rPr>
        <w:t>500</w:t>
      </w:r>
      <w:r>
        <w:rPr>
          <w:rFonts w:hint="eastAsia" w:ascii="仿宋_GB2312" w:eastAsia="仿宋_GB2312"/>
          <w:szCs w:val="32"/>
        </w:rPr>
        <w:t>万元，执行数为</w:t>
      </w:r>
      <w:r>
        <w:rPr>
          <w:rFonts w:hint="eastAsia" w:ascii="仿宋_GB2312" w:eastAsia="仿宋_GB2312"/>
          <w:szCs w:val="32"/>
          <w:lang w:val="en-US" w:eastAsia="zh-CN"/>
        </w:rPr>
        <w:t>500</w:t>
      </w:r>
      <w:r>
        <w:rPr>
          <w:rFonts w:hint="eastAsia" w:ascii="仿宋_GB2312" w:eastAsia="仿宋_GB2312"/>
          <w:szCs w:val="32"/>
        </w:rPr>
        <w:t>万元，项目绩效目标完成情况：</w:t>
      </w:r>
      <w:r>
        <w:rPr>
          <w:rFonts w:hint="eastAsia" w:ascii="仿宋_GB2312" w:eastAsia="仿宋_GB2312"/>
          <w:szCs w:val="32"/>
          <w:lang w:eastAsia="zh-CN"/>
        </w:rPr>
        <w:t>打造产业兴、组织强、环境美、治理优、要素活、生活富的市级乡村振兴示范片区。</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lang w:val="en-US" w:eastAsia="zh-CN"/>
        </w:rPr>
        <w:t>3.</w:t>
      </w:r>
      <w:r>
        <w:rPr>
          <w:rFonts w:hint="eastAsia" w:ascii="仿宋_GB2312" w:eastAsia="仿宋_GB2312"/>
          <w:szCs w:val="32"/>
          <w:lang w:eastAsia="zh-CN"/>
        </w:rPr>
        <w:t>乡</w:t>
      </w:r>
      <w:r>
        <w:rPr>
          <w:rFonts w:hint="eastAsia" w:ascii="仿宋_GB2312" w:eastAsia="仿宋_GB2312"/>
          <w:szCs w:val="32"/>
        </w:rPr>
        <w:t>村振兴示范片区建设资金项目绩效自评综述：该项目全年预算数为</w:t>
      </w:r>
      <w:r>
        <w:rPr>
          <w:rFonts w:hint="eastAsia" w:ascii="仿宋_GB2312" w:eastAsia="仿宋_GB2312"/>
          <w:szCs w:val="32"/>
          <w:lang w:val="en-US" w:eastAsia="zh-CN"/>
        </w:rPr>
        <w:t>860</w:t>
      </w:r>
      <w:r>
        <w:rPr>
          <w:rFonts w:hint="eastAsia" w:ascii="仿宋_GB2312" w:eastAsia="仿宋_GB2312"/>
          <w:szCs w:val="32"/>
        </w:rPr>
        <w:t>万元，执行数为</w:t>
      </w:r>
      <w:r>
        <w:rPr>
          <w:rFonts w:hint="eastAsia" w:ascii="仿宋_GB2312" w:eastAsia="仿宋_GB2312"/>
          <w:szCs w:val="32"/>
          <w:lang w:val="en-US" w:eastAsia="zh-CN"/>
        </w:rPr>
        <w:t>860</w:t>
      </w:r>
      <w:r>
        <w:rPr>
          <w:rFonts w:hint="eastAsia" w:ascii="仿宋_GB2312" w:eastAsia="仿宋_GB2312"/>
          <w:szCs w:val="32"/>
        </w:rPr>
        <w:t>万元，项目绩效目标完成情况：</w:t>
      </w:r>
      <w:r>
        <w:rPr>
          <w:rFonts w:hint="eastAsia" w:ascii="仿宋_GB2312" w:eastAsia="仿宋_GB2312"/>
          <w:szCs w:val="32"/>
          <w:lang w:eastAsia="zh-CN"/>
        </w:rPr>
        <w:t>打造产业兴、组织强、环境美、治理优、要素活、生活富的市级乡村振兴示范片区。</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4.农村人居环境整治提升工作市级奖补资金</w:t>
      </w:r>
      <w:r>
        <w:rPr>
          <w:rFonts w:hint="eastAsia" w:ascii="仿宋_GB2312" w:eastAsia="仿宋_GB2312"/>
          <w:szCs w:val="32"/>
        </w:rPr>
        <w:t>项目绩效自评综述：该项目全年预算数为</w:t>
      </w:r>
      <w:r>
        <w:rPr>
          <w:rFonts w:hint="eastAsia" w:ascii="仿宋_GB2312" w:eastAsia="仿宋_GB2312"/>
          <w:szCs w:val="32"/>
          <w:lang w:val="en-US" w:eastAsia="zh-CN"/>
        </w:rPr>
        <w:t>30</w:t>
      </w:r>
      <w:r>
        <w:rPr>
          <w:rFonts w:hint="eastAsia" w:ascii="仿宋_GB2312" w:eastAsia="仿宋_GB2312"/>
          <w:szCs w:val="32"/>
        </w:rPr>
        <w:t>万元，执行数为</w:t>
      </w:r>
      <w:r>
        <w:rPr>
          <w:rFonts w:hint="eastAsia" w:ascii="仿宋_GB2312" w:eastAsia="仿宋_GB2312"/>
          <w:szCs w:val="32"/>
          <w:lang w:val="en-US" w:eastAsia="zh-CN"/>
        </w:rPr>
        <w:t>0</w:t>
      </w:r>
      <w:r>
        <w:rPr>
          <w:rFonts w:hint="eastAsia" w:ascii="仿宋_GB2312" w:eastAsia="仿宋_GB2312"/>
          <w:szCs w:val="32"/>
        </w:rPr>
        <w:t>万元，项目绩效目标完成情况：</w:t>
      </w:r>
      <w:r>
        <w:rPr>
          <w:rFonts w:hint="eastAsia" w:ascii="仿宋_GB2312" w:eastAsia="仿宋_GB2312"/>
          <w:szCs w:val="32"/>
          <w:lang w:eastAsia="zh-CN"/>
        </w:rPr>
        <w:t>进一步提高农村环境水平，改善农村人居环境，加快生态文明村镇建设，更好的服务于人民，更好的提升村庄面貌。</w:t>
      </w:r>
    </w:p>
    <w:p>
      <w:pPr>
        <w:spacing w:line="580" w:lineRule="exact"/>
        <w:ind w:firstLine="640" w:firstLineChars="200"/>
        <w:rPr>
          <w:rFonts w:ascii="仿宋_GB2312" w:eastAsia="仿宋_GB2312"/>
          <w:szCs w:val="32"/>
        </w:rPr>
      </w:pPr>
      <w:r>
        <w:rPr>
          <w:rFonts w:hint="eastAsia" w:ascii="仿宋_GB2312" w:eastAsia="仿宋_GB2312"/>
          <w:kern w:val="0"/>
          <w:szCs w:val="32"/>
        </w:rPr>
        <w:t>2023年度</w:t>
      </w:r>
      <w:r>
        <w:rPr>
          <w:rFonts w:hint="eastAsia" w:ascii="仿宋_GB2312" w:eastAsia="仿宋_GB2312"/>
          <w:kern w:val="0"/>
          <w:szCs w:val="32"/>
          <w:lang w:val="en-US" w:eastAsia="zh-CN"/>
        </w:rPr>
        <w:t>市</w:t>
      </w:r>
      <w:r>
        <w:rPr>
          <w:rFonts w:hint="eastAsia" w:ascii="仿宋_GB2312" w:eastAsia="仿宋_GB2312"/>
          <w:kern w:val="0"/>
          <w:szCs w:val="32"/>
        </w:rPr>
        <w:t>转移支付项目绩效</w:t>
      </w:r>
      <w:r>
        <w:rPr>
          <w:rFonts w:hint="eastAsia" w:ascii="仿宋_GB2312" w:eastAsia="仿宋_GB2312"/>
          <w:kern w:val="0"/>
          <w:szCs w:val="32"/>
          <w:lang w:bidi="ar"/>
        </w:rPr>
        <w:t>自评表等</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widowControl/>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w:t>
      </w:r>
      <w:r>
        <w:rPr>
          <w:rFonts w:hint="eastAsia" w:ascii="楷体_GB2312" w:eastAsia="楷体_GB2312"/>
          <w:bCs/>
          <w:kern w:val="0"/>
          <w:szCs w:val="32"/>
          <w:lang w:val="en-US" w:eastAsia="zh-CN"/>
        </w:rPr>
        <w:t>六</w:t>
      </w:r>
      <w:r>
        <w:rPr>
          <w:rFonts w:hint="eastAsia" w:ascii="楷体_GB2312" w:eastAsia="楷体_GB2312"/>
          <w:bCs/>
          <w:kern w:val="0"/>
          <w:szCs w:val="32"/>
        </w:rPr>
        <w:t>）部门评价结果</w:t>
      </w:r>
    </w:p>
    <w:p>
      <w:pPr>
        <w:widowControl/>
        <w:spacing w:line="580" w:lineRule="exact"/>
        <w:ind w:firstLine="640" w:firstLineChars="200"/>
        <w:rPr>
          <w:rFonts w:hint="eastAsia" w:ascii="仿宋_GB2312" w:eastAsia="仿宋_GB2312"/>
          <w:kern w:val="0"/>
          <w:szCs w:val="32"/>
        </w:rPr>
      </w:pPr>
      <w:r>
        <w:rPr>
          <w:rFonts w:hint="eastAsia" w:ascii="仿宋_GB2312" w:eastAsia="仿宋_GB2312"/>
          <w:kern w:val="0"/>
          <w:szCs w:val="32"/>
        </w:rPr>
        <w:t>本部门无部门评价项目</w:t>
      </w:r>
      <w:r>
        <w:rPr>
          <w:rFonts w:hint="eastAsia" w:ascii="仿宋_GB2312" w:eastAsia="仿宋_GB2312"/>
          <w:kern w:val="0"/>
          <w:szCs w:val="32"/>
          <w:lang w:eastAsia="zh-CN"/>
        </w:rPr>
        <w:t>。</w:t>
      </w:r>
    </w:p>
    <w:p>
      <w:pPr>
        <w:spacing w:line="580" w:lineRule="exact"/>
        <w:ind w:firstLine="640" w:firstLineChars="200"/>
        <w:rPr>
          <w:rFonts w:hint="eastAsia" w:ascii="楷体_GB2312" w:eastAsia="楷体_GB2312"/>
          <w:szCs w:val="32"/>
        </w:rPr>
      </w:pPr>
      <w:r>
        <w:rPr>
          <w:rFonts w:hint="eastAsia" w:ascii="楷体_GB2312" w:eastAsia="楷体_GB2312"/>
          <w:bCs/>
          <w:kern w:val="0"/>
          <w:szCs w:val="32"/>
        </w:rPr>
        <w:t>（</w:t>
      </w:r>
      <w:r>
        <w:rPr>
          <w:rFonts w:hint="eastAsia" w:ascii="楷体_GB2312" w:eastAsia="楷体_GB2312"/>
          <w:bCs/>
          <w:kern w:val="0"/>
          <w:szCs w:val="32"/>
          <w:lang w:val="en-US" w:eastAsia="zh-CN"/>
        </w:rPr>
        <w:t>七</w:t>
      </w:r>
      <w:r>
        <w:rPr>
          <w:rFonts w:hint="eastAsia" w:ascii="楷体_GB2312" w:eastAsia="楷体_GB2312"/>
          <w:bCs/>
          <w:kern w:val="0"/>
          <w:szCs w:val="32"/>
        </w:rPr>
        <w:t>）</w:t>
      </w:r>
      <w:r>
        <w:rPr>
          <w:rFonts w:hint="eastAsia" w:ascii="楷体_GB2312" w:eastAsia="楷体_GB2312"/>
          <w:szCs w:val="32"/>
        </w:rPr>
        <w:t>财政评价结果</w:t>
      </w:r>
    </w:p>
    <w:p>
      <w:pPr>
        <w:widowControl/>
        <w:spacing w:line="580" w:lineRule="exact"/>
        <w:ind w:firstLine="640" w:firstLineChars="200"/>
        <w:rPr>
          <w:rFonts w:hint="eastAsia" w:ascii="仿宋_GB2312" w:eastAsia="仿宋_GB2312"/>
          <w:kern w:val="0"/>
          <w:szCs w:val="32"/>
        </w:rPr>
      </w:pPr>
      <w:r>
        <w:rPr>
          <w:rFonts w:hint="eastAsia" w:ascii="仿宋_GB2312" w:eastAsia="仿宋_GB2312"/>
          <w:kern w:val="0"/>
          <w:szCs w:val="32"/>
        </w:rPr>
        <w:t>本部门未有向</w:t>
      </w:r>
      <w:r>
        <w:rPr>
          <w:rFonts w:hint="eastAsia" w:ascii="仿宋_GB2312" w:eastAsia="仿宋_GB2312"/>
          <w:kern w:val="0"/>
          <w:szCs w:val="32"/>
          <w:lang w:eastAsia="zh-CN"/>
        </w:rPr>
        <w:t>区人大常委会</w:t>
      </w:r>
      <w:r>
        <w:rPr>
          <w:rFonts w:hint="eastAsia" w:ascii="仿宋_GB2312" w:eastAsia="仿宋_GB2312"/>
          <w:kern w:val="0"/>
          <w:szCs w:val="32"/>
        </w:rPr>
        <w:t>报告的财政评价项目。</w:t>
      </w:r>
    </w:p>
    <w:p>
      <w:pPr>
        <w:widowControl/>
        <w:spacing w:line="580" w:lineRule="exact"/>
        <w:ind w:firstLine="643" w:firstLineChars="200"/>
        <w:rPr>
          <w:rFonts w:hint="eastAsia" w:ascii="仿宋_GB2312" w:eastAsia="仿宋_GB2312"/>
          <w:b/>
          <w:kern w:val="0"/>
          <w:szCs w:val="32"/>
          <w:u w:val="single"/>
        </w:rPr>
      </w:pPr>
    </w:p>
    <w:p>
      <w:pPr>
        <w:spacing w:line="560" w:lineRule="exact"/>
        <w:ind w:firstLine="200"/>
      </w:pPr>
    </w:p>
    <w:p>
      <w:pPr>
        <w:spacing w:line="560" w:lineRule="exact"/>
        <w:ind w:firstLine="200"/>
      </w:pPr>
    </w:p>
    <w:p>
      <w:pPr>
        <w:spacing w:line="580" w:lineRule="exact"/>
        <w:ind w:firstLine="200"/>
      </w:pPr>
    </w:p>
    <w:p>
      <w:pPr>
        <w:spacing w:line="580" w:lineRule="exact"/>
        <w:ind w:firstLine="200"/>
        <w:rPr>
          <w:rFonts w:hint="eastAsia" w:ascii="方正小标宋简体" w:eastAsia="方正小标宋简体"/>
          <w:sz w:val="42"/>
        </w:rPr>
      </w:pPr>
    </w:p>
    <w:p>
      <w:pPr>
        <w:rPr>
          <w:rFonts w:hint="eastAsia" w:ascii="方正小标宋简体" w:eastAsia="方正小标宋简体"/>
          <w:sz w:val="42"/>
        </w:rPr>
      </w:pPr>
    </w:p>
    <w:p>
      <w:pPr>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第四部分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名词解释</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spacing w:line="580" w:lineRule="exact"/>
        <w:ind w:firstLine="640" w:firstLineChars="200"/>
        <w:rPr>
          <w:rFonts w:ascii="黑体" w:hAnsi="黑体" w:eastAsia="黑体"/>
          <w:color w:val="000000"/>
          <w:szCs w:val="32"/>
        </w:rPr>
        <w:sectPr>
          <w:pgSz w:w="11906" w:h="16838"/>
          <w:pgMar w:top="2041" w:right="1701" w:bottom="2041" w:left="1701" w:header="851" w:footer="992" w:gutter="0"/>
          <w:cols w:space="720" w:num="1"/>
          <w:docGrid w:type="lines" w:linePitch="312" w:charSpace="0"/>
        </w:sectPr>
      </w:pPr>
    </w:p>
    <w:p>
      <w:pPr>
        <w:spacing w:line="580" w:lineRule="exact"/>
        <w:ind w:firstLine="640" w:firstLineChars="200"/>
        <w:rPr>
          <w:rFonts w:hint="eastAsia" w:ascii="仿宋_GB2312" w:eastAsia="仿宋_GB2312"/>
          <w:szCs w:val="32"/>
        </w:rPr>
      </w:pPr>
      <w:r>
        <w:rPr>
          <w:rFonts w:hint="eastAsia" w:ascii="黑体" w:hAnsi="黑体" w:eastAsia="黑体"/>
          <w:color w:val="000000"/>
          <w:szCs w:val="32"/>
        </w:rPr>
        <w:t>一、财政拨款收入：</w:t>
      </w:r>
      <w:r>
        <w:rPr>
          <w:rFonts w:hint="eastAsia" w:ascii="仿宋_GB2312" w:eastAsia="仿宋_GB2312"/>
          <w:szCs w:val="32"/>
        </w:rPr>
        <w:t>指单位本年度从本级财政部门取得的财政拨款，包括一般公共预算财政拨款、政府性基金预算财政拨款和国有资本经营预算财政拨款。</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二、上级补助收入：</w:t>
      </w:r>
      <w:r>
        <w:rPr>
          <w:rFonts w:hint="eastAsia" w:ascii="仿宋_GB2312" w:hAnsi="仿宋" w:eastAsia="仿宋_GB2312"/>
          <w:szCs w:val="32"/>
        </w:rPr>
        <w:t>指事业单位从主管部门和上级单位取得的非财政补助收入。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三、事业收入：</w:t>
      </w:r>
      <w:r>
        <w:rPr>
          <w:rFonts w:hint="eastAsia" w:ascii="仿宋_GB2312" w:hAnsi="仿宋" w:eastAsia="仿宋_GB2312"/>
          <w:szCs w:val="32"/>
        </w:rPr>
        <w:t>指事业单位开展专业业务活动及其辅助活动取得的收入；包括事业单位收到的财政专户实际核拨的教育收费等。</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四、经营收入：</w:t>
      </w:r>
      <w:r>
        <w:rPr>
          <w:rFonts w:hint="eastAsia" w:ascii="仿宋_GB2312" w:hAnsi="仿宋" w:eastAsia="仿宋_GB2312"/>
          <w:szCs w:val="32"/>
        </w:rPr>
        <w:t>指事业单位在专业业务活动及其辅助活动之外开展非独立核算经营活动取得的收入。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五、附属单位上缴收入：</w:t>
      </w:r>
      <w:r>
        <w:rPr>
          <w:rFonts w:hint="eastAsia" w:ascii="仿宋_GB2312" w:hAnsi="仿宋" w:eastAsia="仿宋_GB2312"/>
          <w:szCs w:val="32"/>
        </w:rPr>
        <w:t>指事业单位附属独立核算单位按照有关规定上缴的收入。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六、其他收入：</w:t>
      </w:r>
      <w:r>
        <w:rPr>
          <w:rFonts w:hint="eastAsia" w:ascii="仿宋_GB2312" w:hAnsi="仿宋" w:eastAsia="仿宋_GB2312"/>
          <w:szCs w:val="32"/>
        </w:rPr>
        <w:t>指单位取得的除上述“</w:t>
      </w:r>
      <w:r>
        <w:rPr>
          <w:rFonts w:hint="eastAsia" w:ascii="仿宋_GB2312" w:eastAsia="仿宋_GB2312"/>
          <w:szCs w:val="32"/>
        </w:rPr>
        <w:t>财政拨款收入</w:t>
      </w:r>
      <w:r>
        <w:rPr>
          <w:rFonts w:hint="eastAsia" w:ascii="仿宋_GB2312" w:hAnsi="仿宋" w:eastAsia="仿宋_GB2312"/>
          <w:szCs w:val="32"/>
        </w:rPr>
        <w:t>”“上级补助收入”“事业收入”“经营收入”“附属单位上缴收入”等以外的各项收入。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七、使用非财政拨款结余(含专用结余)：</w:t>
      </w:r>
      <w:r>
        <w:rPr>
          <w:rFonts w:hint="eastAsia" w:ascii="仿宋_GB2312" w:hAnsi="仿宋" w:eastAsia="仿宋_GB2312"/>
          <w:szCs w:val="32"/>
        </w:rPr>
        <w:t>指事业单位按照预算管理要求使用非财政拨款结余弥补收支差额的金额,以及使用专用结余安排支出的金额。</w:t>
      </w:r>
    </w:p>
    <w:p>
      <w:pPr>
        <w:spacing w:line="580" w:lineRule="exact"/>
        <w:ind w:firstLine="640" w:firstLineChars="200"/>
        <w:rPr>
          <w:rFonts w:hint="eastAsia" w:ascii="仿宋_GB2312" w:eastAsia="仿宋_GB2312"/>
          <w:szCs w:val="32"/>
        </w:rPr>
      </w:pPr>
      <w:r>
        <w:rPr>
          <w:rFonts w:hint="eastAsia" w:ascii="黑体" w:hAnsi="黑体" w:eastAsia="黑体"/>
          <w:szCs w:val="32"/>
        </w:rPr>
        <w:t>八、年初结转和结余：</w:t>
      </w:r>
      <w:r>
        <w:rPr>
          <w:rFonts w:hint="eastAsia" w:ascii="仿宋_GB2312" w:eastAsia="仿宋_GB2312"/>
          <w:szCs w:val="32"/>
        </w:rPr>
        <w:t>指单位以前年度尚未完成、结转到本年仍按原规定用途继续使用的资金，或项目已完成等产生的结余资金。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九、结余分配：</w:t>
      </w:r>
      <w:r>
        <w:rPr>
          <w:rFonts w:hint="eastAsia" w:ascii="仿宋_GB2312" w:eastAsia="仿宋_GB2312"/>
          <w:szCs w:val="32"/>
        </w:rPr>
        <w:t>指事业单位缴纳的所得税以及从非财政拨款结余或经营结余中提取的各类结余。</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十、年末结转和结余：</w:t>
      </w:r>
      <w:r>
        <w:rPr>
          <w:rFonts w:hint="eastAsia" w:ascii="仿宋_GB2312" w:hAnsi="仿宋" w:eastAsia="仿宋_GB2312"/>
          <w:szCs w:val="32"/>
        </w:rPr>
        <w:t>指单位本年度或以前年度预算安排、因客观条件发生变化未全部执行或未执行，结转到以后年度继续使用的资金，或项目已完成等产生的结余资金。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十一、基本支出：</w:t>
      </w:r>
      <w:r>
        <w:rPr>
          <w:rFonts w:hint="eastAsia" w:ascii="仿宋_GB2312" w:eastAsia="仿宋_GB2312"/>
          <w:szCs w:val="32"/>
        </w:rPr>
        <w:t>指单位为保障机构正常运转、完成日常工作任务而发生的各项支出。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十二、项目支出：</w:t>
      </w:r>
      <w:r>
        <w:rPr>
          <w:rFonts w:hint="eastAsia" w:ascii="仿宋_GB2312" w:eastAsia="仿宋_GB2312"/>
          <w:szCs w:val="32"/>
        </w:rPr>
        <w:t>指单位为完成特定的行政工作任务或事业发展目标，在基本支出之外发生的各项支出。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十三、经营支出：</w:t>
      </w:r>
      <w:r>
        <w:rPr>
          <w:rFonts w:hint="eastAsia" w:ascii="仿宋_GB2312" w:eastAsia="仿宋_GB2312"/>
          <w:szCs w:val="32"/>
        </w:rPr>
        <w:t>指事业单位在专业业务活动及其辅助活动之外开展非独立核算经营活动发生的支出。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十四、“三公”经费：</w:t>
      </w:r>
      <w:r>
        <w:rPr>
          <w:rFonts w:hint="eastAsia" w:ascii="仿宋_GB2312" w:eastAsia="仿宋_GB2312"/>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维修费、过桥过路费、保险费、安全奖励费用等支出；公务接待费反映单位按规定开支的各类公务接待（含外宾接待）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十五、机关运行经费：</w:t>
      </w:r>
      <w:r>
        <w:rPr>
          <w:rFonts w:hint="eastAsia" w:ascii="仿宋_GB2312" w:eastAsia="仿宋_GB231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10" w:lineRule="exact"/>
        <w:ind w:firstLine="600"/>
        <w:rPr>
          <w:rFonts w:hint="eastAsia" w:ascii="黑体" w:hAnsi="黑体" w:eastAsia="黑体"/>
          <w:szCs w:val="32"/>
        </w:rPr>
      </w:pPr>
      <w:r>
        <w:rPr>
          <w:rFonts w:hint="eastAsia" w:ascii="黑体" w:hAnsi="黑体" w:eastAsia="黑体"/>
          <w:szCs w:val="32"/>
        </w:rPr>
        <w:t>十六、一般公共服务支出（类）政府办公厅（室）及相关机构事务（款）行政运行（项）：</w:t>
      </w:r>
      <w:r>
        <w:rPr>
          <w:rFonts w:hint="eastAsia" w:ascii="仿宋_GB2312" w:eastAsia="仿宋_GB2312"/>
          <w:szCs w:val="32"/>
        </w:rPr>
        <w:t>反映行政单位（包括实行公务员管理的事业单位）的基本支出</w:t>
      </w:r>
      <w:r>
        <w:rPr>
          <w:rFonts w:hint="eastAsia" w:ascii="仿宋_GB2312" w:eastAsia="仿宋_GB2312"/>
          <w:szCs w:val="32"/>
          <w:lang w:eastAsia="zh-CN"/>
        </w:rPr>
        <w:t>。</w:t>
      </w:r>
    </w:p>
    <w:p>
      <w:pPr>
        <w:spacing w:line="510" w:lineRule="exact"/>
        <w:ind w:firstLine="600"/>
        <w:rPr>
          <w:rFonts w:hint="eastAsia" w:ascii="仿宋_GB2312" w:eastAsia="仿宋_GB2312"/>
          <w:szCs w:val="32"/>
          <w:lang w:eastAsia="zh-CN"/>
        </w:rPr>
      </w:pPr>
      <w:r>
        <w:rPr>
          <w:rFonts w:hint="eastAsia" w:ascii="黑体" w:hAnsi="黑体" w:eastAsia="黑体"/>
          <w:szCs w:val="32"/>
        </w:rPr>
        <w:t>十七、公共安全支出（类</w:t>
      </w:r>
      <w:r>
        <w:rPr>
          <w:rFonts w:hint="eastAsia" w:ascii="黑体" w:hAnsi="黑体" w:eastAsia="黑体"/>
          <w:szCs w:val="32"/>
          <w:lang w:eastAsia="zh-CN"/>
        </w:rPr>
        <w:t>）</w:t>
      </w:r>
      <w:r>
        <w:rPr>
          <w:rFonts w:hint="eastAsia" w:ascii="黑体" w:hAnsi="黑体" w:eastAsia="黑体"/>
          <w:szCs w:val="32"/>
        </w:rPr>
        <w:t>公安（款）其他公安支出（</w:t>
      </w:r>
      <w:r>
        <w:rPr>
          <w:rFonts w:hint="eastAsia" w:ascii="黑体" w:hAnsi="黑体" w:eastAsia="黑体"/>
          <w:szCs w:val="32"/>
          <w:lang w:eastAsia="zh-CN"/>
        </w:rPr>
        <w:t>项）：</w:t>
      </w:r>
      <w:r>
        <w:rPr>
          <w:rFonts w:hint="eastAsia" w:ascii="仿宋_GB2312" w:eastAsia="仿宋_GB2312"/>
          <w:szCs w:val="32"/>
        </w:rPr>
        <w:t>反映除上述项目以外其他用于公安方面的支出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rPr>
        <w:t>十</w:t>
      </w:r>
      <w:r>
        <w:rPr>
          <w:rFonts w:hint="eastAsia" w:ascii="黑体" w:hAnsi="黑体" w:eastAsia="黑体"/>
          <w:szCs w:val="32"/>
          <w:lang w:eastAsia="zh-CN"/>
        </w:rPr>
        <w:t>八</w:t>
      </w:r>
      <w:r>
        <w:rPr>
          <w:rFonts w:hint="eastAsia" w:ascii="黑体" w:hAnsi="黑体" w:eastAsia="黑体"/>
          <w:szCs w:val="32"/>
        </w:rPr>
        <w:t>、教育支出（类）普通教育（款）学前教育（项</w:t>
      </w:r>
      <w:r>
        <w:rPr>
          <w:rFonts w:hint="eastAsia" w:ascii="黑体" w:hAnsi="黑体" w:eastAsia="黑体"/>
          <w:szCs w:val="32"/>
          <w:lang w:eastAsia="zh-CN"/>
        </w:rPr>
        <w:t>）：</w:t>
      </w:r>
      <w:r>
        <w:rPr>
          <w:rFonts w:hint="eastAsia" w:ascii="仿宋_GB2312" w:eastAsia="仿宋_GB2312"/>
          <w:szCs w:val="32"/>
        </w:rPr>
        <w:t>反映各部门举办的学前教育支出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rPr>
      </w:pPr>
      <w:r>
        <w:rPr>
          <w:rFonts w:hint="eastAsia" w:ascii="黑体" w:hAnsi="黑体" w:eastAsia="黑体"/>
          <w:szCs w:val="32"/>
          <w:lang w:eastAsia="zh-CN"/>
        </w:rPr>
        <w:t>十九、</w:t>
      </w:r>
      <w:r>
        <w:rPr>
          <w:rFonts w:hint="eastAsia" w:ascii="黑体" w:hAnsi="黑体" w:eastAsia="黑体"/>
          <w:szCs w:val="32"/>
        </w:rPr>
        <w:t>教育支出（类）普通教育（款）其他普通教育支出（项</w:t>
      </w:r>
      <w:r>
        <w:rPr>
          <w:rFonts w:hint="eastAsia" w:ascii="黑体" w:hAnsi="黑体" w:eastAsia="黑体"/>
          <w:szCs w:val="32"/>
          <w:lang w:eastAsia="zh-CN"/>
        </w:rPr>
        <w:t>）：</w:t>
      </w:r>
      <w:r>
        <w:rPr>
          <w:rFonts w:hint="eastAsia" w:ascii="仿宋_GB2312" w:eastAsia="仿宋_GB2312"/>
          <w:szCs w:val="32"/>
        </w:rPr>
        <w:t>反映除上述项目以外其他用于普通教育方面的支出）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二十、社会保障和就业支出（类）民政管理事务（款）其他民政管理事务支出（项）：</w:t>
      </w:r>
      <w:r>
        <w:rPr>
          <w:rFonts w:hint="eastAsia" w:ascii="仿宋_GB2312" w:eastAsia="仿宋_GB2312"/>
          <w:szCs w:val="32"/>
          <w:lang w:eastAsia="zh-CN"/>
        </w:rPr>
        <w:t>反</w:t>
      </w:r>
      <w:r>
        <w:rPr>
          <w:rFonts w:hint="eastAsia" w:ascii="仿宋_GB2312" w:eastAsia="仿宋_GB2312"/>
          <w:szCs w:val="32"/>
        </w:rPr>
        <w:t>映</w:t>
      </w:r>
      <w:r>
        <w:rPr>
          <w:rFonts w:hint="eastAsia" w:ascii="仿宋_GB2312" w:eastAsia="仿宋_GB2312"/>
          <w:szCs w:val="32"/>
          <w:lang w:eastAsia="zh-CN"/>
        </w:rPr>
        <w:t>除上述项目以外其他用于民政管理事务的支出。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二十一、社会保障和就业支出（类）行政事业单位养老支出（款）机关事业单位基本养老保险缴费支出（项）：</w:t>
      </w:r>
      <w:r>
        <w:rPr>
          <w:rFonts w:hint="eastAsia" w:ascii="仿宋_GB2312" w:eastAsia="仿宋_GB2312"/>
          <w:szCs w:val="32"/>
          <w:lang w:eastAsia="zh-CN"/>
        </w:rPr>
        <w:t>反映机关事业单位实施养老保险制度由单位缴纳的基本养老保险费支出。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二十二、社会保障和就业支出（类）行政事业单位养老支出（款）机关事业单位职业年金缴费支出（项）：</w:t>
      </w:r>
      <w:r>
        <w:rPr>
          <w:rFonts w:hint="eastAsia" w:ascii="仿宋_GB2312" w:eastAsia="仿宋_GB2312"/>
          <w:szCs w:val="32"/>
          <w:lang w:eastAsia="zh-CN"/>
        </w:rPr>
        <w:t>反映机关事业单位实施养老保险制度由单位实际缴纳的职业年金支出。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二十三、社会保障和就业支出（类）退役安置（款）其他退役安置支出（项）：</w:t>
      </w:r>
      <w:r>
        <w:rPr>
          <w:rFonts w:hint="eastAsia" w:ascii="仿宋_GB2312" w:eastAsia="仿宋_GB2312"/>
          <w:szCs w:val="32"/>
        </w:rPr>
        <w:t>反映</w:t>
      </w:r>
      <w:r>
        <w:rPr>
          <w:rFonts w:hint="eastAsia" w:ascii="仿宋_GB2312" w:eastAsia="仿宋_GB2312"/>
          <w:szCs w:val="32"/>
          <w:lang w:eastAsia="zh-CN"/>
        </w:rPr>
        <w:t>除上述项目以外其他用于退役</w:t>
      </w:r>
      <w:r>
        <w:rPr>
          <w:rFonts w:hint="eastAsia" w:ascii="仿宋_GB2312" w:eastAsia="仿宋_GB2312"/>
          <w:szCs w:val="32"/>
        </w:rPr>
        <w:t>安置</w:t>
      </w:r>
      <w:r>
        <w:rPr>
          <w:rFonts w:hint="eastAsia" w:ascii="仿宋_GB2312" w:eastAsia="仿宋_GB2312"/>
          <w:szCs w:val="32"/>
          <w:lang w:eastAsia="zh-CN"/>
        </w:rPr>
        <w:t>方面的</w:t>
      </w:r>
      <w:r>
        <w:rPr>
          <w:rFonts w:hint="eastAsia" w:ascii="仿宋_GB2312" w:eastAsia="仿宋_GB2312"/>
          <w:szCs w:val="32"/>
        </w:rPr>
        <w:t>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二十四、社会保障和就业支出（类）社会福利（款）养老服务（项）：</w:t>
      </w:r>
      <w:r>
        <w:rPr>
          <w:rFonts w:hint="eastAsia" w:ascii="仿宋_GB2312" w:eastAsia="仿宋_GB2312"/>
          <w:szCs w:val="32"/>
        </w:rPr>
        <w:t>反映</w:t>
      </w:r>
      <w:r>
        <w:rPr>
          <w:rFonts w:hint="eastAsia" w:ascii="仿宋_GB2312" w:eastAsia="仿宋_GB2312"/>
          <w:szCs w:val="32"/>
          <w:lang w:eastAsia="zh-CN"/>
        </w:rPr>
        <w:t>财政在养老服务方面的补助支出，包括支持居家养老服务、社区养老服务和机构养老服务的支出，对养老服务机构的运营、建设补助支出等，不包括对社会福利事业单位的补助支出。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二十五、社会保障和就业支出（类）其他社会保障和就业支出（款）其他社会保障和就业支出（项）：</w:t>
      </w:r>
      <w:r>
        <w:rPr>
          <w:rFonts w:hint="eastAsia" w:ascii="仿宋_GB2312" w:eastAsia="仿宋_GB2312"/>
          <w:szCs w:val="32"/>
        </w:rPr>
        <w:t>反映除上述项目以外其他用于社会保障和就业方面的支出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二十六、卫生健康支出（类）计划生育事务（款）其他计划生育事务支出（项）：</w:t>
      </w:r>
      <w:r>
        <w:rPr>
          <w:rFonts w:hint="eastAsia" w:ascii="仿宋_GB2312" w:eastAsia="仿宋_GB2312"/>
          <w:szCs w:val="32"/>
          <w:lang w:eastAsia="zh-CN"/>
        </w:rPr>
        <w:t>反映除上述项目以外其他用于计划生育管理事务方面的支出。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二十七、卫生健康支出（类）其他卫生健康支出（款）其他卫生健康支出（项）：</w:t>
      </w:r>
      <w:r>
        <w:rPr>
          <w:rFonts w:hint="eastAsia" w:ascii="仿宋_GB2312" w:eastAsia="仿宋_GB2312"/>
          <w:szCs w:val="32"/>
          <w:lang w:eastAsia="zh-CN"/>
        </w:rPr>
        <w:t>反映除上述项目以外其他用于卫生健康方面的支出。</w:t>
      </w:r>
    </w:p>
    <w:p>
      <w:pPr>
        <w:spacing w:line="510" w:lineRule="exact"/>
        <w:ind w:firstLine="640" w:firstLineChars="200"/>
        <w:rPr>
          <w:rFonts w:hint="eastAsia" w:ascii="黑体" w:hAnsi="黑体" w:eastAsia="黑体"/>
          <w:szCs w:val="32"/>
          <w:lang w:eastAsia="zh-CN"/>
        </w:rPr>
      </w:pPr>
      <w:r>
        <w:rPr>
          <w:rFonts w:hint="eastAsia" w:ascii="黑体" w:hAnsi="黑体" w:eastAsia="黑体"/>
          <w:szCs w:val="32"/>
          <w:lang w:eastAsia="zh-CN"/>
        </w:rPr>
        <w:t>二十八、节能环保支出（类）其他节能环保支出（款）其他节能环保支出（项）：反映除上述项目以外其他用于其他节能环保支出方面的支出。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二十九、城乡社区支出（类）其他节城乡社区支出（款）其他城乡社区支出（项）：</w:t>
      </w:r>
      <w:r>
        <w:rPr>
          <w:rFonts w:hint="eastAsia" w:ascii="仿宋_GB2312" w:eastAsia="仿宋_GB2312"/>
          <w:szCs w:val="32"/>
        </w:rPr>
        <w:t>反映除上述项目以外其他用于城乡社区方面的支出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三十、农林水支出（类）农业农村（款）其他农业农村支出（项）：</w:t>
      </w:r>
      <w:r>
        <w:rPr>
          <w:rFonts w:hint="eastAsia" w:ascii="仿宋_GB2312" w:eastAsia="仿宋_GB2312"/>
          <w:szCs w:val="32"/>
        </w:rPr>
        <w:t>反映除上述项目以外其他用于农业农村方面的支出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rPr>
      </w:pPr>
      <w:r>
        <w:rPr>
          <w:rFonts w:hint="eastAsia" w:ascii="黑体" w:hAnsi="黑体" w:eastAsia="黑体"/>
          <w:szCs w:val="32"/>
          <w:lang w:eastAsia="zh-CN"/>
        </w:rPr>
        <w:t>三十一、农林水支出（类）林业与草原（款）森林生态效益补偿（项）：</w:t>
      </w:r>
      <w:r>
        <w:rPr>
          <w:rFonts w:hint="eastAsia" w:ascii="仿宋_GB2312" w:eastAsia="仿宋_GB2312"/>
          <w:szCs w:val="32"/>
        </w:rPr>
        <w:t>反映用于公益林保护和管理等方面的支出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三十二、农林水支出（类）林业与草原（款）林业草原防灾减灾（项）：</w:t>
      </w:r>
      <w:r>
        <w:rPr>
          <w:rFonts w:hint="eastAsia" w:ascii="仿宋_GB2312" w:eastAsia="仿宋_GB2312"/>
          <w:szCs w:val="32"/>
        </w:rPr>
        <w:t>反映用于病虫害等有害生物灾害、森林草原防火、野生动物疫病灾害等方面的支出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三十三、农林水支出（类）巩固脱贫攻坚成果衔接乡村振兴（款）其他巩固脱贫攻坚成果衔接乡村振兴支出（项）：</w:t>
      </w:r>
      <w:r>
        <w:rPr>
          <w:rFonts w:hint="eastAsia" w:ascii="仿宋_GB2312" w:eastAsia="仿宋_GB2312"/>
          <w:szCs w:val="32"/>
          <w:lang w:eastAsia="zh-CN"/>
        </w:rPr>
        <w:t>反映除上述项目以外其他用于巩固拓展脱贫攻坚成果同乡村振兴有效衔接方面的支出。</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三十四、农林水支出（类）农村综合改革（款）对村民委员会和村党支部的补助（项）：</w:t>
      </w:r>
      <w:r>
        <w:rPr>
          <w:rFonts w:hint="eastAsia" w:ascii="仿宋_GB2312" w:eastAsia="仿宋_GB2312"/>
          <w:szCs w:val="32"/>
        </w:rPr>
        <w:t>反映各级财政对村民委员会和村党支部的补助支出，以及支持建立县级基本财力保障机制安排的村级组织运转奖补资金</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三十五、农林水支出（类）农村综合改革（款）其他农村综合改革支出（项）：</w:t>
      </w:r>
      <w:r>
        <w:rPr>
          <w:rFonts w:hint="eastAsia" w:ascii="仿宋_GB2312" w:eastAsia="仿宋_GB2312"/>
          <w:szCs w:val="32"/>
        </w:rPr>
        <w:t>反映除上述项目以外其他用于农村综合改革方面的支出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三十六、农林水支出（类）其他农林水支出（款）其他农林水支出（项）：</w:t>
      </w:r>
      <w:r>
        <w:rPr>
          <w:rFonts w:hint="eastAsia" w:ascii="仿宋_GB2312" w:eastAsia="仿宋_GB2312"/>
          <w:szCs w:val="32"/>
        </w:rPr>
        <w:t>反映除化解债务支出以外其他用于农林水方面的支出</w:t>
      </w:r>
      <w:r>
        <w:rPr>
          <w:rFonts w:hint="eastAsia" w:ascii="仿宋_GB2312" w:eastAsia="仿宋_GB2312"/>
          <w:szCs w:val="32"/>
          <w:lang w:eastAsia="zh-CN"/>
        </w:rPr>
        <w:t>。</w:t>
      </w:r>
    </w:p>
    <w:p>
      <w:pPr>
        <w:spacing w:line="510" w:lineRule="exact"/>
        <w:ind w:firstLine="640" w:firstLineChars="200"/>
        <w:rPr>
          <w:rFonts w:hint="eastAsia" w:ascii="仿宋_GB2312" w:eastAsia="仿宋_GB2312"/>
          <w:szCs w:val="32"/>
          <w:lang w:eastAsia="zh-CN"/>
        </w:rPr>
      </w:pPr>
      <w:r>
        <w:rPr>
          <w:rFonts w:hint="eastAsia" w:ascii="黑体" w:hAnsi="黑体" w:eastAsia="黑体"/>
          <w:szCs w:val="32"/>
          <w:lang w:eastAsia="zh-CN"/>
        </w:rPr>
        <w:t>三十七、住房保障支出（类）住房改革支出（款）住房公积金（项）：</w:t>
      </w:r>
      <w:r>
        <w:rPr>
          <w:rFonts w:hint="eastAsia" w:ascii="仿宋_GB2312" w:eastAsia="仿宋_GB2312"/>
          <w:szCs w:val="32"/>
        </w:rPr>
        <w:t>反映</w:t>
      </w:r>
      <w:r>
        <w:rPr>
          <w:rFonts w:hint="eastAsia" w:ascii="仿宋_GB2312" w:eastAsia="仿宋_GB2312"/>
          <w:szCs w:val="32"/>
          <w:lang w:eastAsia="zh-CN"/>
        </w:rPr>
        <w:t>行政事业单位按人力资源和社会保障部、财政部规定的基本工资和津贴补贴以及规定比例为职工缴纳的住房公积金。</w:t>
      </w:r>
    </w:p>
    <w:p>
      <w:pPr>
        <w:spacing w:line="510" w:lineRule="exact"/>
        <w:ind w:firstLine="640" w:firstLineChars="200"/>
        <w:rPr>
          <w:rFonts w:hint="eastAsia" w:ascii="仿宋_GB2312" w:eastAsia="仿宋_GB2312"/>
          <w:szCs w:val="32"/>
          <w:lang w:eastAsia="zh-CN"/>
        </w:rPr>
      </w:pPr>
    </w:p>
    <w:p>
      <w:pPr>
        <w:spacing w:line="510" w:lineRule="exact"/>
        <w:ind w:firstLine="640" w:firstLineChars="200"/>
        <w:rPr>
          <w:rFonts w:hint="eastAsia" w:ascii="仿宋_GB2312" w:eastAsia="仿宋_GB2312"/>
          <w:szCs w:val="32"/>
          <w:lang w:eastAsia="zh-CN"/>
        </w:rPr>
      </w:pPr>
    </w:p>
    <w:p>
      <w:pPr>
        <w:spacing w:line="510" w:lineRule="exact"/>
        <w:ind w:firstLine="640" w:firstLineChars="200"/>
        <w:rPr>
          <w:rFonts w:hint="eastAsia" w:ascii="黑体" w:hAnsi="黑体" w:eastAsia="黑体"/>
          <w:szCs w:val="32"/>
          <w:lang w:eastAsia="zh-CN"/>
        </w:rPr>
      </w:pPr>
    </w:p>
    <w:p>
      <w:pPr>
        <w:spacing w:line="510" w:lineRule="exact"/>
        <w:ind w:firstLine="640" w:firstLineChars="200"/>
        <w:rPr>
          <w:rFonts w:hint="eastAsia" w:ascii="仿宋_GB2312" w:eastAsia="仿宋_GB2312"/>
          <w:szCs w:val="32"/>
          <w:lang w:eastAsia="zh-CN"/>
        </w:rPr>
      </w:pPr>
    </w:p>
    <w:p>
      <w:pPr>
        <w:spacing w:line="510" w:lineRule="exact"/>
        <w:ind w:firstLine="640" w:firstLineChars="200"/>
        <w:rPr>
          <w:rFonts w:hint="eastAsia" w:ascii="仿宋_GB2312" w:eastAsia="仿宋_GB2312"/>
          <w:szCs w:val="32"/>
          <w:lang w:eastAsia="zh-CN"/>
        </w:rPr>
      </w:pPr>
    </w:p>
    <w:p>
      <w:pPr>
        <w:spacing w:line="510" w:lineRule="exact"/>
        <w:ind w:firstLine="640" w:firstLineChars="200"/>
        <w:rPr>
          <w:rFonts w:hint="eastAsia" w:ascii="仿宋_GB2312" w:eastAsia="仿宋_GB2312"/>
          <w:szCs w:val="32"/>
          <w:lang w:eastAsia="zh-CN"/>
        </w:rPr>
      </w:pPr>
    </w:p>
    <w:p>
      <w:pPr>
        <w:spacing w:line="510" w:lineRule="exact"/>
        <w:ind w:firstLine="640" w:firstLineChars="200"/>
        <w:rPr>
          <w:rFonts w:hint="eastAsia" w:ascii="仿宋_GB2312" w:eastAsia="仿宋_GB2312"/>
          <w:szCs w:val="32"/>
          <w:lang w:eastAsia="zh-CN"/>
        </w:rPr>
      </w:pPr>
    </w:p>
    <w:p>
      <w:pPr>
        <w:rPr>
          <w:rFonts w:hint="eastAsia" w:ascii="方正小标宋简体" w:eastAsia="方正小标宋简体"/>
          <w:spacing w:val="60"/>
          <w:sz w:val="42"/>
        </w:rPr>
      </w:pPr>
    </w:p>
    <w:p>
      <w:pPr>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第五部分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 xml:space="preserve">  附  件</w:t>
      </w:r>
    </w:p>
    <w:p>
      <w:pPr>
        <w:spacing w:after="305" w:afterLines="50" w:line="600" w:lineRule="exact"/>
        <w:ind w:firstLine="420"/>
        <w:jc w:val="center"/>
        <w:rPr>
          <w:rFonts w:hint="eastAsia" w:ascii="方正小标宋简体" w:hAnsi="方正小标宋简体" w:eastAsia="方正小标宋简体" w:cs="方正小标宋简体"/>
          <w:sz w:val="44"/>
          <w:szCs w:val="44"/>
        </w:rPr>
      </w:pPr>
    </w:p>
    <w:p>
      <w:pPr>
        <w:spacing w:after="305" w:afterLines="50" w:line="600" w:lineRule="exact"/>
        <w:ind w:firstLine="420"/>
        <w:jc w:val="center"/>
        <w:rPr>
          <w:rFonts w:hint="eastAsia" w:ascii="方正小标宋简体" w:hAnsi="方正小标宋简体" w:eastAsia="方正小标宋简体" w:cs="方正小标宋简体"/>
          <w:sz w:val="44"/>
          <w:szCs w:val="44"/>
        </w:rPr>
      </w:pPr>
    </w:p>
    <w:p>
      <w:pPr>
        <w:spacing w:after="305" w:afterLines="50" w:line="600" w:lineRule="exact"/>
        <w:ind w:firstLine="42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r>
        <w:rPr>
          <w:rFonts w:hint="eastAsia" w:ascii="方正小标宋简体" w:hAnsi="方正小标宋简体" w:eastAsia="方正小标宋简体" w:cs="方正小标宋简体"/>
          <w:sz w:val="44"/>
          <w:szCs w:val="44"/>
          <w:lang w:eastAsia="zh-CN"/>
        </w:rPr>
        <w:t>区级</w:t>
      </w:r>
      <w:r>
        <w:rPr>
          <w:rFonts w:hint="eastAsia" w:ascii="方正小标宋简体" w:hAnsi="方正小标宋简体" w:eastAsia="方正小标宋简体" w:cs="方正小标宋简体"/>
          <w:sz w:val="44"/>
          <w:szCs w:val="44"/>
        </w:rPr>
        <w:t>预算项目绩效自评情况汇总表</w:t>
      </w:r>
    </w:p>
    <w:p>
      <w:pPr>
        <w:widowControl/>
        <w:spacing w:before="610" w:beforeLines="100"/>
        <w:jc w:val="left"/>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部门（单位）：</w:t>
      </w:r>
      <w:r>
        <w:rPr>
          <w:rFonts w:hint="eastAsia" w:ascii="黑体" w:hAnsi="宋体" w:eastAsia="黑体" w:cs="黑体"/>
          <w:color w:val="000000"/>
          <w:kern w:val="0"/>
          <w:sz w:val="24"/>
          <w:lang w:eastAsia="zh-CN" w:bidi="ar"/>
        </w:rPr>
        <w:t>即墨区龙泉街道</w:t>
      </w:r>
    </w:p>
    <w:tbl>
      <w:tblPr>
        <w:tblStyle w:val="17"/>
        <w:tblW w:w="10720" w:type="dxa"/>
        <w:jc w:val="center"/>
        <w:tblInd w:w="0" w:type="dxa"/>
        <w:tblLayout w:type="fixed"/>
        <w:tblCellMar>
          <w:top w:w="15" w:type="dxa"/>
          <w:left w:w="15" w:type="dxa"/>
          <w:bottom w:w="15" w:type="dxa"/>
          <w:right w:w="15" w:type="dxa"/>
        </w:tblCellMar>
      </w:tblPr>
      <w:tblGrid>
        <w:gridCol w:w="989"/>
        <w:gridCol w:w="4785"/>
        <w:gridCol w:w="2827"/>
        <w:gridCol w:w="1064"/>
        <w:gridCol w:w="1055"/>
      </w:tblGrid>
      <w:tr>
        <w:tblPrEx>
          <w:tblLayout w:type="fixed"/>
          <w:tblCellMar>
            <w:top w:w="15" w:type="dxa"/>
            <w:left w:w="15" w:type="dxa"/>
            <w:bottom w:w="15" w:type="dxa"/>
            <w:right w:w="15" w:type="dxa"/>
          </w:tblCellMar>
        </w:tblPrEx>
        <w:trPr>
          <w:trHeight w:val="541" w:hRule="atLeast"/>
          <w:tblHeader/>
          <w:jc w:val="center"/>
        </w:trPr>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序号</w:t>
            </w:r>
          </w:p>
        </w:tc>
        <w:tc>
          <w:tcPr>
            <w:tcW w:w="4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项目名称</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资金使用单位</w:t>
            </w:r>
          </w:p>
        </w:tc>
        <w:tc>
          <w:tcPr>
            <w:tcW w:w="1064" w:type="dxa"/>
            <w:tcBorders>
              <w:top w:val="single" w:color="000000" w:sz="4" w:space="0"/>
              <w:left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自评得分</w:t>
            </w:r>
          </w:p>
        </w:tc>
        <w:tc>
          <w:tcPr>
            <w:tcW w:w="1055" w:type="dxa"/>
            <w:tcBorders>
              <w:top w:val="single" w:color="000000" w:sz="4" w:space="0"/>
              <w:left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自评等级</w:t>
            </w:r>
          </w:p>
        </w:tc>
      </w:tr>
      <w:tr>
        <w:tblPrEx>
          <w:tblLayout w:type="fixed"/>
          <w:tblCellMar>
            <w:top w:w="15" w:type="dxa"/>
            <w:left w:w="15" w:type="dxa"/>
            <w:bottom w:w="15" w:type="dxa"/>
            <w:right w:w="15" w:type="dxa"/>
          </w:tblCellMar>
        </w:tblPrEx>
        <w:trPr>
          <w:trHeight w:val="541" w:hRule="atLeast"/>
          <w:jc w:val="center"/>
        </w:trPr>
        <w:tc>
          <w:tcPr>
            <w:tcW w:w="10720" w:type="dxa"/>
            <w:gridSpan w:val="5"/>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b/>
                <w:color w:val="000000"/>
                <w:sz w:val="24"/>
              </w:rPr>
            </w:pPr>
            <w:r>
              <w:rPr>
                <w:rFonts w:hint="eastAsia" w:ascii="仿宋_GB2312" w:hAnsi="宋体" w:eastAsia="仿宋_GB2312" w:cs="仿宋_GB2312"/>
                <w:b/>
                <w:color w:val="000000"/>
                <w:kern w:val="0"/>
                <w:sz w:val="24"/>
                <w:lang w:val="en-US" w:eastAsia="zh-CN" w:bidi="ar"/>
              </w:rPr>
              <w:t>区</w:t>
            </w:r>
            <w:r>
              <w:rPr>
                <w:rFonts w:hint="eastAsia" w:ascii="仿宋_GB2312" w:hAnsi="宋体" w:eastAsia="仿宋_GB2312" w:cs="仿宋_GB2312"/>
                <w:b/>
                <w:color w:val="000000"/>
                <w:kern w:val="0"/>
                <w:sz w:val="24"/>
                <w:lang w:bidi="ar"/>
              </w:rPr>
              <w:t>对下转移支付项目绩效自评</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1</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永久基本农田非耕地整改奖补资金</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100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2</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2023年度龙泉街道段村修家街小型公益性基础设施</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99</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bidi="ar"/>
              </w:rPr>
              <w:t>3</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政府投资项目-空中缆线整治上半年奖补资金</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90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val="en-US" w:eastAsia="zh-CN" w:bidi="ar"/>
              </w:rPr>
              <w:t>4</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2022年下半年农村改厕管护补贴资金</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90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val="en-US" w:eastAsia="zh-CN" w:bidi="ar"/>
              </w:rPr>
              <w:t>5</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2022年-2023年上半年部分农村人居环境整治提升奖补</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90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val="en-US" w:eastAsia="zh-CN" w:bidi="ar"/>
              </w:rPr>
              <w:t>6</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农村综合改革转移支付</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100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val="en-US" w:eastAsia="zh-CN" w:bidi="ar"/>
              </w:rPr>
              <w:t>7</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落实公办及集体幼儿园非公办教职工待遇</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100</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优</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textDirection w:val="lrTb"/>
            <w:vAlign w:val="center"/>
          </w:tcPr>
          <w:p>
            <w:pPr>
              <w:widowControl/>
              <w:jc w:val="center"/>
              <w:textAlignment w:val="center"/>
              <w:rPr>
                <w:rFonts w:hint="eastAsia" w:ascii="仿宋_GB2312" w:hAnsi="宋体" w:eastAsia="仿宋_GB2312" w:cs="仿宋_GB2312"/>
                <w:color w:val="000000"/>
                <w:kern w:val="0"/>
                <w:sz w:val="24"/>
                <w:lang w:val="en-US" w:eastAsia="zh-CN" w:bidi="ar"/>
              </w:rPr>
            </w:pPr>
            <w:r>
              <w:rPr>
                <w:rFonts w:hint="eastAsia" w:ascii="仿宋_GB2312" w:hAnsi="宋体" w:eastAsia="仿宋_GB2312" w:cs="仿宋_GB2312"/>
                <w:color w:val="000000"/>
                <w:kern w:val="0"/>
                <w:sz w:val="24"/>
                <w:lang w:val="en-US" w:eastAsia="zh-CN" w:bidi="ar"/>
              </w:rPr>
              <w:t>8</w:t>
            </w:r>
          </w:p>
        </w:tc>
        <w:tc>
          <w:tcPr>
            <w:tcW w:w="4785" w:type="dxa"/>
            <w:tcBorders>
              <w:top w:val="single" w:color="000000" w:sz="4" w:space="0"/>
              <w:left w:val="single" w:color="000000" w:sz="4" w:space="0"/>
              <w:bottom w:val="single" w:color="000000" w:sz="4" w:space="0"/>
              <w:right w:val="single" w:color="000000" w:sz="4" w:space="0"/>
            </w:tcBorders>
            <w:textDirection w:val="lrTb"/>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城市社区党组织服务群众</w:t>
            </w:r>
          </w:p>
        </w:tc>
        <w:tc>
          <w:tcPr>
            <w:tcW w:w="2827"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ascii="宋体" w:hAnsi="宋体" w:cs="宋体"/>
                <w:color w:val="000000"/>
                <w:sz w:val="24"/>
              </w:rPr>
              <w:t>即墨区龙泉街道</w:t>
            </w:r>
          </w:p>
        </w:tc>
        <w:tc>
          <w:tcPr>
            <w:tcW w:w="1064" w:type="dxa"/>
            <w:tcBorders>
              <w:top w:val="single" w:color="000000" w:sz="4" w:space="0"/>
              <w:left w:val="single" w:color="000000" w:sz="4" w:space="0"/>
              <w:bottom w:val="single" w:color="000000" w:sz="4" w:space="0"/>
              <w:right w:val="single" w:color="000000" w:sz="4" w:space="0"/>
            </w:tcBorders>
            <w:textDirection w:val="lrTb"/>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auto"/>
                <w:sz w:val="24"/>
                <w:lang w:val="en-US" w:eastAsia="zh-CN"/>
              </w:rPr>
              <w:t>85</w:t>
            </w:r>
          </w:p>
        </w:tc>
        <w:tc>
          <w:tcPr>
            <w:tcW w:w="1055" w:type="dxa"/>
            <w:tcBorders>
              <w:top w:val="single" w:color="000000" w:sz="4" w:space="0"/>
              <w:left w:val="single" w:color="000000" w:sz="4" w:space="0"/>
              <w:bottom w:val="single" w:color="000000" w:sz="4" w:space="0"/>
              <w:right w:val="single" w:color="000000" w:sz="4" w:space="0"/>
            </w:tcBorders>
            <w:textDirection w:val="lrTb"/>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r>
              <w:rPr>
                <w:rFonts w:hint="eastAsia" w:ascii="仿宋_GB2312" w:hAnsi="宋体" w:eastAsia="仿宋_GB2312" w:cs="仿宋_GB2312"/>
                <w:color w:val="000000"/>
                <w:sz w:val="24"/>
                <w:lang w:eastAsia="zh-CN"/>
              </w:rPr>
              <w:t>良</w:t>
            </w:r>
          </w:p>
        </w:tc>
      </w:tr>
      <w:tr>
        <w:tblPrEx>
          <w:tblLayout w:type="fixed"/>
          <w:tblCellMar>
            <w:top w:w="15" w:type="dxa"/>
            <w:left w:w="15" w:type="dxa"/>
            <w:bottom w:w="15" w:type="dxa"/>
            <w:right w:w="15" w:type="dxa"/>
          </w:tblCellMar>
        </w:tblPrEx>
        <w:trPr>
          <w:trHeight w:val="541" w:hRule="atLeast"/>
          <w:jc w:val="center"/>
        </w:trPr>
        <w:tc>
          <w:tcPr>
            <w:tcW w:w="10720" w:type="dxa"/>
            <w:gridSpan w:val="5"/>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b/>
                <w:color w:val="000000"/>
                <w:sz w:val="24"/>
              </w:rPr>
            </w:pPr>
            <w:r>
              <w:rPr>
                <w:rFonts w:hint="eastAsia" w:ascii="仿宋_GB2312" w:hAnsi="宋体" w:eastAsia="仿宋_GB2312" w:cs="仿宋_GB2312"/>
                <w:b/>
                <w:color w:val="000000"/>
                <w:kern w:val="0"/>
                <w:sz w:val="24"/>
                <w:lang w:val="en-US" w:eastAsia="zh-CN" w:bidi="ar"/>
              </w:rPr>
              <w:t>区</w:t>
            </w:r>
            <w:r>
              <w:rPr>
                <w:rFonts w:hint="eastAsia" w:ascii="仿宋_GB2312" w:hAnsi="宋体" w:eastAsia="仿宋_GB2312" w:cs="仿宋_GB2312"/>
                <w:b/>
                <w:color w:val="000000"/>
                <w:kern w:val="0"/>
                <w:sz w:val="24"/>
                <w:lang w:bidi="ar"/>
              </w:rPr>
              <w:t>本级项目支出绩效自评</w:t>
            </w:r>
          </w:p>
        </w:tc>
      </w:tr>
      <w:tr>
        <w:tblPrEx>
          <w:tblLayout w:type="fixed"/>
          <w:tblCellMar>
            <w:top w:w="15" w:type="dxa"/>
            <w:left w:w="15" w:type="dxa"/>
            <w:bottom w:w="15" w:type="dxa"/>
            <w:right w:w="15" w:type="dxa"/>
          </w:tblCellMar>
        </w:tblPrEx>
        <w:trPr>
          <w:trHeight w:val="541" w:hRule="atLeast"/>
          <w:jc w:val="center"/>
        </w:trPr>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1</w:t>
            </w:r>
          </w:p>
        </w:tc>
        <w:tc>
          <w:tcPr>
            <w:tcW w:w="478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p>
        </w:tc>
        <w:tc>
          <w:tcPr>
            <w:tcW w:w="282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 w:val="24"/>
              </w:rPr>
            </w:pPr>
          </w:p>
        </w:tc>
        <w:tc>
          <w:tcPr>
            <w:tcW w:w="106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sz w:val="24"/>
                <w:lang w:val="en-US" w:eastAsia="zh-CN"/>
              </w:rPr>
            </w:pPr>
          </w:p>
        </w:tc>
        <w:tc>
          <w:tcPr>
            <w:tcW w:w="105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sz w:val="24"/>
                <w:lang w:eastAsia="zh-CN"/>
              </w:rPr>
            </w:pPr>
          </w:p>
        </w:tc>
      </w:tr>
      <w:tr>
        <w:tblPrEx>
          <w:tblLayout w:type="fixed"/>
          <w:tblCellMar>
            <w:top w:w="15" w:type="dxa"/>
            <w:left w:w="15" w:type="dxa"/>
            <w:bottom w:w="15" w:type="dxa"/>
            <w:right w:w="15" w:type="dxa"/>
          </w:tblCellMar>
        </w:tblPrEx>
        <w:trPr>
          <w:trHeight w:val="549" w:hRule="atLeast"/>
          <w:jc w:val="center"/>
        </w:trPr>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2</w:t>
            </w:r>
          </w:p>
        </w:tc>
        <w:tc>
          <w:tcPr>
            <w:tcW w:w="478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p>
        </w:tc>
        <w:tc>
          <w:tcPr>
            <w:tcW w:w="2827" w:type="dxa"/>
            <w:tcBorders>
              <w:top w:val="single" w:color="000000" w:sz="4" w:space="0"/>
              <w:left w:val="single" w:color="000000" w:sz="4" w:space="0"/>
              <w:bottom w:val="single" w:color="000000" w:sz="4" w:space="0"/>
              <w:right w:val="single" w:color="000000" w:sz="4" w:space="0"/>
            </w:tcBorders>
            <w:vAlign w:val="center"/>
          </w:tcPr>
          <w:p>
            <w:pPr>
              <w:jc w:val="center"/>
              <w:rPr>
                <w:rFonts w:ascii="Calibri" w:hAnsi="Calibri" w:cs="Calibri"/>
                <w:color w:val="000000"/>
                <w:sz w:val="21"/>
                <w:szCs w:val="21"/>
              </w:rPr>
            </w:pPr>
          </w:p>
        </w:tc>
        <w:tc>
          <w:tcPr>
            <w:tcW w:w="106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sz w:val="24"/>
                <w:lang w:val="en-US" w:eastAsia="zh-CN"/>
              </w:rPr>
            </w:pPr>
          </w:p>
        </w:tc>
        <w:tc>
          <w:tcPr>
            <w:tcW w:w="105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lang w:val="en-US" w:eastAsia="zh-CN"/>
              </w:rPr>
              <w:t xml:space="preserve">  </w:t>
            </w:r>
          </w:p>
        </w:tc>
      </w:tr>
    </w:tbl>
    <w:p>
      <w:pPr>
        <w:spacing w:line="500" w:lineRule="exact"/>
        <w:ind w:firstLine="552" w:firstLineChars="200"/>
        <w:rPr>
          <w:rFonts w:ascii="仿宋_GB2312" w:hAnsi="宋体" w:eastAsia="仿宋_GB2312"/>
          <w:sz w:val="22"/>
          <w:szCs w:val="22"/>
          <w:lang w:val="zh-CN"/>
        </w:rPr>
      </w:pPr>
    </w:p>
    <w:p>
      <w:pPr>
        <w:spacing w:line="500" w:lineRule="exact"/>
        <w:ind w:firstLine="552" w:firstLineChars="200"/>
        <w:rPr>
          <w:rFonts w:ascii="仿宋_GB2312" w:hAnsi="宋体" w:eastAsia="仿宋_GB2312"/>
          <w:sz w:val="22"/>
          <w:szCs w:val="22"/>
          <w:lang w:val="zh-CN"/>
        </w:rPr>
      </w:pPr>
    </w:p>
    <w:p>
      <w:pPr>
        <w:jc w:val="left"/>
        <w:rPr>
          <w:lang w:val="zh-CN" w:eastAsia="zh-CN"/>
        </w:rPr>
      </w:pPr>
    </w:p>
    <w:p>
      <w:pPr>
        <w:spacing w:line="240" w:lineRule="auto"/>
        <w:ind w:firstLine="552" w:firstLineChars="200"/>
        <w:rPr>
          <w:rFonts w:ascii="仿宋_GB2312" w:hAnsi="宋体" w:eastAsia="仿宋_GB2312"/>
          <w:sz w:val="22"/>
          <w:szCs w:val="22"/>
          <w:lang w:val="zh-CN"/>
        </w:rPr>
      </w:pPr>
      <w:r>
        <w:rPr>
          <w:rFonts w:ascii="仿宋_GB2312" w:hAnsi="宋体" w:eastAsia="仿宋_GB2312"/>
          <w:sz w:val="22"/>
          <w:szCs w:val="22"/>
          <w:lang w:val="zh-CN"/>
        </w:rPr>
        <w:drawing>
          <wp:inline distT="0" distB="0" distL="114300" distR="114300">
            <wp:extent cx="5887085" cy="8023225"/>
            <wp:effectExtent l="0" t="0" r="18415" b="15875"/>
            <wp:docPr id="5" name="图片 5" descr="永久基本农田非耕地整改奖补项目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永久基本农田非耕地整改奖补项目绩效自评表"/>
                    <pic:cNvPicPr>
                      <a:picLocks noChangeAspect="1"/>
                    </pic:cNvPicPr>
                  </pic:nvPicPr>
                  <pic:blipFill>
                    <a:blip r:embed="rId13"/>
                    <a:stretch>
                      <a:fillRect/>
                    </a:stretch>
                  </pic:blipFill>
                  <pic:spPr>
                    <a:xfrm>
                      <a:off x="0" y="0"/>
                      <a:ext cx="5887085" cy="8023225"/>
                    </a:xfrm>
                    <a:prstGeom prst="rect">
                      <a:avLst/>
                    </a:prstGeom>
                  </pic:spPr>
                </pic:pic>
              </a:graphicData>
            </a:graphic>
          </wp:inline>
        </w:drawing>
      </w:r>
    </w:p>
    <w:p>
      <w:pPr>
        <w:spacing w:line="240" w:lineRule="auto"/>
        <w:ind w:firstLine="552" w:firstLineChars="200"/>
        <w:rPr>
          <w:rFonts w:ascii="仿宋_GB2312" w:hAnsi="宋体" w:eastAsia="仿宋_GB2312"/>
          <w:sz w:val="22"/>
          <w:szCs w:val="22"/>
          <w:lang w:val="zh-CN"/>
        </w:rPr>
      </w:pPr>
    </w:p>
    <w:p>
      <w:pPr>
        <w:spacing w:line="240" w:lineRule="auto"/>
        <w:ind w:firstLine="552" w:firstLineChars="200"/>
        <w:rPr>
          <w:rFonts w:ascii="仿宋_GB2312" w:hAnsi="宋体" w:eastAsia="仿宋_GB2312"/>
          <w:sz w:val="22"/>
          <w:szCs w:val="22"/>
          <w:lang w:val="zh-CN"/>
        </w:rPr>
      </w:pPr>
      <w:r>
        <w:rPr>
          <w:rFonts w:ascii="仿宋_GB2312" w:hAnsi="宋体" w:eastAsia="仿宋_GB2312"/>
          <w:sz w:val="22"/>
          <w:szCs w:val="22"/>
          <w:lang w:val="zh-CN"/>
        </w:rPr>
        <w:drawing>
          <wp:inline distT="0" distB="0" distL="114300" distR="114300">
            <wp:extent cx="5771515" cy="7667625"/>
            <wp:effectExtent l="0" t="0" r="635" b="9525"/>
            <wp:docPr id="8" name="图片 8" descr="2023年度龙泉街道段村修家街小型公益性基础设施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23年度龙泉街道段村修家街小型公益性基础设施项目支出绩效自评表"/>
                    <pic:cNvPicPr>
                      <a:picLocks noChangeAspect="1"/>
                    </pic:cNvPicPr>
                  </pic:nvPicPr>
                  <pic:blipFill>
                    <a:blip r:embed="rId14"/>
                    <a:stretch>
                      <a:fillRect/>
                    </a:stretch>
                  </pic:blipFill>
                  <pic:spPr>
                    <a:xfrm>
                      <a:off x="0" y="0"/>
                      <a:ext cx="5771515" cy="7667625"/>
                    </a:xfrm>
                    <a:prstGeom prst="rect">
                      <a:avLst/>
                    </a:prstGeom>
                  </pic:spPr>
                </pic:pic>
              </a:graphicData>
            </a:graphic>
          </wp:inline>
        </w:drawing>
      </w:r>
    </w:p>
    <w:p>
      <w:pPr>
        <w:spacing w:line="240" w:lineRule="auto"/>
        <w:ind w:firstLine="552" w:firstLineChars="200"/>
        <w:rPr>
          <w:rFonts w:ascii="仿宋_GB2312" w:hAnsi="宋体" w:eastAsia="仿宋_GB2312"/>
          <w:sz w:val="22"/>
          <w:szCs w:val="22"/>
          <w:lang w:val="zh-CN"/>
        </w:rPr>
      </w:pPr>
    </w:p>
    <w:p>
      <w:pPr>
        <w:spacing w:line="240" w:lineRule="auto"/>
        <w:ind w:firstLine="552" w:firstLineChars="200"/>
        <w:rPr>
          <w:rFonts w:ascii="仿宋_GB2312" w:hAnsi="宋体" w:eastAsia="仿宋_GB2312"/>
          <w:sz w:val="22"/>
          <w:szCs w:val="22"/>
          <w:lang w:val="zh-CN"/>
        </w:rPr>
      </w:pPr>
    </w:p>
    <w:p>
      <w:pPr>
        <w:spacing w:line="240" w:lineRule="auto"/>
        <w:ind w:firstLine="552" w:firstLineChars="200"/>
        <w:rPr>
          <w:rFonts w:ascii="仿宋_GB2312" w:hAnsi="宋体" w:eastAsia="仿宋_GB2312"/>
          <w:sz w:val="22"/>
          <w:szCs w:val="22"/>
          <w:lang w:val="zh-CN"/>
        </w:rPr>
      </w:pPr>
      <w:r>
        <w:rPr>
          <w:rFonts w:ascii="仿宋_GB2312" w:hAnsi="宋体" w:eastAsia="仿宋_GB2312"/>
          <w:sz w:val="22"/>
          <w:szCs w:val="22"/>
          <w:lang w:val="zh-CN"/>
        </w:rPr>
        <w:drawing>
          <wp:inline distT="0" distB="0" distL="114300" distR="114300">
            <wp:extent cx="5665470" cy="6623685"/>
            <wp:effectExtent l="0" t="0" r="11430" b="5715"/>
            <wp:docPr id="9" name="图片 9" descr="空中缆线整治上半年奖补资金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空中缆线整治上半年奖补资金支出绩效自评表"/>
                    <pic:cNvPicPr>
                      <a:picLocks noChangeAspect="1"/>
                    </pic:cNvPicPr>
                  </pic:nvPicPr>
                  <pic:blipFill>
                    <a:blip r:embed="rId15"/>
                    <a:stretch>
                      <a:fillRect/>
                    </a:stretch>
                  </pic:blipFill>
                  <pic:spPr>
                    <a:xfrm>
                      <a:off x="0" y="0"/>
                      <a:ext cx="5665470" cy="6623685"/>
                    </a:xfrm>
                    <a:prstGeom prst="rect">
                      <a:avLst/>
                    </a:prstGeom>
                  </pic:spPr>
                </pic:pic>
              </a:graphicData>
            </a:graphic>
          </wp:inline>
        </w:drawing>
      </w:r>
    </w:p>
    <w:p>
      <w:pPr>
        <w:rPr>
          <w:rFonts w:ascii="仿宋_GB2312" w:hAnsi="宋体" w:eastAsia="仿宋_GB2312" w:cs="Times New Roman"/>
          <w:kern w:val="2"/>
          <w:sz w:val="22"/>
          <w:szCs w:val="22"/>
          <w:lang w:val="zh-CN" w:eastAsia="zh-CN" w:bidi="ar-SA"/>
        </w:rPr>
      </w:pPr>
    </w:p>
    <w:p>
      <w:pPr>
        <w:rPr>
          <w:rFonts w:ascii="仿宋_GB2312" w:hAnsi="宋体" w:eastAsia="仿宋_GB2312" w:cs="Times New Roman"/>
          <w:kern w:val="2"/>
          <w:sz w:val="22"/>
          <w:szCs w:val="22"/>
          <w:lang w:val="zh-CN" w:eastAsia="zh-CN" w:bidi="ar-SA"/>
        </w:rPr>
      </w:pPr>
    </w:p>
    <w:p>
      <w:pPr>
        <w:rPr>
          <w:rFonts w:ascii="仿宋_GB2312" w:hAnsi="宋体" w:eastAsia="仿宋_GB2312" w:cs="Times New Roman"/>
          <w:kern w:val="2"/>
          <w:sz w:val="22"/>
          <w:szCs w:val="22"/>
          <w:lang w:val="zh-CN" w:eastAsia="zh-CN" w:bidi="ar-SA"/>
        </w:rPr>
      </w:pPr>
    </w:p>
    <w:p>
      <w:pPr>
        <w:ind w:firstLine="362" w:firstLineChars="0"/>
        <w:jc w:val="left"/>
        <w:rPr>
          <w:rFonts w:ascii="仿宋_GB2312" w:hAnsi="宋体" w:eastAsia="仿宋_GB2312" w:cs="Times New Roman"/>
          <w:kern w:val="2"/>
          <w:sz w:val="22"/>
          <w:szCs w:val="22"/>
          <w:lang w:val="zh-CN" w:eastAsia="zh-CN" w:bidi="ar-SA"/>
        </w:rPr>
      </w:pPr>
    </w:p>
    <w:p>
      <w:pPr>
        <w:ind w:firstLine="362" w:firstLineChars="0"/>
        <w:jc w:val="left"/>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5648325" cy="7961630"/>
            <wp:effectExtent l="0" t="0" r="9525" b="1270"/>
            <wp:docPr id="10" name="图片 10" descr="2022年下半年农村改厕管护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2年下半年农村改厕管护项目支出绩效自评表"/>
                    <pic:cNvPicPr>
                      <a:picLocks noChangeAspect="1"/>
                    </pic:cNvPicPr>
                  </pic:nvPicPr>
                  <pic:blipFill>
                    <a:blip r:embed="rId16"/>
                    <a:stretch>
                      <a:fillRect/>
                    </a:stretch>
                  </pic:blipFill>
                  <pic:spPr>
                    <a:xfrm>
                      <a:off x="0" y="0"/>
                      <a:ext cx="5648325" cy="7961630"/>
                    </a:xfrm>
                    <a:prstGeom prst="rect">
                      <a:avLst/>
                    </a:prstGeom>
                  </pic:spPr>
                </pic:pic>
              </a:graphicData>
            </a:graphic>
          </wp:inline>
        </w:drawing>
      </w:r>
    </w:p>
    <w:p>
      <w:pPr>
        <w:ind w:firstLine="362" w:firstLineChars="0"/>
        <w:jc w:val="left"/>
        <w:rPr>
          <w:rFonts w:ascii="仿宋_GB2312" w:hAnsi="宋体" w:eastAsia="仿宋_GB2312" w:cs="Times New Roman"/>
          <w:kern w:val="2"/>
          <w:sz w:val="22"/>
          <w:szCs w:val="22"/>
          <w:lang w:val="zh-CN" w:eastAsia="zh-CN" w:bidi="ar-SA"/>
        </w:rPr>
      </w:pPr>
    </w:p>
    <w:p>
      <w:pPr>
        <w:ind w:firstLine="362" w:firstLineChars="0"/>
        <w:jc w:val="left"/>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5800090" cy="7820660"/>
            <wp:effectExtent l="0" t="0" r="10160" b="8890"/>
            <wp:docPr id="11" name="图片 11" descr="2022年-2023年上半年部分农村人居环境整治提升奖补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2年-2023年上半年部分农村人居环境整治提升奖补支出绩效自评表"/>
                    <pic:cNvPicPr>
                      <a:picLocks noChangeAspect="1"/>
                    </pic:cNvPicPr>
                  </pic:nvPicPr>
                  <pic:blipFill>
                    <a:blip r:embed="rId17"/>
                    <a:stretch>
                      <a:fillRect/>
                    </a:stretch>
                  </pic:blipFill>
                  <pic:spPr>
                    <a:xfrm>
                      <a:off x="0" y="0"/>
                      <a:ext cx="5800090" cy="7820660"/>
                    </a:xfrm>
                    <a:prstGeom prst="rect">
                      <a:avLst/>
                    </a:prstGeom>
                  </pic:spPr>
                </pic:pic>
              </a:graphicData>
            </a:graphic>
          </wp:inline>
        </w:drawing>
      </w:r>
    </w:p>
    <w:p>
      <w:pPr>
        <w:jc w:val="right"/>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203950" cy="7854950"/>
            <wp:effectExtent l="0" t="0" r="6350" b="12700"/>
            <wp:docPr id="12" name="图片 12" descr="农村综合改革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农村综合改革项目支出绩效自评表"/>
                    <pic:cNvPicPr>
                      <a:picLocks noChangeAspect="1"/>
                    </pic:cNvPicPr>
                  </pic:nvPicPr>
                  <pic:blipFill>
                    <a:blip r:embed="rId18"/>
                    <a:stretch>
                      <a:fillRect/>
                    </a:stretch>
                  </pic:blipFill>
                  <pic:spPr>
                    <a:xfrm>
                      <a:off x="0" y="0"/>
                      <a:ext cx="6203950" cy="7854950"/>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238875" cy="7865745"/>
            <wp:effectExtent l="0" t="0" r="9525" b="1905"/>
            <wp:docPr id="13" name="图片 13" descr="落实公办及集体幼儿园非公办教职工待遇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落实公办及集体幼儿园非公办教职工待遇绩效自评表"/>
                    <pic:cNvPicPr>
                      <a:picLocks noChangeAspect="1"/>
                    </pic:cNvPicPr>
                  </pic:nvPicPr>
                  <pic:blipFill>
                    <a:blip r:embed="rId19"/>
                    <a:stretch>
                      <a:fillRect/>
                    </a:stretch>
                  </pic:blipFill>
                  <pic:spPr>
                    <a:xfrm>
                      <a:off x="0" y="0"/>
                      <a:ext cx="6238875" cy="7865745"/>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bookmarkStart w:id="0" w:name="_GoBack"/>
      <w:r>
        <w:rPr>
          <w:rFonts w:ascii="仿宋_GB2312" w:hAnsi="宋体" w:eastAsia="仿宋_GB2312" w:cs="Times New Roman"/>
          <w:kern w:val="2"/>
          <w:sz w:val="22"/>
          <w:szCs w:val="22"/>
          <w:lang w:val="zh-CN" w:eastAsia="zh-CN" w:bidi="ar-SA"/>
        </w:rPr>
        <w:drawing>
          <wp:inline distT="0" distB="0" distL="114300" distR="114300">
            <wp:extent cx="6129020" cy="7395845"/>
            <wp:effectExtent l="0" t="0" r="5080" b="14605"/>
            <wp:docPr id="14" name="图片 14" descr="城市社区党组织服务群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城市社区党组织服务群众"/>
                    <pic:cNvPicPr>
                      <a:picLocks noChangeAspect="1"/>
                    </pic:cNvPicPr>
                  </pic:nvPicPr>
                  <pic:blipFill>
                    <a:blip r:embed="rId20"/>
                    <a:stretch>
                      <a:fillRect/>
                    </a:stretch>
                  </pic:blipFill>
                  <pic:spPr>
                    <a:xfrm>
                      <a:off x="0" y="0"/>
                      <a:ext cx="6129020" cy="7395845"/>
                    </a:xfrm>
                    <a:prstGeom prst="rect">
                      <a:avLst/>
                    </a:prstGeom>
                  </pic:spPr>
                </pic:pic>
              </a:graphicData>
            </a:graphic>
          </wp:inline>
        </w:drawing>
      </w:r>
      <w:bookmarkEnd w:id="0"/>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101080" cy="7691120"/>
            <wp:effectExtent l="0" t="0" r="13970" b="5080"/>
            <wp:docPr id="15" name="图片 15" descr="2022年农村清洁取暖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2年农村清洁取暖项目支出绩效自评表"/>
                    <pic:cNvPicPr>
                      <a:picLocks noChangeAspect="1"/>
                    </pic:cNvPicPr>
                  </pic:nvPicPr>
                  <pic:blipFill>
                    <a:blip r:embed="rId21"/>
                    <a:stretch>
                      <a:fillRect/>
                    </a:stretch>
                  </pic:blipFill>
                  <pic:spPr>
                    <a:xfrm>
                      <a:off x="0" y="0"/>
                      <a:ext cx="6101080" cy="7691120"/>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144895" cy="7868285"/>
            <wp:effectExtent l="0" t="0" r="8255" b="18415"/>
            <wp:docPr id="16" name="图片 16" descr="公益林生态补偿资金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公益林生态补偿资金项目支出绩效自评表"/>
                    <pic:cNvPicPr>
                      <a:picLocks noChangeAspect="1"/>
                    </pic:cNvPicPr>
                  </pic:nvPicPr>
                  <pic:blipFill>
                    <a:blip r:embed="rId22"/>
                    <a:stretch>
                      <a:fillRect/>
                    </a:stretch>
                  </pic:blipFill>
                  <pic:spPr>
                    <a:xfrm>
                      <a:off x="0" y="0"/>
                      <a:ext cx="6144895" cy="7868285"/>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122670" cy="7762875"/>
            <wp:effectExtent l="0" t="0" r="11430" b="9525"/>
            <wp:docPr id="17" name="图片 17" descr="公益林生态补偿资金（青岛市级）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公益林生态补偿资金（青岛市级）项目支出绩效自评表"/>
                    <pic:cNvPicPr>
                      <a:picLocks noChangeAspect="1"/>
                    </pic:cNvPicPr>
                  </pic:nvPicPr>
                  <pic:blipFill>
                    <a:blip r:embed="rId23"/>
                    <a:stretch>
                      <a:fillRect/>
                    </a:stretch>
                  </pic:blipFill>
                  <pic:spPr>
                    <a:xfrm>
                      <a:off x="0" y="0"/>
                      <a:ext cx="6122670" cy="7762875"/>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026150" cy="7444105"/>
            <wp:effectExtent l="0" t="0" r="12700" b="4445"/>
            <wp:docPr id="18" name="图片 18" descr="乡村振兴示范片区建设资金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乡村振兴示范片区建设资金500"/>
                    <pic:cNvPicPr>
                      <a:picLocks noChangeAspect="1"/>
                    </pic:cNvPicPr>
                  </pic:nvPicPr>
                  <pic:blipFill>
                    <a:blip r:embed="rId24"/>
                    <a:stretch>
                      <a:fillRect/>
                    </a:stretch>
                  </pic:blipFill>
                  <pic:spPr>
                    <a:xfrm>
                      <a:off x="0" y="0"/>
                      <a:ext cx="6026150" cy="7444105"/>
                    </a:xfrm>
                    <a:prstGeom prst="rect">
                      <a:avLst/>
                    </a:prstGeom>
                  </pic:spPr>
                </pic:pic>
              </a:graphicData>
            </a:graphic>
          </wp:inline>
        </w:drawing>
      </w: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p>
    <w:p>
      <w:pPr>
        <w:jc w:val="both"/>
        <w:rPr>
          <w:rFonts w:ascii="仿宋_GB2312" w:hAnsi="宋体" w:eastAsia="仿宋_GB2312" w:cs="Times New Roman"/>
          <w:kern w:val="2"/>
          <w:sz w:val="22"/>
          <w:szCs w:val="22"/>
          <w:lang w:val="zh-CN" w:eastAsia="zh-CN" w:bidi="ar-SA"/>
        </w:rPr>
      </w:pPr>
      <w:r>
        <w:rPr>
          <w:rFonts w:ascii="仿宋_GB2312" w:hAnsi="宋体" w:eastAsia="仿宋_GB2312" w:cs="Times New Roman"/>
          <w:kern w:val="2"/>
          <w:sz w:val="22"/>
          <w:szCs w:val="22"/>
          <w:lang w:val="zh-CN" w:eastAsia="zh-CN" w:bidi="ar-SA"/>
        </w:rPr>
        <w:drawing>
          <wp:inline distT="0" distB="0" distL="114300" distR="114300">
            <wp:extent cx="6222365" cy="7689850"/>
            <wp:effectExtent l="0" t="0" r="6985" b="6350"/>
            <wp:docPr id="19" name="图片 19" descr="乡村振兴示范片区建设资金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乡村振兴示范片区建设资金860"/>
                    <pic:cNvPicPr>
                      <a:picLocks noChangeAspect="1"/>
                    </pic:cNvPicPr>
                  </pic:nvPicPr>
                  <pic:blipFill>
                    <a:blip r:embed="rId25"/>
                    <a:stretch>
                      <a:fillRect/>
                    </a:stretch>
                  </pic:blipFill>
                  <pic:spPr>
                    <a:xfrm>
                      <a:off x="0" y="0"/>
                      <a:ext cx="6222365" cy="7689850"/>
                    </a:xfrm>
                    <a:prstGeom prst="rect">
                      <a:avLst/>
                    </a:prstGeom>
                  </pic:spPr>
                </pic:pic>
              </a:graphicData>
            </a:graphic>
          </wp:inline>
        </w:drawing>
      </w:r>
    </w:p>
    <w:sectPr>
      <w:pgSz w:w="11906" w:h="16838"/>
      <w:pgMar w:top="1701" w:right="1077" w:bottom="1701" w:left="1077" w:header="0" w:footer="1418" w:gutter="0"/>
      <w:cols w:space="720" w:num="1"/>
      <w:docGrid w:type="linesAndChars" w:linePitch="61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swiss"/>
    <w:pitch w:val="default"/>
    <w:sig w:usb0="00000000" w:usb1="00000000" w:usb2="00000000" w:usb3="00000000" w:csb0="00040000" w:csb1="00000000"/>
  </w:font>
  <w:font w:name="Courier New">
    <w:panose1 w:val="02070309020205020404"/>
    <w:charset w:val="00"/>
    <w:family w:val="swiss"/>
    <w:pitch w:val="default"/>
    <w:sig w:usb0="E0002AFF" w:usb1="C0007843" w:usb2="00000009" w:usb3="00000000" w:csb0="400001FF" w:csb1="FFFF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方正小标宋简体">
    <w:altName w:val="微软雅黑"/>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decorative"/>
    <w:pitch w:val="default"/>
    <w:sig w:usb0="00000000" w:usb1="00000000" w:usb2="00000000" w:usb3="00000000" w:csb0="00040000" w:csb1="00000000"/>
  </w:font>
  <w:font w:name="Courier New">
    <w:panose1 w:val="02070309020205020404"/>
    <w:charset w:val="00"/>
    <w:family w:val="decorative"/>
    <w:pitch w:val="default"/>
    <w:sig w:usb0="E0002AFF" w:usb1="C0007843" w:usb2="00000009" w:usb3="00000000" w:csb0="400001FF" w:csb1="FFFF0000"/>
  </w:font>
  <w:font w:name="仿宋_GB2312">
    <w:altName w:val="仿宋"/>
    <w:panose1 w:val="02010609030101010101"/>
    <w:charset w:val="86"/>
    <w:family w:val="roman"/>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 w:name="Courier New">
    <w:panose1 w:val="02070309020205020404"/>
    <w:charset w:val="00"/>
    <w:family w:val="roma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Malgun Gothic Semilight">
    <w:altName w:val="宋体"/>
    <w:panose1 w:val="020B0502040204020203"/>
    <w:charset w:val="86"/>
    <w:family w:val="modern"/>
    <w:pitch w:val="default"/>
    <w:sig w:usb0="00000000" w:usb1="00000000" w:usb2="00000012" w:usb3="00000000" w:csb0="003E01BD" w:csb1="00000000"/>
  </w:font>
  <w:font w:name="Arial">
    <w:panose1 w:val="020B0604020202020204"/>
    <w:charset w:val="00"/>
    <w:family w:val="modern"/>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swiss"/>
    <w:pitch w:val="default"/>
    <w:sig w:usb0="800002BF" w:usb1="38CF7CFA" w:usb2="00000016" w:usb3="00000000" w:csb0="00040001" w:csb1="00000000"/>
  </w:font>
  <w:font w:name="Malgun Gothic Semilight">
    <w:altName w:val="宋体"/>
    <w:panose1 w:val="020B0502040204020203"/>
    <w:charset w:val="86"/>
    <w:family w:val="decorative"/>
    <w:pitch w:val="default"/>
    <w:sig w:usb0="00000000" w:usb1="00000000" w:usb2="00000012" w:usb3="00000000" w:csb0="003E01BD" w:csb1="00000000"/>
  </w:font>
  <w:font w:name="Arial">
    <w:panose1 w:val="020B0604020202020204"/>
    <w:charset w:val="00"/>
    <w:family w:val="decorative"/>
    <w:pitch w:val="default"/>
    <w:sig w:usb0="E0002AFF" w:usb1="C0007843" w:usb2="00000009" w:usb3="00000000" w:csb0="400001FF" w:csb1="FFFF0000"/>
  </w:font>
  <w:font w:name="黑体">
    <w:panose1 w:val="02010609060101010101"/>
    <w:charset w:val="86"/>
    <w:family w:val="decorative"/>
    <w:pitch w:val="default"/>
    <w:sig w:usb0="800002BF" w:usb1="38CF7CFA" w:usb2="00000016" w:usb3="00000000" w:csb0="00040001" w:csb1="00000000"/>
  </w:font>
  <w:font w:name="Malgun Gothic Semilight">
    <w:altName w:val="宋体"/>
    <w:panose1 w:val="020B0502040204020203"/>
    <w:charset w:val="86"/>
    <w:family w:val="roman"/>
    <w:pitch w:val="default"/>
    <w:sig w:usb0="00000000" w:usb1="00000000" w:usb2="00000012" w:usb3="00000000" w:csb0="003E01BD" w:csb1="00000000"/>
  </w:font>
  <w:font w:name="Arial">
    <w:panose1 w:val="020B0604020202020204"/>
    <w:charset w:val="00"/>
    <w:family w:val="roman"/>
    <w:pitch w:val="default"/>
    <w:sig w:usb0="E0002AFF" w:usb1="C0007843" w:usb2="00000009" w:usb3="00000000" w:csb0="400001FF" w:csb1="FFFF0000"/>
  </w:font>
  <w:font w:name="文星简仿宋">
    <w:altName w:val="仿宋"/>
    <w:panose1 w:val="00000000000000000000"/>
    <w:charset w:val="86"/>
    <w:family w:val="modern"/>
    <w:pitch w:val="default"/>
    <w:sig w:usb0="00000000" w:usb1="00000000" w:usb2="00000010" w:usb3="00000000" w:csb0="00040000" w:csb1="00000000"/>
  </w:font>
  <w:font w:name="文星简仿宋">
    <w:altName w:val="仿宋"/>
    <w:panose1 w:val="00000000000000000000"/>
    <w:charset w:val="86"/>
    <w:family w:val="swiss"/>
    <w:pitch w:val="default"/>
    <w:sig w:usb0="00000000" w:usb1="00000000" w:usb2="00000010" w:usb3="00000000" w:csb0="00040000" w:csb1="00000000"/>
  </w:font>
  <w:font w:name="文星简仿宋">
    <w:altName w:val="仿宋"/>
    <w:panose1 w:val="00000000000000000000"/>
    <w:charset w:val="86"/>
    <w:family w:val="decorative"/>
    <w:pitch w:val="default"/>
    <w:sig w:usb0="00000000" w:usb1="00000000" w:usb2="00000010" w:usb3="00000000" w:csb0="00040000" w:csb1="00000000"/>
  </w:font>
  <w:font w:name="文星简仿宋">
    <w:altName w:val="仿宋"/>
    <w:panose1 w:val="00000000000000000000"/>
    <w:charset w:val="86"/>
    <w:family w:val="roman"/>
    <w:pitch w:val="default"/>
    <w:sig w:usb0="00000000" w:usb1="00000000" w:usb2="0000001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script"/>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文星简仿宋">
    <w:altName w:val="仿宋"/>
    <w:panose1 w:val="02010609000101010101"/>
    <w:charset w:val="86"/>
    <w:family w:val="swiss"/>
    <w:pitch w:val="default"/>
    <w:sig w:usb0="00000000" w:usb1="00000000" w:usb2="00000010" w:usb3="00000000" w:csb0="00040000" w:csb1="00000000"/>
  </w:font>
  <w:font w:name="文星简仿宋">
    <w:altName w:val="仿宋"/>
    <w:panose1 w:val="02010609000101010101"/>
    <w:charset w:val="86"/>
    <w:family w:val="decorative"/>
    <w:pitch w:val="default"/>
    <w:sig w:usb0="00000000" w:usb1="00000000" w:usb2="00000010" w:usb3="00000000" w:csb0="00040000" w:csb1="00000000"/>
  </w:font>
  <w:font w:name="文星简仿宋">
    <w:altName w:val="仿宋"/>
    <w:panose1 w:val="02010609000101010101"/>
    <w:charset w:val="86"/>
    <w:family w:val="roman"/>
    <w:pitch w:val="default"/>
    <w:sig w:usb0="00000000" w:usb1="00000000" w:usb2="00000010" w:usb3="00000000" w:csb0="00040000" w:csb1="00000000"/>
  </w:font>
  <w:font w:name="文星简仿宋">
    <w:altName w:val="仿宋"/>
    <w:panose1 w:val="02010609000101010101"/>
    <w:charset w:val="86"/>
    <w:family w:val="modern"/>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27404975">
    <w:nsid w:val="66F61BAF"/>
    <w:multiLevelType w:val="singleLevel"/>
    <w:tmpl w:val="66F61BAF"/>
    <w:lvl w:ilvl="0" w:tentative="1">
      <w:start w:val="3"/>
      <w:numFmt w:val="decimal"/>
      <w:suff w:val="nothing"/>
      <w:lvlText w:val="%1."/>
      <w:lvlJc w:val="left"/>
    </w:lvl>
  </w:abstractNum>
  <w:abstractNum w:abstractNumId="1727168070">
    <w:nsid w:val="66F27E46"/>
    <w:multiLevelType w:val="singleLevel"/>
    <w:tmpl w:val="66F27E46"/>
    <w:lvl w:ilvl="0" w:tentative="1">
      <w:start w:val="1"/>
      <w:numFmt w:val="chineseCounting"/>
      <w:suff w:val="nothing"/>
      <w:lvlText w:val="（%1）"/>
      <w:lvlJc w:val="left"/>
    </w:lvl>
  </w:abstractNum>
  <w:num w:numId="1">
    <w:abstractNumId w:val="1727168070"/>
  </w:num>
  <w:num w:numId="2">
    <w:abstractNumId w:val="17274049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0"/>
  <w:bordersDoNotSurroundFooter w:val="0"/>
  <w:documentProtection w:enforcement="0"/>
  <w:defaultTabStop w:val="420"/>
  <w:hyphenationZone w:val="360"/>
  <w:drawingGridHorizontalSpacing w:val="158"/>
  <w:drawingGridVerticalSpacing w:val="30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0Y2U4Yjc4N2U5NWI0NTgzMzkwMWViMjk3OWM5MjcifQ=="/>
  </w:docVars>
  <w:rsids>
    <w:rsidRoot w:val="00172A27"/>
    <w:rsid w:val="0000396E"/>
    <w:rsid w:val="000051C9"/>
    <w:rsid w:val="000054CC"/>
    <w:rsid w:val="00010647"/>
    <w:rsid w:val="00010EE4"/>
    <w:rsid w:val="00011A23"/>
    <w:rsid w:val="00011E23"/>
    <w:rsid w:val="00013AA6"/>
    <w:rsid w:val="0001550E"/>
    <w:rsid w:val="000254F5"/>
    <w:rsid w:val="00026A16"/>
    <w:rsid w:val="00026CA6"/>
    <w:rsid w:val="0002779D"/>
    <w:rsid w:val="000316F7"/>
    <w:rsid w:val="000327A9"/>
    <w:rsid w:val="00032920"/>
    <w:rsid w:val="00036864"/>
    <w:rsid w:val="000368A1"/>
    <w:rsid w:val="00037DDA"/>
    <w:rsid w:val="0004120A"/>
    <w:rsid w:val="00042165"/>
    <w:rsid w:val="0004356C"/>
    <w:rsid w:val="000441F3"/>
    <w:rsid w:val="00046FC3"/>
    <w:rsid w:val="00050C15"/>
    <w:rsid w:val="00050D25"/>
    <w:rsid w:val="000524C6"/>
    <w:rsid w:val="00052EFB"/>
    <w:rsid w:val="00053AB6"/>
    <w:rsid w:val="00054331"/>
    <w:rsid w:val="00056332"/>
    <w:rsid w:val="00057D13"/>
    <w:rsid w:val="000614FD"/>
    <w:rsid w:val="00064F2A"/>
    <w:rsid w:val="00066B73"/>
    <w:rsid w:val="00070B69"/>
    <w:rsid w:val="00070C8F"/>
    <w:rsid w:val="000716A4"/>
    <w:rsid w:val="00071966"/>
    <w:rsid w:val="00073B4C"/>
    <w:rsid w:val="00081A93"/>
    <w:rsid w:val="000820E1"/>
    <w:rsid w:val="000830CE"/>
    <w:rsid w:val="0008333B"/>
    <w:rsid w:val="00083BFB"/>
    <w:rsid w:val="00084C0F"/>
    <w:rsid w:val="00084F74"/>
    <w:rsid w:val="00086A39"/>
    <w:rsid w:val="00086E32"/>
    <w:rsid w:val="000875CD"/>
    <w:rsid w:val="0008760C"/>
    <w:rsid w:val="00087CBE"/>
    <w:rsid w:val="00093717"/>
    <w:rsid w:val="00094090"/>
    <w:rsid w:val="000950AD"/>
    <w:rsid w:val="00095C8B"/>
    <w:rsid w:val="0009684C"/>
    <w:rsid w:val="00096D61"/>
    <w:rsid w:val="000A4003"/>
    <w:rsid w:val="000A4748"/>
    <w:rsid w:val="000B03CA"/>
    <w:rsid w:val="000B16B3"/>
    <w:rsid w:val="000B216D"/>
    <w:rsid w:val="000B2A1D"/>
    <w:rsid w:val="000B2A9D"/>
    <w:rsid w:val="000B329E"/>
    <w:rsid w:val="000B4533"/>
    <w:rsid w:val="000B62E0"/>
    <w:rsid w:val="000B7BEE"/>
    <w:rsid w:val="000C0F84"/>
    <w:rsid w:val="000C1F1F"/>
    <w:rsid w:val="000C3FFF"/>
    <w:rsid w:val="000C5813"/>
    <w:rsid w:val="000D1248"/>
    <w:rsid w:val="000D219C"/>
    <w:rsid w:val="000D2AEF"/>
    <w:rsid w:val="000D5A5F"/>
    <w:rsid w:val="000E3FFA"/>
    <w:rsid w:val="000E4218"/>
    <w:rsid w:val="000F0028"/>
    <w:rsid w:val="000F14FD"/>
    <w:rsid w:val="000F20AA"/>
    <w:rsid w:val="000F2950"/>
    <w:rsid w:val="000F40F1"/>
    <w:rsid w:val="000F4D4C"/>
    <w:rsid w:val="000F53DF"/>
    <w:rsid w:val="000F797A"/>
    <w:rsid w:val="0010076A"/>
    <w:rsid w:val="00101B2F"/>
    <w:rsid w:val="001068B7"/>
    <w:rsid w:val="00110FFF"/>
    <w:rsid w:val="001127C5"/>
    <w:rsid w:val="001130A1"/>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3419"/>
    <w:rsid w:val="001447E6"/>
    <w:rsid w:val="00146927"/>
    <w:rsid w:val="00152556"/>
    <w:rsid w:val="00156430"/>
    <w:rsid w:val="001609DF"/>
    <w:rsid w:val="0016333C"/>
    <w:rsid w:val="00163840"/>
    <w:rsid w:val="00164D8E"/>
    <w:rsid w:val="0016752D"/>
    <w:rsid w:val="00167D8B"/>
    <w:rsid w:val="00173622"/>
    <w:rsid w:val="001744FD"/>
    <w:rsid w:val="001761F9"/>
    <w:rsid w:val="001779FA"/>
    <w:rsid w:val="001806E9"/>
    <w:rsid w:val="0018190E"/>
    <w:rsid w:val="00182B84"/>
    <w:rsid w:val="00182E3E"/>
    <w:rsid w:val="001877CE"/>
    <w:rsid w:val="00191D94"/>
    <w:rsid w:val="00192220"/>
    <w:rsid w:val="001926FA"/>
    <w:rsid w:val="00192C75"/>
    <w:rsid w:val="00192DBA"/>
    <w:rsid w:val="00196B03"/>
    <w:rsid w:val="00196C2D"/>
    <w:rsid w:val="001A0D7C"/>
    <w:rsid w:val="001A3116"/>
    <w:rsid w:val="001A51F6"/>
    <w:rsid w:val="001A62C9"/>
    <w:rsid w:val="001B0F47"/>
    <w:rsid w:val="001B1D17"/>
    <w:rsid w:val="001B2B8E"/>
    <w:rsid w:val="001B39D5"/>
    <w:rsid w:val="001C06F6"/>
    <w:rsid w:val="001C1F7C"/>
    <w:rsid w:val="001C2B96"/>
    <w:rsid w:val="001C5232"/>
    <w:rsid w:val="001C6921"/>
    <w:rsid w:val="001D121F"/>
    <w:rsid w:val="001D6856"/>
    <w:rsid w:val="001D6B45"/>
    <w:rsid w:val="001D772B"/>
    <w:rsid w:val="001E1804"/>
    <w:rsid w:val="001E1CB0"/>
    <w:rsid w:val="001E5194"/>
    <w:rsid w:val="001E524F"/>
    <w:rsid w:val="001E6D89"/>
    <w:rsid w:val="001E781F"/>
    <w:rsid w:val="001F226D"/>
    <w:rsid w:val="001F3816"/>
    <w:rsid w:val="001F6A36"/>
    <w:rsid w:val="00200FFD"/>
    <w:rsid w:val="0020145C"/>
    <w:rsid w:val="0020577D"/>
    <w:rsid w:val="00210081"/>
    <w:rsid w:val="00212B79"/>
    <w:rsid w:val="00213166"/>
    <w:rsid w:val="002153BC"/>
    <w:rsid w:val="00216FF8"/>
    <w:rsid w:val="002178AA"/>
    <w:rsid w:val="00220024"/>
    <w:rsid w:val="00220711"/>
    <w:rsid w:val="00220DCC"/>
    <w:rsid w:val="00221B90"/>
    <w:rsid w:val="00222033"/>
    <w:rsid w:val="002241A2"/>
    <w:rsid w:val="002247C1"/>
    <w:rsid w:val="002258A6"/>
    <w:rsid w:val="00226237"/>
    <w:rsid w:val="002264BC"/>
    <w:rsid w:val="00227A86"/>
    <w:rsid w:val="00227D74"/>
    <w:rsid w:val="00232DA0"/>
    <w:rsid w:val="00233412"/>
    <w:rsid w:val="002338C6"/>
    <w:rsid w:val="00236615"/>
    <w:rsid w:val="00237324"/>
    <w:rsid w:val="00242F14"/>
    <w:rsid w:val="002445E3"/>
    <w:rsid w:val="002448F9"/>
    <w:rsid w:val="0024752A"/>
    <w:rsid w:val="002506F5"/>
    <w:rsid w:val="00251E4A"/>
    <w:rsid w:val="002531F5"/>
    <w:rsid w:val="00254610"/>
    <w:rsid w:val="00254B3E"/>
    <w:rsid w:val="00254C53"/>
    <w:rsid w:val="0025593F"/>
    <w:rsid w:val="00255C8A"/>
    <w:rsid w:val="0026316A"/>
    <w:rsid w:val="00265320"/>
    <w:rsid w:val="00272225"/>
    <w:rsid w:val="00272E81"/>
    <w:rsid w:val="00273B75"/>
    <w:rsid w:val="00273E2B"/>
    <w:rsid w:val="00274377"/>
    <w:rsid w:val="00276D96"/>
    <w:rsid w:val="002771C6"/>
    <w:rsid w:val="00280994"/>
    <w:rsid w:val="00280FDB"/>
    <w:rsid w:val="00281303"/>
    <w:rsid w:val="0028239F"/>
    <w:rsid w:val="002824CD"/>
    <w:rsid w:val="00283833"/>
    <w:rsid w:val="00284D4C"/>
    <w:rsid w:val="00284E99"/>
    <w:rsid w:val="0028511A"/>
    <w:rsid w:val="002963ED"/>
    <w:rsid w:val="002A16FB"/>
    <w:rsid w:val="002A1EA4"/>
    <w:rsid w:val="002A231D"/>
    <w:rsid w:val="002A259B"/>
    <w:rsid w:val="002A62A3"/>
    <w:rsid w:val="002A7A53"/>
    <w:rsid w:val="002B2A69"/>
    <w:rsid w:val="002B2CD0"/>
    <w:rsid w:val="002B364D"/>
    <w:rsid w:val="002C2837"/>
    <w:rsid w:val="002C315B"/>
    <w:rsid w:val="002C474C"/>
    <w:rsid w:val="002C6723"/>
    <w:rsid w:val="002D15CA"/>
    <w:rsid w:val="002D2695"/>
    <w:rsid w:val="002E3720"/>
    <w:rsid w:val="002E529A"/>
    <w:rsid w:val="002E61FA"/>
    <w:rsid w:val="002E73C1"/>
    <w:rsid w:val="002F28E1"/>
    <w:rsid w:val="002F2F44"/>
    <w:rsid w:val="002F565C"/>
    <w:rsid w:val="002F5A12"/>
    <w:rsid w:val="002F63E3"/>
    <w:rsid w:val="002F678D"/>
    <w:rsid w:val="002F764D"/>
    <w:rsid w:val="00303490"/>
    <w:rsid w:val="003060BB"/>
    <w:rsid w:val="003066A7"/>
    <w:rsid w:val="003109E8"/>
    <w:rsid w:val="00310EE2"/>
    <w:rsid w:val="00313828"/>
    <w:rsid w:val="00316544"/>
    <w:rsid w:val="00316546"/>
    <w:rsid w:val="00316F16"/>
    <w:rsid w:val="00320252"/>
    <w:rsid w:val="00322777"/>
    <w:rsid w:val="00324E0B"/>
    <w:rsid w:val="00326F7A"/>
    <w:rsid w:val="00327F0B"/>
    <w:rsid w:val="0033084C"/>
    <w:rsid w:val="003335C5"/>
    <w:rsid w:val="00334FDD"/>
    <w:rsid w:val="00337245"/>
    <w:rsid w:val="0033792D"/>
    <w:rsid w:val="003403C8"/>
    <w:rsid w:val="003403FC"/>
    <w:rsid w:val="0034359F"/>
    <w:rsid w:val="00344420"/>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45C4"/>
    <w:rsid w:val="003655D7"/>
    <w:rsid w:val="00371BC7"/>
    <w:rsid w:val="00371CC6"/>
    <w:rsid w:val="00373F56"/>
    <w:rsid w:val="00374C3A"/>
    <w:rsid w:val="00377F07"/>
    <w:rsid w:val="00383E5A"/>
    <w:rsid w:val="003867E9"/>
    <w:rsid w:val="003868BA"/>
    <w:rsid w:val="00391DC0"/>
    <w:rsid w:val="00392602"/>
    <w:rsid w:val="00392E4C"/>
    <w:rsid w:val="00394C25"/>
    <w:rsid w:val="00396433"/>
    <w:rsid w:val="003A27B5"/>
    <w:rsid w:val="003A3189"/>
    <w:rsid w:val="003A547D"/>
    <w:rsid w:val="003B1547"/>
    <w:rsid w:val="003B31CE"/>
    <w:rsid w:val="003B47B9"/>
    <w:rsid w:val="003B4898"/>
    <w:rsid w:val="003B527E"/>
    <w:rsid w:val="003B55A7"/>
    <w:rsid w:val="003B57F4"/>
    <w:rsid w:val="003B758D"/>
    <w:rsid w:val="003B7662"/>
    <w:rsid w:val="003B7EAD"/>
    <w:rsid w:val="003C1BDE"/>
    <w:rsid w:val="003C21A0"/>
    <w:rsid w:val="003C3553"/>
    <w:rsid w:val="003C37AC"/>
    <w:rsid w:val="003C3ABC"/>
    <w:rsid w:val="003C6790"/>
    <w:rsid w:val="003C7AD0"/>
    <w:rsid w:val="003D05B7"/>
    <w:rsid w:val="003D103D"/>
    <w:rsid w:val="003D6BBF"/>
    <w:rsid w:val="003D7542"/>
    <w:rsid w:val="003E3A3D"/>
    <w:rsid w:val="003E4AAF"/>
    <w:rsid w:val="003E6CE5"/>
    <w:rsid w:val="003F07F4"/>
    <w:rsid w:val="003F228F"/>
    <w:rsid w:val="003F27FF"/>
    <w:rsid w:val="003F29E4"/>
    <w:rsid w:val="003F2F93"/>
    <w:rsid w:val="003F4472"/>
    <w:rsid w:val="003F4B1C"/>
    <w:rsid w:val="003F6474"/>
    <w:rsid w:val="003F6E93"/>
    <w:rsid w:val="004002DB"/>
    <w:rsid w:val="00401597"/>
    <w:rsid w:val="004037FB"/>
    <w:rsid w:val="00405479"/>
    <w:rsid w:val="004057DF"/>
    <w:rsid w:val="00405F7F"/>
    <w:rsid w:val="00407499"/>
    <w:rsid w:val="00407B7F"/>
    <w:rsid w:val="0041442B"/>
    <w:rsid w:val="00416766"/>
    <w:rsid w:val="00417C19"/>
    <w:rsid w:val="00417FD0"/>
    <w:rsid w:val="00424863"/>
    <w:rsid w:val="004259B8"/>
    <w:rsid w:val="004264D7"/>
    <w:rsid w:val="00426E2C"/>
    <w:rsid w:val="004328B8"/>
    <w:rsid w:val="00434A28"/>
    <w:rsid w:val="004411DC"/>
    <w:rsid w:val="00441892"/>
    <w:rsid w:val="004432F9"/>
    <w:rsid w:val="004469C7"/>
    <w:rsid w:val="004470D8"/>
    <w:rsid w:val="00447483"/>
    <w:rsid w:val="004520E4"/>
    <w:rsid w:val="0045295F"/>
    <w:rsid w:val="004603F4"/>
    <w:rsid w:val="00461625"/>
    <w:rsid w:val="00462579"/>
    <w:rsid w:val="004628D2"/>
    <w:rsid w:val="00462E90"/>
    <w:rsid w:val="00465029"/>
    <w:rsid w:val="00467CB1"/>
    <w:rsid w:val="00470DF5"/>
    <w:rsid w:val="004742C3"/>
    <w:rsid w:val="00474F47"/>
    <w:rsid w:val="004756A3"/>
    <w:rsid w:val="00475D3C"/>
    <w:rsid w:val="00475E3F"/>
    <w:rsid w:val="004833D1"/>
    <w:rsid w:val="00486839"/>
    <w:rsid w:val="00492BC7"/>
    <w:rsid w:val="004937DB"/>
    <w:rsid w:val="00493B6B"/>
    <w:rsid w:val="00494878"/>
    <w:rsid w:val="00496FF9"/>
    <w:rsid w:val="004A06E6"/>
    <w:rsid w:val="004A11AC"/>
    <w:rsid w:val="004A1F17"/>
    <w:rsid w:val="004A34B2"/>
    <w:rsid w:val="004A3C2B"/>
    <w:rsid w:val="004B1369"/>
    <w:rsid w:val="004B3580"/>
    <w:rsid w:val="004B5AF3"/>
    <w:rsid w:val="004B69D1"/>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F020F"/>
    <w:rsid w:val="004F5755"/>
    <w:rsid w:val="00501856"/>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7A51"/>
    <w:rsid w:val="0053025B"/>
    <w:rsid w:val="00530FF0"/>
    <w:rsid w:val="00531719"/>
    <w:rsid w:val="0053232B"/>
    <w:rsid w:val="005346CC"/>
    <w:rsid w:val="005356D2"/>
    <w:rsid w:val="005401D2"/>
    <w:rsid w:val="00540603"/>
    <w:rsid w:val="00540AD6"/>
    <w:rsid w:val="0054287F"/>
    <w:rsid w:val="00542F2B"/>
    <w:rsid w:val="00543C8E"/>
    <w:rsid w:val="00543DAD"/>
    <w:rsid w:val="00545D5D"/>
    <w:rsid w:val="0054719B"/>
    <w:rsid w:val="005503A4"/>
    <w:rsid w:val="00553616"/>
    <w:rsid w:val="00553951"/>
    <w:rsid w:val="00553A90"/>
    <w:rsid w:val="00556E9E"/>
    <w:rsid w:val="00560134"/>
    <w:rsid w:val="005622EC"/>
    <w:rsid w:val="005639DA"/>
    <w:rsid w:val="005639FF"/>
    <w:rsid w:val="0056671C"/>
    <w:rsid w:val="00567B1C"/>
    <w:rsid w:val="005739EF"/>
    <w:rsid w:val="00574881"/>
    <w:rsid w:val="00575B87"/>
    <w:rsid w:val="00580CBD"/>
    <w:rsid w:val="0058210F"/>
    <w:rsid w:val="0058268B"/>
    <w:rsid w:val="00584EFF"/>
    <w:rsid w:val="0058617C"/>
    <w:rsid w:val="005865DD"/>
    <w:rsid w:val="00591C85"/>
    <w:rsid w:val="00592DDD"/>
    <w:rsid w:val="00593AF5"/>
    <w:rsid w:val="00596B4F"/>
    <w:rsid w:val="005A3C5A"/>
    <w:rsid w:val="005A646E"/>
    <w:rsid w:val="005B0576"/>
    <w:rsid w:val="005B07FD"/>
    <w:rsid w:val="005B17D3"/>
    <w:rsid w:val="005C0170"/>
    <w:rsid w:val="005C213A"/>
    <w:rsid w:val="005C3417"/>
    <w:rsid w:val="005C44CB"/>
    <w:rsid w:val="005C5ECB"/>
    <w:rsid w:val="005C7AE7"/>
    <w:rsid w:val="005D19FC"/>
    <w:rsid w:val="005D1F85"/>
    <w:rsid w:val="005D34CC"/>
    <w:rsid w:val="005D6F03"/>
    <w:rsid w:val="005E0229"/>
    <w:rsid w:val="005E06F3"/>
    <w:rsid w:val="005E1E31"/>
    <w:rsid w:val="005E25DB"/>
    <w:rsid w:val="005E4A33"/>
    <w:rsid w:val="005E4E40"/>
    <w:rsid w:val="005E50CC"/>
    <w:rsid w:val="005F0C63"/>
    <w:rsid w:val="005F2454"/>
    <w:rsid w:val="005F4A92"/>
    <w:rsid w:val="005F500E"/>
    <w:rsid w:val="005F5439"/>
    <w:rsid w:val="006001DA"/>
    <w:rsid w:val="00601EBB"/>
    <w:rsid w:val="0060206B"/>
    <w:rsid w:val="00602B37"/>
    <w:rsid w:val="00602F17"/>
    <w:rsid w:val="00604699"/>
    <w:rsid w:val="00605279"/>
    <w:rsid w:val="006139B9"/>
    <w:rsid w:val="00614813"/>
    <w:rsid w:val="00616428"/>
    <w:rsid w:val="006166B5"/>
    <w:rsid w:val="00620D5F"/>
    <w:rsid w:val="00620F68"/>
    <w:rsid w:val="006211FA"/>
    <w:rsid w:val="0062225D"/>
    <w:rsid w:val="0062313A"/>
    <w:rsid w:val="00623AFF"/>
    <w:rsid w:val="00624998"/>
    <w:rsid w:val="00625941"/>
    <w:rsid w:val="00625F11"/>
    <w:rsid w:val="00632CFA"/>
    <w:rsid w:val="00633170"/>
    <w:rsid w:val="0063419C"/>
    <w:rsid w:val="0063614F"/>
    <w:rsid w:val="006364A7"/>
    <w:rsid w:val="0064132A"/>
    <w:rsid w:val="00641C19"/>
    <w:rsid w:val="00641C3D"/>
    <w:rsid w:val="00641FE3"/>
    <w:rsid w:val="006501F5"/>
    <w:rsid w:val="006506D9"/>
    <w:rsid w:val="006514A9"/>
    <w:rsid w:val="00651B20"/>
    <w:rsid w:val="00652DDE"/>
    <w:rsid w:val="006540D1"/>
    <w:rsid w:val="00660208"/>
    <w:rsid w:val="00661B0B"/>
    <w:rsid w:val="006628E6"/>
    <w:rsid w:val="006639E4"/>
    <w:rsid w:val="00663A45"/>
    <w:rsid w:val="0066642A"/>
    <w:rsid w:val="0067175B"/>
    <w:rsid w:val="006717C2"/>
    <w:rsid w:val="00671DF1"/>
    <w:rsid w:val="006723A3"/>
    <w:rsid w:val="0067331A"/>
    <w:rsid w:val="00674143"/>
    <w:rsid w:val="0067469F"/>
    <w:rsid w:val="00675A6F"/>
    <w:rsid w:val="006770AD"/>
    <w:rsid w:val="0068181E"/>
    <w:rsid w:val="006832E9"/>
    <w:rsid w:val="006835C0"/>
    <w:rsid w:val="00684D7F"/>
    <w:rsid w:val="00686150"/>
    <w:rsid w:val="006867FD"/>
    <w:rsid w:val="00687FB4"/>
    <w:rsid w:val="00695419"/>
    <w:rsid w:val="00696268"/>
    <w:rsid w:val="006973F4"/>
    <w:rsid w:val="00697514"/>
    <w:rsid w:val="006A00A5"/>
    <w:rsid w:val="006B0349"/>
    <w:rsid w:val="006B14BF"/>
    <w:rsid w:val="006B167C"/>
    <w:rsid w:val="006B5F3F"/>
    <w:rsid w:val="006B677B"/>
    <w:rsid w:val="006C0618"/>
    <w:rsid w:val="006C1B4D"/>
    <w:rsid w:val="006C1DD9"/>
    <w:rsid w:val="006C45D7"/>
    <w:rsid w:val="006C4E58"/>
    <w:rsid w:val="006C7599"/>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8A9"/>
    <w:rsid w:val="00714A95"/>
    <w:rsid w:val="00715FD7"/>
    <w:rsid w:val="007162C9"/>
    <w:rsid w:val="007207CC"/>
    <w:rsid w:val="00720A85"/>
    <w:rsid w:val="00721E6F"/>
    <w:rsid w:val="00722761"/>
    <w:rsid w:val="00723505"/>
    <w:rsid w:val="0072669B"/>
    <w:rsid w:val="007305F4"/>
    <w:rsid w:val="007356FC"/>
    <w:rsid w:val="00736A7F"/>
    <w:rsid w:val="0073721A"/>
    <w:rsid w:val="00741839"/>
    <w:rsid w:val="00747E79"/>
    <w:rsid w:val="00750F5B"/>
    <w:rsid w:val="007517C0"/>
    <w:rsid w:val="00752167"/>
    <w:rsid w:val="00753C7D"/>
    <w:rsid w:val="007577B5"/>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930F9"/>
    <w:rsid w:val="007A432E"/>
    <w:rsid w:val="007A6D67"/>
    <w:rsid w:val="007A70BE"/>
    <w:rsid w:val="007A7390"/>
    <w:rsid w:val="007B0367"/>
    <w:rsid w:val="007B4F2C"/>
    <w:rsid w:val="007B7570"/>
    <w:rsid w:val="007B7EEA"/>
    <w:rsid w:val="007B7FB7"/>
    <w:rsid w:val="007C0153"/>
    <w:rsid w:val="007C06E0"/>
    <w:rsid w:val="007C0714"/>
    <w:rsid w:val="007C18B9"/>
    <w:rsid w:val="007C304F"/>
    <w:rsid w:val="007C5043"/>
    <w:rsid w:val="007C5ABA"/>
    <w:rsid w:val="007C744A"/>
    <w:rsid w:val="007D199E"/>
    <w:rsid w:val="007D19D1"/>
    <w:rsid w:val="007D2D7E"/>
    <w:rsid w:val="007D3F7B"/>
    <w:rsid w:val="007D4876"/>
    <w:rsid w:val="007D5267"/>
    <w:rsid w:val="007D538F"/>
    <w:rsid w:val="007D6EED"/>
    <w:rsid w:val="007E012F"/>
    <w:rsid w:val="007E1D57"/>
    <w:rsid w:val="007E30B1"/>
    <w:rsid w:val="007E354C"/>
    <w:rsid w:val="007E3A15"/>
    <w:rsid w:val="007E41AF"/>
    <w:rsid w:val="007E4585"/>
    <w:rsid w:val="007E5E0E"/>
    <w:rsid w:val="007F00A6"/>
    <w:rsid w:val="007F044E"/>
    <w:rsid w:val="007F08DC"/>
    <w:rsid w:val="007F5334"/>
    <w:rsid w:val="007F6D73"/>
    <w:rsid w:val="007F6F9F"/>
    <w:rsid w:val="00800836"/>
    <w:rsid w:val="00805724"/>
    <w:rsid w:val="00806213"/>
    <w:rsid w:val="00807DC1"/>
    <w:rsid w:val="0081284B"/>
    <w:rsid w:val="00812E7F"/>
    <w:rsid w:val="0081308D"/>
    <w:rsid w:val="008130C3"/>
    <w:rsid w:val="00813ABB"/>
    <w:rsid w:val="008149C3"/>
    <w:rsid w:val="00820662"/>
    <w:rsid w:val="00821EA9"/>
    <w:rsid w:val="00822A1B"/>
    <w:rsid w:val="00822B3D"/>
    <w:rsid w:val="0082348E"/>
    <w:rsid w:val="00825220"/>
    <w:rsid w:val="0082538F"/>
    <w:rsid w:val="00825664"/>
    <w:rsid w:val="00826DE7"/>
    <w:rsid w:val="00827BF8"/>
    <w:rsid w:val="00831618"/>
    <w:rsid w:val="00834905"/>
    <w:rsid w:val="00836963"/>
    <w:rsid w:val="00837838"/>
    <w:rsid w:val="00837F54"/>
    <w:rsid w:val="00840A4A"/>
    <w:rsid w:val="008420EE"/>
    <w:rsid w:val="00842BE0"/>
    <w:rsid w:val="00842DE7"/>
    <w:rsid w:val="008442C5"/>
    <w:rsid w:val="0084457C"/>
    <w:rsid w:val="00845A3F"/>
    <w:rsid w:val="008500BB"/>
    <w:rsid w:val="00852882"/>
    <w:rsid w:val="00855423"/>
    <w:rsid w:val="00856EB5"/>
    <w:rsid w:val="0085749B"/>
    <w:rsid w:val="00863BE0"/>
    <w:rsid w:val="00865A29"/>
    <w:rsid w:val="008706E9"/>
    <w:rsid w:val="00872826"/>
    <w:rsid w:val="008749F7"/>
    <w:rsid w:val="00874D26"/>
    <w:rsid w:val="00874F7F"/>
    <w:rsid w:val="0087513F"/>
    <w:rsid w:val="00875EFF"/>
    <w:rsid w:val="00881022"/>
    <w:rsid w:val="00881AE7"/>
    <w:rsid w:val="008822CA"/>
    <w:rsid w:val="0088443E"/>
    <w:rsid w:val="00885142"/>
    <w:rsid w:val="008865E8"/>
    <w:rsid w:val="00894B33"/>
    <w:rsid w:val="00895465"/>
    <w:rsid w:val="008956F2"/>
    <w:rsid w:val="008959F1"/>
    <w:rsid w:val="00896A95"/>
    <w:rsid w:val="008A1A71"/>
    <w:rsid w:val="008A1FA0"/>
    <w:rsid w:val="008B271A"/>
    <w:rsid w:val="008B3779"/>
    <w:rsid w:val="008B3FA3"/>
    <w:rsid w:val="008B4F36"/>
    <w:rsid w:val="008B68BA"/>
    <w:rsid w:val="008C0F4F"/>
    <w:rsid w:val="008C19C8"/>
    <w:rsid w:val="008C54A6"/>
    <w:rsid w:val="008C5C5E"/>
    <w:rsid w:val="008C623A"/>
    <w:rsid w:val="008C7A23"/>
    <w:rsid w:val="008C7DB6"/>
    <w:rsid w:val="008D07DA"/>
    <w:rsid w:val="008D0A00"/>
    <w:rsid w:val="008D0F79"/>
    <w:rsid w:val="008D1072"/>
    <w:rsid w:val="008D1358"/>
    <w:rsid w:val="008D34CE"/>
    <w:rsid w:val="008D56C9"/>
    <w:rsid w:val="008D6B14"/>
    <w:rsid w:val="008E06D1"/>
    <w:rsid w:val="008E07FB"/>
    <w:rsid w:val="008E16D4"/>
    <w:rsid w:val="008E16FB"/>
    <w:rsid w:val="008E4FC3"/>
    <w:rsid w:val="008E6B1B"/>
    <w:rsid w:val="008F07A9"/>
    <w:rsid w:val="008F383F"/>
    <w:rsid w:val="008F6199"/>
    <w:rsid w:val="00901213"/>
    <w:rsid w:val="00902574"/>
    <w:rsid w:val="00902998"/>
    <w:rsid w:val="00903BB8"/>
    <w:rsid w:val="0090443C"/>
    <w:rsid w:val="0090490F"/>
    <w:rsid w:val="009055F1"/>
    <w:rsid w:val="009069C3"/>
    <w:rsid w:val="00906E1C"/>
    <w:rsid w:val="009079F5"/>
    <w:rsid w:val="00911C7F"/>
    <w:rsid w:val="00912FA6"/>
    <w:rsid w:val="00913269"/>
    <w:rsid w:val="00913B4A"/>
    <w:rsid w:val="0092031C"/>
    <w:rsid w:val="009224BB"/>
    <w:rsid w:val="0092461D"/>
    <w:rsid w:val="00927C43"/>
    <w:rsid w:val="0093127A"/>
    <w:rsid w:val="0093142B"/>
    <w:rsid w:val="00931FBA"/>
    <w:rsid w:val="00933427"/>
    <w:rsid w:val="00936521"/>
    <w:rsid w:val="00937FCF"/>
    <w:rsid w:val="00940F1C"/>
    <w:rsid w:val="0094242E"/>
    <w:rsid w:val="00944A9A"/>
    <w:rsid w:val="00945177"/>
    <w:rsid w:val="00945836"/>
    <w:rsid w:val="0094666A"/>
    <w:rsid w:val="00946BD6"/>
    <w:rsid w:val="00947322"/>
    <w:rsid w:val="009509AB"/>
    <w:rsid w:val="00952790"/>
    <w:rsid w:val="009537A4"/>
    <w:rsid w:val="0095429C"/>
    <w:rsid w:val="00955E45"/>
    <w:rsid w:val="0096003B"/>
    <w:rsid w:val="00960890"/>
    <w:rsid w:val="00961087"/>
    <w:rsid w:val="00961969"/>
    <w:rsid w:val="009619FE"/>
    <w:rsid w:val="00961ACC"/>
    <w:rsid w:val="00963ED0"/>
    <w:rsid w:val="009643B2"/>
    <w:rsid w:val="009645F4"/>
    <w:rsid w:val="00964FE9"/>
    <w:rsid w:val="009669F9"/>
    <w:rsid w:val="009726D9"/>
    <w:rsid w:val="00973321"/>
    <w:rsid w:val="00973382"/>
    <w:rsid w:val="00973868"/>
    <w:rsid w:val="00974E07"/>
    <w:rsid w:val="00975813"/>
    <w:rsid w:val="00975FF4"/>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745"/>
    <w:rsid w:val="009B2858"/>
    <w:rsid w:val="009B652A"/>
    <w:rsid w:val="009B6711"/>
    <w:rsid w:val="009C49A1"/>
    <w:rsid w:val="009C5121"/>
    <w:rsid w:val="009C5D03"/>
    <w:rsid w:val="009C70DF"/>
    <w:rsid w:val="009C763C"/>
    <w:rsid w:val="009C7CC4"/>
    <w:rsid w:val="009D175D"/>
    <w:rsid w:val="009D182F"/>
    <w:rsid w:val="009D787E"/>
    <w:rsid w:val="009E1581"/>
    <w:rsid w:val="009E2C32"/>
    <w:rsid w:val="009E40DA"/>
    <w:rsid w:val="009E4C6B"/>
    <w:rsid w:val="009E4F15"/>
    <w:rsid w:val="009E6C4B"/>
    <w:rsid w:val="009E7370"/>
    <w:rsid w:val="009F05E8"/>
    <w:rsid w:val="009F3F18"/>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2457F"/>
    <w:rsid w:val="00A24E70"/>
    <w:rsid w:val="00A27C58"/>
    <w:rsid w:val="00A27D1E"/>
    <w:rsid w:val="00A27D61"/>
    <w:rsid w:val="00A310A2"/>
    <w:rsid w:val="00A313C9"/>
    <w:rsid w:val="00A31930"/>
    <w:rsid w:val="00A32EB0"/>
    <w:rsid w:val="00A339BF"/>
    <w:rsid w:val="00A379A1"/>
    <w:rsid w:val="00A4004F"/>
    <w:rsid w:val="00A40780"/>
    <w:rsid w:val="00A42B53"/>
    <w:rsid w:val="00A42E74"/>
    <w:rsid w:val="00A51ECC"/>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D2A"/>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4CD7"/>
    <w:rsid w:val="00AD5547"/>
    <w:rsid w:val="00AD58DE"/>
    <w:rsid w:val="00AD5E33"/>
    <w:rsid w:val="00AE0046"/>
    <w:rsid w:val="00AE0705"/>
    <w:rsid w:val="00AE1BD5"/>
    <w:rsid w:val="00AE1DD4"/>
    <w:rsid w:val="00AE2391"/>
    <w:rsid w:val="00AE2DA7"/>
    <w:rsid w:val="00AE2F64"/>
    <w:rsid w:val="00AE3048"/>
    <w:rsid w:val="00AE43F4"/>
    <w:rsid w:val="00AE4C47"/>
    <w:rsid w:val="00AE78DF"/>
    <w:rsid w:val="00AF105D"/>
    <w:rsid w:val="00AF5970"/>
    <w:rsid w:val="00B005CF"/>
    <w:rsid w:val="00B03846"/>
    <w:rsid w:val="00B03C6C"/>
    <w:rsid w:val="00B04B06"/>
    <w:rsid w:val="00B0769B"/>
    <w:rsid w:val="00B07C99"/>
    <w:rsid w:val="00B1035C"/>
    <w:rsid w:val="00B126BF"/>
    <w:rsid w:val="00B12E54"/>
    <w:rsid w:val="00B14655"/>
    <w:rsid w:val="00B21974"/>
    <w:rsid w:val="00B22267"/>
    <w:rsid w:val="00B25846"/>
    <w:rsid w:val="00B26F84"/>
    <w:rsid w:val="00B2718A"/>
    <w:rsid w:val="00B37236"/>
    <w:rsid w:val="00B42C8F"/>
    <w:rsid w:val="00B46CA2"/>
    <w:rsid w:val="00B47BB8"/>
    <w:rsid w:val="00B5190A"/>
    <w:rsid w:val="00B527B6"/>
    <w:rsid w:val="00B54C3F"/>
    <w:rsid w:val="00B54CDA"/>
    <w:rsid w:val="00B55466"/>
    <w:rsid w:val="00B554EF"/>
    <w:rsid w:val="00B61EB7"/>
    <w:rsid w:val="00B62749"/>
    <w:rsid w:val="00B642FF"/>
    <w:rsid w:val="00B64CAC"/>
    <w:rsid w:val="00B64DFD"/>
    <w:rsid w:val="00B6635F"/>
    <w:rsid w:val="00B674B2"/>
    <w:rsid w:val="00B70C72"/>
    <w:rsid w:val="00B74BAA"/>
    <w:rsid w:val="00B74C7B"/>
    <w:rsid w:val="00B74CE4"/>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A7625"/>
    <w:rsid w:val="00BB0F3E"/>
    <w:rsid w:val="00BB3750"/>
    <w:rsid w:val="00BB4117"/>
    <w:rsid w:val="00BB4186"/>
    <w:rsid w:val="00BB44A9"/>
    <w:rsid w:val="00BB504E"/>
    <w:rsid w:val="00BB658C"/>
    <w:rsid w:val="00BB7048"/>
    <w:rsid w:val="00BB729F"/>
    <w:rsid w:val="00BB7751"/>
    <w:rsid w:val="00BB7C05"/>
    <w:rsid w:val="00BC0229"/>
    <w:rsid w:val="00BC189E"/>
    <w:rsid w:val="00BC3137"/>
    <w:rsid w:val="00BC3B30"/>
    <w:rsid w:val="00BC4F88"/>
    <w:rsid w:val="00BC65C7"/>
    <w:rsid w:val="00BC66B9"/>
    <w:rsid w:val="00BC6BA3"/>
    <w:rsid w:val="00BD04D9"/>
    <w:rsid w:val="00BD1A6C"/>
    <w:rsid w:val="00BD328B"/>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34AB"/>
    <w:rsid w:val="00C038B8"/>
    <w:rsid w:val="00C0448D"/>
    <w:rsid w:val="00C04813"/>
    <w:rsid w:val="00C07480"/>
    <w:rsid w:val="00C10415"/>
    <w:rsid w:val="00C116D2"/>
    <w:rsid w:val="00C11A21"/>
    <w:rsid w:val="00C11F0A"/>
    <w:rsid w:val="00C1434A"/>
    <w:rsid w:val="00C23088"/>
    <w:rsid w:val="00C24C09"/>
    <w:rsid w:val="00C2652A"/>
    <w:rsid w:val="00C31074"/>
    <w:rsid w:val="00C31B07"/>
    <w:rsid w:val="00C349B1"/>
    <w:rsid w:val="00C35E07"/>
    <w:rsid w:val="00C361C8"/>
    <w:rsid w:val="00C37635"/>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B"/>
    <w:rsid w:val="00C60418"/>
    <w:rsid w:val="00C60431"/>
    <w:rsid w:val="00C60AE4"/>
    <w:rsid w:val="00C61CB5"/>
    <w:rsid w:val="00C645E2"/>
    <w:rsid w:val="00C70789"/>
    <w:rsid w:val="00C70977"/>
    <w:rsid w:val="00C73D34"/>
    <w:rsid w:val="00C75252"/>
    <w:rsid w:val="00C77843"/>
    <w:rsid w:val="00C77F64"/>
    <w:rsid w:val="00C80B24"/>
    <w:rsid w:val="00C81B69"/>
    <w:rsid w:val="00C82948"/>
    <w:rsid w:val="00C852EE"/>
    <w:rsid w:val="00C87B4B"/>
    <w:rsid w:val="00C90B31"/>
    <w:rsid w:val="00C92A97"/>
    <w:rsid w:val="00C946CF"/>
    <w:rsid w:val="00C94743"/>
    <w:rsid w:val="00C94C40"/>
    <w:rsid w:val="00C96580"/>
    <w:rsid w:val="00C974E0"/>
    <w:rsid w:val="00CA105B"/>
    <w:rsid w:val="00CA1E06"/>
    <w:rsid w:val="00CA6D04"/>
    <w:rsid w:val="00CA7A21"/>
    <w:rsid w:val="00CA7B47"/>
    <w:rsid w:val="00CB1EF9"/>
    <w:rsid w:val="00CB27F9"/>
    <w:rsid w:val="00CB2A0D"/>
    <w:rsid w:val="00CB4247"/>
    <w:rsid w:val="00CB5413"/>
    <w:rsid w:val="00CB7178"/>
    <w:rsid w:val="00CB74B3"/>
    <w:rsid w:val="00CC2E4F"/>
    <w:rsid w:val="00CC3AFC"/>
    <w:rsid w:val="00CC47F0"/>
    <w:rsid w:val="00CC63AF"/>
    <w:rsid w:val="00CC7386"/>
    <w:rsid w:val="00CC7A35"/>
    <w:rsid w:val="00CD08B2"/>
    <w:rsid w:val="00CD0AB0"/>
    <w:rsid w:val="00CD0B6B"/>
    <w:rsid w:val="00CD1785"/>
    <w:rsid w:val="00CD17AC"/>
    <w:rsid w:val="00CD262D"/>
    <w:rsid w:val="00CD2AAE"/>
    <w:rsid w:val="00CD5212"/>
    <w:rsid w:val="00CD5611"/>
    <w:rsid w:val="00CD5E97"/>
    <w:rsid w:val="00CD7114"/>
    <w:rsid w:val="00CD7451"/>
    <w:rsid w:val="00CE1B67"/>
    <w:rsid w:val="00CE1FF6"/>
    <w:rsid w:val="00CE5D1F"/>
    <w:rsid w:val="00CE5E34"/>
    <w:rsid w:val="00CE6B48"/>
    <w:rsid w:val="00CF112E"/>
    <w:rsid w:val="00CF3233"/>
    <w:rsid w:val="00CF476F"/>
    <w:rsid w:val="00CF79DC"/>
    <w:rsid w:val="00D007B1"/>
    <w:rsid w:val="00D014CB"/>
    <w:rsid w:val="00D01E02"/>
    <w:rsid w:val="00D02070"/>
    <w:rsid w:val="00D039F6"/>
    <w:rsid w:val="00D047AC"/>
    <w:rsid w:val="00D04EDA"/>
    <w:rsid w:val="00D05BAB"/>
    <w:rsid w:val="00D05EB6"/>
    <w:rsid w:val="00D1023D"/>
    <w:rsid w:val="00D10CD6"/>
    <w:rsid w:val="00D1102D"/>
    <w:rsid w:val="00D123ED"/>
    <w:rsid w:val="00D127E0"/>
    <w:rsid w:val="00D140EA"/>
    <w:rsid w:val="00D150E9"/>
    <w:rsid w:val="00D16F94"/>
    <w:rsid w:val="00D179EF"/>
    <w:rsid w:val="00D21624"/>
    <w:rsid w:val="00D2371C"/>
    <w:rsid w:val="00D24F15"/>
    <w:rsid w:val="00D263C0"/>
    <w:rsid w:val="00D27077"/>
    <w:rsid w:val="00D270CD"/>
    <w:rsid w:val="00D316DF"/>
    <w:rsid w:val="00D31CDD"/>
    <w:rsid w:val="00D32BF0"/>
    <w:rsid w:val="00D35CBC"/>
    <w:rsid w:val="00D36AD5"/>
    <w:rsid w:val="00D37F8A"/>
    <w:rsid w:val="00D40217"/>
    <w:rsid w:val="00D40808"/>
    <w:rsid w:val="00D40B25"/>
    <w:rsid w:val="00D41ED3"/>
    <w:rsid w:val="00D41F64"/>
    <w:rsid w:val="00D4580B"/>
    <w:rsid w:val="00D46739"/>
    <w:rsid w:val="00D517B8"/>
    <w:rsid w:val="00D52023"/>
    <w:rsid w:val="00D523D2"/>
    <w:rsid w:val="00D57E0F"/>
    <w:rsid w:val="00D6056F"/>
    <w:rsid w:val="00D606D1"/>
    <w:rsid w:val="00D60B35"/>
    <w:rsid w:val="00D61105"/>
    <w:rsid w:val="00D618B7"/>
    <w:rsid w:val="00D64307"/>
    <w:rsid w:val="00D65E19"/>
    <w:rsid w:val="00D675CC"/>
    <w:rsid w:val="00D676DD"/>
    <w:rsid w:val="00D70049"/>
    <w:rsid w:val="00D81A01"/>
    <w:rsid w:val="00D91233"/>
    <w:rsid w:val="00D93C5F"/>
    <w:rsid w:val="00DA411A"/>
    <w:rsid w:val="00DA4711"/>
    <w:rsid w:val="00DA49CF"/>
    <w:rsid w:val="00DA4B78"/>
    <w:rsid w:val="00DA5337"/>
    <w:rsid w:val="00DA7508"/>
    <w:rsid w:val="00DB2635"/>
    <w:rsid w:val="00DB3D80"/>
    <w:rsid w:val="00DB571C"/>
    <w:rsid w:val="00DB76BA"/>
    <w:rsid w:val="00DC2A01"/>
    <w:rsid w:val="00DC314D"/>
    <w:rsid w:val="00DC4C3C"/>
    <w:rsid w:val="00DC610E"/>
    <w:rsid w:val="00DC7188"/>
    <w:rsid w:val="00DC7EDF"/>
    <w:rsid w:val="00DD0B2F"/>
    <w:rsid w:val="00DD0D1A"/>
    <w:rsid w:val="00DD1AD9"/>
    <w:rsid w:val="00DD1F20"/>
    <w:rsid w:val="00DD59EF"/>
    <w:rsid w:val="00DD6CDC"/>
    <w:rsid w:val="00DE0125"/>
    <w:rsid w:val="00DE11BE"/>
    <w:rsid w:val="00DE2AB0"/>
    <w:rsid w:val="00DE3769"/>
    <w:rsid w:val="00DE5DC3"/>
    <w:rsid w:val="00DE6EF0"/>
    <w:rsid w:val="00DF23E3"/>
    <w:rsid w:val="00DF5ADE"/>
    <w:rsid w:val="00DF7D98"/>
    <w:rsid w:val="00E02C23"/>
    <w:rsid w:val="00E0305B"/>
    <w:rsid w:val="00E03BC5"/>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3B74"/>
    <w:rsid w:val="00E54937"/>
    <w:rsid w:val="00E54C58"/>
    <w:rsid w:val="00E55AAB"/>
    <w:rsid w:val="00E55C5E"/>
    <w:rsid w:val="00E56CB6"/>
    <w:rsid w:val="00E57097"/>
    <w:rsid w:val="00E57AAA"/>
    <w:rsid w:val="00E600B5"/>
    <w:rsid w:val="00E6060D"/>
    <w:rsid w:val="00E62288"/>
    <w:rsid w:val="00E62646"/>
    <w:rsid w:val="00E6351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22A9"/>
    <w:rsid w:val="00E93F55"/>
    <w:rsid w:val="00E9497D"/>
    <w:rsid w:val="00E950B0"/>
    <w:rsid w:val="00E95D67"/>
    <w:rsid w:val="00E97399"/>
    <w:rsid w:val="00EA4D39"/>
    <w:rsid w:val="00EA5180"/>
    <w:rsid w:val="00EA5FA8"/>
    <w:rsid w:val="00EA6184"/>
    <w:rsid w:val="00EB12D8"/>
    <w:rsid w:val="00EB1D4F"/>
    <w:rsid w:val="00EB223E"/>
    <w:rsid w:val="00EB7EDE"/>
    <w:rsid w:val="00EC4D48"/>
    <w:rsid w:val="00EC57CC"/>
    <w:rsid w:val="00EC65C7"/>
    <w:rsid w:val="00EC72DE"/>
    <w:rsid w:val="00EC7945"/>
    <w:rsid w:val="00ED044B"/>
    <w:rsid w:val="00ED0E1B"/>
    <w:rsid w:val="00ED6E82"/>
    <w:rsid w:val="00ED76EA"/>
    <w:rsid w:val="00EE00AE"/>
    <w:rsid w:val="00EE0718"/>
    <w:rsid w:val="00EE0FE1"/>
    <w:rsid w:val="00EE30C6"/>
    <w:rsid w:val="00EE3F71"/>
    <w:rsid w:val="00EE58B4"/>
    <w:rsid w:val="00EE7502"/>
    <w:rsid w:val="00EE7548"/>
    <w:rsid w:val="00EF02A5"/>
    <w:rsid w:val="00EF082C"/>
    <w:rsid w:val="00EF2AD6"/>
    <w:rsid w:val="00EF334E"/>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5AD0"/>
    <w:rsid w:val="00F2673A"/>
    <w:rsid w:val="00F27BF4"/>
    <w:rsid w:val="00F3063A"/>
    <w:rsid w:val="00F30A2D"/>
    <w:rsid w:val="00F36DE6"/>
    <w:rsid w:val="00F37488"/>
    <w:rsid w:val="00F40CFC"/>
    <w:rsid w:val="00F40DB1"/>
    <w:rsid w:val="00F40FCD"/>
    <w:rsid w:val="00F41283"/>
    <w:rsid w:val="00F441D1"/>
    <w:rsid w:val="00F45D53"/>
    <w:rsid w:val="00F463E0"/>
    <w:rsid w:val="00F46A72"/>
    <w:rsid w:val="00F46F1B"/>
    <w:rsid w:val="00F47904"/>
    <w:rsid w:val="00F501D9"/>
    <w:rsid w:val="00F50565"/>
    <w:rsid w:val="00F51050"/>
    <w:rsid w:val="00F516F5"/>
    <w:rsid w:val="00F52C9D"/>
    <w:rsid w:val="00F566D5"/>
    <w:rsid w:val="00F600F2"/>
    <w:rsid w:val="00F635DA"/>
    <w:rsid w:val="00F63F3A"/>
    <w:rsid w:val="00F6568A"/>
    <w:rsid w:val="00F66BEA"/>
    <w:rsid w:val="00F66E91"/>
    <w:rsid w:val="00F71E6F"/>
    <w:rsid w:val="00F76DD2"/>
    <w:rsid w:val="00F80748"/>
    <w:rsid w:val="00F81111"/>
    <w:rsid w:val="00F8340E"/>
    <w:rsid w:val="00F860C5"/>
    <w:rsid w:val="00F861DE"/>
    <w:rsid w:val="00F90F7D"/>
    <w:rsid w:val="00F91DF3"/>
    <w:rsid w:val="00F92087"/>
    <w:rsid w:val="00F94D22"/>
    <w:rsid w:val="00F94DEF"/>
    <w:rsid w:val="00F95910"/>
    <w:rsid w:val="00F972AA"/>
    <w:rsid w:val="00F973A6"/>
    <w:rsid w:val="00F9748C"/>
    <w:rsid w:val="00FA070A"/>
    <w:rsid w:val="00FA5C02"/>
    <w:rsid w:val="00FA6FF2"/>
    <w:rsid w:val="00FA77EE"/>
    <w:rsid w:val="00FA7BFA"/>
    <w:rsid w:val="00FB1097"/>
    <w:rsid w:val="00FB20DE"/>
    <w:rsid w:val="00FB54AB"/>
    <w:rsid w:val="00FB5764"/>
    <w:rsid w:val="00FB6113"/>
    <w:rsid w:val="00FB6437"/>
    <w:rsid w:val="00FB7E7D"/>
    <w:rsid w:val="00FC2FBA"/>
    <w:rsid w:val="00FC5DA4"/>
    <w:rsid w:val="00FC68F9"/>
    <w:rsid w:val="00FC6EE9"/>
    <w:rsid w:val="00FD145C"/>
    <w:rsid w:val="00FD1A3D"/>
    <w:rsid w:val="00FD274D"/>
    <w:rsid w:val="00FD52FC"/>
    <w:rsid w:val="00FD620E"/>
    <w:rsid w:val="00FE3A95"/>
    <w:rsid w:val="00FF3536"/>
    <w:rsid w:val="00FF3954"/>
    <w:rsid w:val="00FF4636"/>
    <w:rsid w:val="00FF5497"/>
    <w:rsid w:val="00FF580F"/>
    <w:rsid w:val="00FF5D2B"/>
    <w:rsid w:val="00FF5E23"/>
    <w:rsid w:val="02113E4F"/>
    <w:rsid w:val="039B5720"/>
    <w:rsid w:val="03FC5E82"/>
    <w:rsid w:val="043715E2"/>
    <w:rsid w:val="043C7483"/>
    <w:rsid w:val="061C285F"/>
    <w:rsid w:val="06322C8C"/>
    <w:rsid w:val="07FA5C51"/>
    <w:rsid w:val="08E35BA2"/>
    <w:rsid w:val="08FE2242"/>
    <w:rsid w:val="09147308"/>
    <w:rsid w:val="105B7E39"/>
    <w:rsid w:val="11C27790"/>
    <w:rsid w:val="128F24EA"/>
    <w:rsid w:val="12BE2183"/>
    <w:rsid w:val="13A22EA1"/>
    <w:rsid w:val="13FA500A"/>
    <w:rsid w:val="15080EBE"/>
    <w:rsid w:val="15356E8A"/>
    <w:rsid w:val="15882B10"/>
    <w:rsid w:val="17AD1560"/>
    <w:rsid w:val="17F13E79"/>
    <w:rsid w:val="195C65FC"/>
    <w:rsid w:val="1B2E7EFB"/>
    <w:rsid w:val="1B602BF9"/>
    <w:rsid w:val="1B777F11"/>
    <w:rsid w:val="1C4A0255"/>
    <w:rsid w:val="1C4B5D71"/>
    <w:rsid w:val="1D040DB1"/>
    <w:rsid w:val="1D347916"/>
    <w:rsid w:val="1EBB651C"/>
    <w:rsid w:val="204A30D1"/>
    <w:rsid w:val="221955EF"/>
    <w:rsid w:val="23CF3BAA"/>
    <w:rsid w:val="25B41E9D"/>
    <w:rsid w:val="25E56868"/>
    <w:rsid w:val="275774BC"/>
    <w:rsid w:val="27BC027C"/>
    <w:rsid w:val="28792F09"/>
    <w:rsid w:val="28CD627E"/>
    <w:rsid w:val="2983524E"/>
    <w:rsid w:val="2F46011B"/>
    <w:rsid w:val="2FB70B5B"/>
    <w:rsid w:val="31C316F8"/>
    <w:rsid w:val="325623AA"/>
    <w:rsid w:val="33C74298"/>
    <w:rsid w:val="34D47A7C"/>
    <w:rsid w:val="38F73316"/>
    <w:rsid w:val="38FC0CD5"/>
    <w:rsid w:val="398A2E2E"/>
    <w:rsid w:val="3AD54840"/>
    <w:rsid w:val="3AF57197"/>
    <w:rsid w:val="3C1B043E"/>
    <w:rsid w:val="3CBD13FD"/>
    <w:rsid w:val="3D916A12"/>
    <w:rsid w:val="3DF4053E"/>
    <w:rsid w:val="404B2E8B"/>
    <w:rsid w:val="40910F5D"/>
    <w:rsid w:val="40BA4177"/>
    <w:rsid w:val="412818A5"/>
    <w:rsid w:val="4565044C"/>
    <w:rsid w:val="46014481"/>
    <w:rsid w:val="477B4832"/>
    <w:rsid w:val="49F00D5F"/>
    <w:rsid w:val="4C1D251B"/>
    <w:rsid w:val="4F343DA7"/>
    <w:rsid w:val="500242FE"/>
    <w:rsid w:val="52643142"/>
    <w:rsid w:val="53047B1C"/>
    <w:rsid w:val="53EF11F3"/>
    <w:rsid w:val="55035063"/>
    <w:rsid w:val="56E20EC8"/>
    <w:rsid w:val="56E35D53"/>
    <w:rsid w:val="571264AF"/>
    <w:rsid w:val="57B2047E"/>
    <w:rsid w:val="585F0CFA"/>
    <w:rsid w:val="58900DF0"/>
    <w:rsid w:val="58B84252"/>
    <w:rsid w:val="58BE6CA1"/>
    <w:rsid w:val="59B72774"/>
    <w:rsid w:val="5AAA72D0"/>
    <w:rsid w:val="5AB578C2"/>
    <w:rsid w:val="5B5D4EA9"/>
    <w:rsid w:val="5C0F2107"/>
    <w:rsid w:val="5D135882"/>
    <w:rsid w:val="5E531797"/>
    <w:rsid w:val="5E543814"/>
    <w:rsid w:val="5FBA7BE3"/>
    <w:rsid w:val="61620FB6"/>
    <w:rsid w:val="623A6737"/>
    <w:rsid w:val="64E80A78"/>
    <w:rsid w:val="665A501E"/>
    <w:rsid w:val="67A6286B"/>
    <w:rsid w:val="68B42BF3"/>
    <w:rsid w:val="6B3A19E3"/>
    <w:rsid w:val="6BB30801"/>
    <w:rsid w:val="6D30452E"/>
    <w:rsid w:val="6D6F527B"/>
    <w:rsid w:val="6E407887"/>
    <w:rsid w:val="6E750089"/>
    <w:rsid w:val="72124434"/>
    <w:rsid w:val="72534ECA"/>
    <w:rsid w:val="73195E4C"/>
    <w:rsid w:val="7530793A"/>
    <w:rsid w:val="76093A95"/>
    <w:rsid w:val="76E14E65"/>
    <w:rsid w:val="76EF5CAD"/>
    <w:rsid w:val="77107C07"/>
    <w:rsid w:val="788419CF"/>
    <w:rsid w:val="7AE110A7"/>
    <w:rsid w:val="7D23263F"/>
    <w:rsid w:val="7D355645"/>
    <w:rsid w:val="7DAF2BA0"/>
    <w:rsid w:val="7FCF43C0"/>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3">
    <w:name w:val="Default Paragraph Font"/>
    <w:qFormat/>
    <w:uiPriority w:val="0"/>
  </w:style>
  <w:style w:type="table" w:default="1" w:styleId="17">
    <w:name w:val="Normal Table"/>
    <w:unhideWhenUsed/>
    <w:qFormat/>
    <w:uiPriority w:val="99"/>
    <w:tblPr>
      <w:tblLayout w:type="fixed"/>
      <w:tblCellMar>
        <w:top w:w="0" w:type="dxa"/>
        <w:left w:w="108" w:type="dxa"/>
        <w:bottom w:w="0" w:type="dxa"/>
        <w:right w:w="108" w:type="dxa"/>
      </w:tblCellMar>
    </w:tblPr>
    <w:tcPr>
      <w:textDirection w:val="lrTb"/>
    </w:tcPr>
  </w:style>
  <w:style w:type="paragraph" w:styleId="2">
    <w:name w:val="annotation subject"/>
    <w:basedOn w:val="3"/>
    <w:next w:val="3"/>
    <w:link w:val="33"/>
    <w:unhideWhenUsed/>
    <w:qFormat/>
    <w:uiPriority w:val="99"/>
    <w:rPr>
      <w:b/>
      <w:bCs/>
    </w:rPr>
  </w:style>
  <w:style w:type="paragraph" w:styleId="3">
    <w:name w:val="annotation text"/>
    <w:basedOn w:val="1"/>
    <w:link w:val="30"/>
    <w:unhideWhenUsed/>
    <w:qFormat/>
    <w:uiPriority w:val="99"/>
    <w:pPr>
      <w:jc w:val="left"/>
    </w:pPr>
  </w:style>
  <w:style w:type="paragraph" w:styleId="4">
    <w:name w:val="Document Map"/>
    <w:basedOn w:val="1"/>
    <w:link w:val="26"/>
    <w:qFormat/>
    <w:uiPriority w:val="0"/>
    <w:rPr>
      <w:rFonts w:ascii="宋体"/>
      <w:sz w:val="18"/>
      <w:szCs w:val="18"/>
    </w:rPr>
  </w:style>
  <w:style w:type="paragraph" w:styleId="5">
    <w:name w:val="Body Text Indent"/>
    <w:basedOn w:val="1"/>
    <w:link w:val="24"/>
    <w:unhideWhenUsed/>
    <w:qFormat/>
    <w:uiPriority w:val="99"/>
    <w:pPr>
      <w:spacing w:after="120"/>
      <w:ind w:left="420" w:leftChars="200"/>
    </w:pPr>
  </w:style>
  <w:style w:type="paragraph" w:styleId="6">
    <w:name w:val="Body Text Indent 2"/>
    <w:basedOn w:val="1"/>
    <w:link w:val="31"/>
    <w:qFormat/>
    <w:uiPriority w:val="0"/>
    <w:pPr>
      <w:ind w:firstLine="640" w:firstLineChars="200"/>
    </w:pPr>
    <w:rPr>
      <w:rFonts w:ascii="楷体_GB2312" w:hAnsi="Courier New" w:eastAsia="楷体_GB2312"/>
      <w:szCs w:val="20"/>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Body Text First Indent 2"/>
    <w:basedOn w:val="5"/>
    <w:link w:val="23"/>
    <w:qFormat/>
    <w:uiPriority w:val="0"/>
    <w:pPr>
      <w:ind w:firstLine="420" w:firstLineChars="200"/>
    </w:p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link w:val="32"/>
    <w:qFormat/>
    <w:uiPriority w:val="11"/>
    <w:pPr>
      <w:spacing w:before="240" w:after="60" w:line="312" w:lineRule="auto"/>
      <w:jc w:val="center"/>
      <w:outlineLvl w:val="1"/>
    </w:pPr>
    <w:rPr>
      <w:rFonts w:ascii="Cambria" w:hAnsi="Cambria"/>
      <w:b/>
      <w:bCs/>
      <w:kern w:val="28"/>
      <w:szCs w:val="32"/>
    </w:rPr>
  </w:style>
  <w:style w:type="paragraph" w:styleId="12">
    <w:name w:val="Title"/>
    <w:basedOn w:val="1"/>
    <w:next w:val="1"/>
    <w:link w:val="25"/>
    <w:qFormat/>
    <w:uiPriority w:val="0"/>
    <w:pPr>
      <w:spacing w:before="240" w:beforeLines="0" w:after="60" w:afterLines="0"/>
      <w:jc w:val="center"/>
      <w:outlineLvl w:val="0"/>
    </w:pPr>
    <w:rPr>
      <w:rFonts w:ascii="Cambria" w:hAnsi="Cambria"/>
      <w:b/>
      <w:bCs/>
      <w:szCs w:val="32"/>
    </w:rPr>
  </w:style>
  <w:style w:type="character" w:styleId="14">
    <w:name w:val="Strong"/>
    <w:basedOn w:val="13"/>
    <w:qFormat/>
    <w:uiPriority w:val="22"/>
    <w:rPr>
      <w:b/>
      <w:bCs/>
    </w:rPr>
  </w:style>
  <w:style w:type="character" w:styleId="15">
    <w:name w:val="page number"/>
    <w:qFormat/>
    <w:uiPriority w:val="0"/>
  </w:style>
  <w:style w:type="character" w:styleId="16">
    <w:name w:val="annotation reference"/>
    <w:unhideWhenUsed/>
    <w:qFormat/>
    <w:uiPriority w:val="99"/>
    <w:rPr>
      <w:sz w:val="21"/>
      <w:szCs w:val="21"/>
    </w:rPr>
  </w:style>
  <w:style w:type="paragraph" w:customStyle="1" w:styleId="18">
    <w:name w:val=" Char Char Char Char"/>
    <w:basedOn w:val="1"/>
    <w:qFormat/>
    <w:uiPriority w:val="0"/>
  </w:style>
  <w:style w:type="paragraph" w:customStyle="1" w:styleId="19">
    <w:name w:val="p0"/>
    <w:basedOn w:val="1"/>
    <w:link w:val="28"/>
    <w:qFormat/>
    <w:uiPriority w:val="0"/>
    <w:pPr>
      <w:widowControl/>
    </w:pPr>
    <w:rPr>
      <w:kern w:val="0"/>
      <w:sz w:val="20"/>
      <w:szCs w:val="21"/>
    </w:rPr>
  </w:style>
  <w:style w:type="paragraph" w:customStyle="1" w:styleId="20">
    <w:name w:val="p17"/>
    <w:basedOn w:val="1"/>
    <w:qFormat/>
    <w:uiPriority w:val="0"/>
    <w:pPr>
      <w:widowControl/>
    </w:pPr>
    <w:rPr>
      <w:rFonts w:ascii="宋体" w:hAnsi="宋体" w:cs="宋体"/>
      <w:kern w:val="0"/>
      <w:szCs w:val="21"/>
    </w:rPr>
  </w:style>
  <w:style w:type="paragraph" w:customStyle="1" w:styleId="21">
    <w:name w:val=" Char"/>
    <w:basedOn w:val="1"/>
    <w:qFormat/>
    <w:uiPriority w:val="0"/>
    <w:pPr>
      <w:widowControl/>
      <w:jc w:val="left"/>
    </w:pPr>
  </w:style>
  <w:style w:type="paragraph" w:customStyle="1" w:styleId="22">
    <w:name w:val="Char"/>
    <w:basedOn w:val="1"/>
    <w:qFormat/>
    <w:uiPriority w:val="0"/>
    <w:pPr>
      <w:widowControl/>
      <w:jc w:val="left"/>
    </w:pPr>
  </w:style>
  <w:style w:type="character" w:customStyle="1" w:styleId="23">
    <w:name w:val="正文首行缩进 2 Char"/>
    <w:basedOn w:val="24"/>
    <w:link w:val="9"/>
    <w:qFormat/>
    <w:uiPriority w:val="0"/>
  </w:style>
  <w:style w:type="character" w:customStyle="1" w:styleId="24">
    <w:name w:val="正文文本缩进 Char"/>
    <w:basedOn w:val="13"/>
    <w:link w:val="5"/>
    <w:semiHidden/>
    <w:qFormat/>
    <w:uiPriority w:val="99"/>
    <w:rPr>
      <w:kern w:val="2"/>
      <w:sz w:val="32"/>
      <w:szCs w:val="24"/>
    </w:rPr>
  </w:style>
  <w:style w:type="character" w:customStyle="1" w:styleId="25">
    <w:name w:val="标题 字符"/>
    <w:link w:val="12"/>
    <w:qFormat/>
    <w:uiPriority w:val="0"/>
    <w:rPr>
      <w:rFonts w:ascii="Cambria" w:hAnsi="Cambria" w:cs="Times New Roman"/>
      <w:b/>
      <w:bCs/>
      <w:kern w:val="2"/>
      <w:sz w:val="32"/>
      <w:szCs w:val="32"/>
    </w:rPr>
  </w:style>
  <w:style w:type="character" w:customStyle="1" w:styleId="26">
    <w:name w:val="文档结构图 字符"/>
    <w:link w:val="4"/>
    <w:qFormat/>
    <w:uiPriority w:val="0"/>
    <w:rPr>
      <w:rFonts w:ascii="宋体"/>
      <w:kern w:val="2"/>
      <w:sz w:val="18"/>
      <w:szCs w:val="18"/>
    </w:rPr>
  </w:style>
  <w:style w:type="character" w:customStyle="1" w:styleId="27">
    <w:name w:val="page number"/>
    <w:qFormat/>
    <w:uiPriority w:val="0"/>
  </w:style>
  <w:style w:type="character" w:customStyle="1" w:styleId="28">
    <w:name w:val="p0{858D7CFB-ED40-4347-BF05-701D383B685F}"/>
    <w:link w:val="19"/>
    <w:qFormat/>
    <w:uiPriority w:val="0"/>
    <w:rPr>
      <w:kern w:val="0"/>
      <w:szCs w:val="21"/>
    </w:rPr>
  </w:style>
  <w:style w:type="character" w:customStyle="1" w:styleId="29">
    <w:name w:val="fontstyle01"/>
    <w:qFormat/>
    <w:uiPriority w:val="0"/>
    <w:rPr>
      <w:rFonts w:hint="eastAsia" w:ascii="仿宋_GB2312" w:eastAsia="仿宋_GB2312"/>
      <w:color w:val="000000"/>
      <w:sz w:val="32"/>
      <w:szCs w:val="32"/>
    </w:rPr>
  </w:style>
  <w:style w:type="character" w:customStyle="1" w:styleId="30">
    <w:name w:val="批注文字 字符"/>
    <w:link w:val="3"/>
    <w:semiHidden/>
    <w:qFormat/>
    <w:uiPriority w:val="99"/>
    <w:rPr>
      <w:kern w:val="2"/>
      <w:sz w:val="32"/>
      <w:szCs w:val="24"/>
    </w:rPr>
  </w:style>
  <w:style w:type="character" w:customStyle="1" w:styleId="31">
    <w:name w:val="正文文本缩进 2 字符"/>
    <w:link w:val="6"/>
    <w:qFormat/>
    <w:uiPriority w:val="0"/>
    <w:rPr>
      <w:rFonts w:ascii="楷体_GB2312" w:hAnsi="Courier New" w:eastAsia="楷体_GB2312"/>
      <w:kern w:val="2"/>
      <w:sz w:val="32"/>
    </w:rPr>
  </w:style>
  <w:style w:type="character" w:customStyle="1" w:styleId="32">
    <w:name w:val="副标题 字符"/>
    <w:link w:val="11"/>
    <w:qFormat/>
    <w:uiPriority w:val="11"/>
    <w:rPr>
      <w:rFonts w:ascii="Cambria" w:hAnsi="Cambria" w:cs="Times New Roman"/>
      <w:b/>
      <w:bCs/>
      <w:kern w:val="28"/>
      <w:sz w:val="32"/>
      <w:szCs w:val="32"/>
    </w:rPr>
  </w:style>
  <w:style w:type="character" w:customStyle="1" w:styleId="33">
    <w:name w:val="批注主题 字符"/>
    <w:link w:val="2"/>
    <w:semiHidden/>
    <w:qFormat/>
    <w:uiPriority w:val="99"/>
    <w:rPr>
      <w:b/>
      <w:bCs/>
      <w:kern w:val="2"/>
      <w:sz w:val="32"/>
      <w:szCs w:val="24"/>
    </w:rPr>
  </w:style>
  <w:style w:type="character" w:customStyle="1" w:styleId="34">
    <w:name w:val="样式 仿宋 三号 Char"/>
    <w:qFormat/>
    <w:uiPriority w:val="0"/>
    <w:rPr>
      <w:rFonts w:ascii="仿宋" w:hAnsi="仿宋" w:eastAsia="仿宋" w:cs="宋体"/>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vertOverflow="ellipsis" anchor="ctr" anchorCtr="1"/>
          <a:lstStyle/>
          <a:p>
            <a:pPr algn="ctr" defTabSz="914400">
              <a:defRPr sz="1400" b="0" kern="1200" spc="0" baseline="0">
                <a:solidFill>
                  <a:schemeClr val="tx1">
                    <a:lumMod val="65000"/>
                    <a:lumOff val="35000"/>
                  </a:schemeClr>
                </a:solidFill>
                <a:latin typeface="+mn-lt"/>
                <a:ea typeface="+mn-ea"/>
                <a:cs typeface="+mn-cs"/>
              </a:defRPr>
            </a:pPr>
            <a:r>
              <a:rPr lang="en-US" altLang="zh-CN" sz="1400" b="0" i="0" u="none" strike="noStrike" kern="1200" cap="none" spc="0" normalizeH="0" baseline="0">
                <a:solidFill>
                  <a:schemeClr val="tx1">
                    <a:lumMod val="65000"/>
                    <a:lumOff val="35000"/>
                  </a:schemeClr>
                </a:solidFill>
                <a:effectLst/>
                <a:latin typeface="+mn-lt"/>
                <a:ea typeface="+mn-ea"/>
                <a:cs typeface="+mn-cs"/>
              </a:rPr>
              <a:t>2022-2023</a:t>
            </a:r>
            <a:r>
              <a:rPr altLang="en-US" sz="1400" b="0" i="0" u="none" strike="noStrike" kern="1200" cap="none" spc="0" normalizeH="0" baseline="0">
                <a:solidFill>
                  <a:schemeClr val="tx1">
                    <a:lumMod val="65000"/>
                    <a:lumOff val="35000"/>
                  </a:schemeClr>
                </a:solidFill>
                <a:effectLst/>
                <a:latin typeface="+mn-lt"/>
                <a:ea typeface="+mn-ea"/>
                <a:cs typeface="+mn-cs"/>
              </a:rPr>
              <a:t>年度</a:t>
            </a:r>
            <a:r>
              <a:rPr sz="1400" b="0" i="0" u="none" strike="noStrike" kern="1200" cap="none" spc="0" normalizeH="0" baseline="0">
                <a:solidFill>
                  <a:schemeClr val="tx1">
                    <a:lumMod val="65000"/>
                    <a:lumOff val="35000"/>
                  </a:schemeClr>
                </a:solidFill>
                <a:effectLst/>
                <a:latin typeface="+mn-lt"/>
                <a:ea typeface="+mn-ea"/>
                <a:cs typeface="+mn-cs"/>
              </a:rPr>
              <a:t>收入支出决算图</a:t>
            </a:r>
            <a:endParaRPr sz="1400" b="0" i="0" u="none" strike="noStrike" kern="1200" cap="none" spc="0" normalizeH="0" baseline="0">
              <a:solidFill>
                <a:schemeClr val="tx1">
                  <a:lumMod val="65000"/>
                  <a:lumOff val="35000"/>
                </a:schemeClr>
              </a:solidFill>
              <a:effectLst/>
              <a:latin typeface="+mn-lt"/>
              <a:ea typeface="+mn-ea"/>
              <a:cs typeface="+mn-cs"/>
            </a:endParaRPr>
          </a:p>
        </c:rich>
      </c:tx>
      <c:layout/>
      <c:overlay val="0"/>
      <c:spPr>
        <a:noFill/>
        <a:ln>
          <a:noFill/>
        </a:ln>
        <a:effectLst/>
      </c:spPr>
    </c:title>
    <c:autoTitleDeleted val="0"/>
    <c:plotArea>
      <c:layout>
        <c:manualLayout>
          <c:layoutTarget val="inner"/>
          <c:xMode val="edge"/>
          <c:yMode val="edge"/>
          <c:x val="0.123729395604396"/>
          <c:y val="0.248313940186636"/>
          <c:w val="0.838495879120879"/>
          <c:h val="0.562022907332007"/>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cat>
            <c:strRef>
              <c:f>Sheet1!$A$2:$A$3</c:f>
              <c:strCache>
                <c:ptCount val="2"/>
                <c:pt idx="0">
                  <c:v>2022年度</c:v>
                </c:pt>
                <c:pt idx="1">
                  <c:v>2023年度</c:v>
                </c:pt>
              </c:strCache>
            </c:strRef>
          </c:cat>
          <c:val>
            <c:numRef>
              <c:f>Sheet1!$B$2:$B$3</c:f>
              <c:numCache>
                <c:formatCode>General</c:formatCode>
                <c:ptCount val="2"/>
                <c:pt idx="0" c:formatCode="General">
                  <c:v>23691.29</c:v>
                </c:pt>
                <c:pt idx="1" c:formatCode="General">
                  <c:v>9834.89</c:v>
                </c:pt>
              </c:numCache>
            </c:numRef>
          </c:val>
        </c:ser>
        <c:ser>
          <c:idx val="1"/>
          <c:order val="1"/>
          <c:tx>
            <c:strRef>
              <c:f>Sheet1!$C$1</c:f>
              <c:strCache>
                <c:ptCount val="1"/>
                <c:pt idx="0">
                  <c:v>支出</c:v>
                </c:pt>
              </c:strCache>
            </c:strRef>
          </c:tx>
          <c:spPr>
            <a:solidFill>
              <a:schemeClr val="accent2"/>
            </a:solidFill>
            <a:ln>
              <a:noFill/>
            </a:ln>
            <a:effectLst/>
          </c:spPr>
          <c:invertIfNegative val="0"/>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cat>
            <c:strRef>
              <c:f>Sheet1!$A$2:$A$3</c:f>
              <c:strCache>
                <c:ptCount val="2"/>
                <c:pt idx="0">
                  <c:v>2022年度</c:v>
                </c:pt>
                <c:pt idx="1">
                  <c:v>2023年度</c:v>
                </c:pt>
              </c:strCache>
            </c:strRef>
          </c:cat>
          <c:val>
            <c:numRef>
              <c:f>Sheet1!$C$2:$C$3</c:f>
              <c:numCache>
                <c:formatCode>General</c:formatCode>
                <c:ptCount val="2"/>
                <c:pt idx="0" c:formatCode="General">
                  <c:v>23691.29</c:v>
                </c:pt>
                <c:pt idx="1" c:formatCode="General">
                  <c:v>9834.89</c:v>
                </c:pt>
              </c:numCache>
            </c:numRef>
          </c:val>
        </c:ser>
        <c:dLbls>
          <c:dLblPos val="outEnd"/>
          <c:showLegendKey val="0"/>
          <c:showVal val="1"/>
          <c:showCatName val="0"/>
          <c:showSerName val="0"/>
          <c:showPercent val="0"/>
          <c:showBubbleSize val="0"/>
        </c:dLbls>
        <c:gapWidth val="219"/>
        <c:overlap val="-27"/>
        <c:axId val="63333810"/>
        <c:axId val="163912020"/>
      </c:barChart>
      <c:catAx>
        <c:axId val="6333381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crossAx val="163912020"/>
        <c:crosses val="autoZero"/>
        <c:auto val="1"/>
        <c:lblAlgn val="ctr"/>
        <c:lblOffset val="100"/>
        <c:tickMarkSkip val="1"/>
        <c:noMultiLvlLbl val="0"/>
      </c:catAx>
      <c:valAx>
        <c:axId val="163912020"/>
        <c:scaling>
          <c:orientation val="minMax"/>
        </c:scaling>
        <c:delete val="0"/>
        <c:axPos val="l"/>
        <c:majorGridlines>
          <c:spPr>
            <a:noFill/>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crossAx val="63333810"/>
        <c:crosses val="autoZero"/>
        <c:crossBetween val="between"/>
      </c:valAx>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1000" kern="1200">
          <a:solidFill>
            <a:schemeClr val="tx1"/>
          </a:solidFill>
          <a:latin typeface="+mn-lt"/>
          <a:ea typeface="+mn-ea"/>
          <a:cs typeface="+mn-cs"/>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sz="1400" b="0" kern="1200" spc="0" baseline="0">
                <a:solidFill>
                  <a:schemeClr val="tx1">
                    <a:lumMod val="65000"/>
                    <a:lumOff val="35000"/>
                  </a:schemeClr>
                </a:solidFill>
                <a:latin typeface="+mn-lt"/>
                <a:ea typeface="+mn-ea"/>
                <a:cs typeface="+mn-cs"/>
              </a:defRPr>
            </a:pPr>
            <a:r>
              <a:t>本年收入结构图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a:effectLst/>
          </c:spPr>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cat>
            <c:strRef>
              <c:f>Sheet1!$A$2:$A$4</c:f>
              <c:strCache>
                <c:ptCount val="3"/>
                <c:pt idx="0">
                  <c:v>财政拨款收入</c:v>
                </c:pt>
                <c:pt idx="1">
                  <c:v>上级补助收入</c:v>
                </c:pt>
                <c:pt idx="2">
                  <c:v>其他收入</c:v>
                </c:pt>
              </c:strCache>
            </c:strRef>
          </c:cat>
          <c:val>
            <c:numRef>
              <c:f>Sheet1!$B$2:$B$4</c:f>
              <c:numCache>
                <c:formatCode>General</c:formatCode>
                <c:ptCount val="3"/>
                <c:pt idx="0" c:formatCode="General">
                  <c:v>9834.89</c:v>
                </c:pt>
                <c:pt idx="1" c:formatCode="General">
                  <c:v>0</c:v>
                </c:pt>
                <c:pt idx="2" c:formatCode="General">
                  <c:v>0</c:v>
                </c:pt>
              </c:numCache>
            </c:numRef>
          </c:val>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154051065079248"/>
          <c:y val="0.881664499349805"/>
        </c:manualLayout>
      </c:layout>
      <c:overlay val="0"/>
      <c:spPr>
        <a:noFill/>
        <a:ln>
          <a:no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vertOverflow="ellipsis" anchor="ctr" anchorCtr="1"/>
          <a:lstStyle/>
          <a:p>
            <a:pPr algn="ctr" defTabSz="914400">
              <a:defRPr sz="1400" b="0" kern="1200" spc="0" baseline="0">
                <a:solidFill>
                  <a:schemeClr val="tx1">
                    <a:lumMod val="65000"/>
                    <a:lumOff val="35000"/>
                  </a:schemeClr>
                </a:solidFill>
                <a:latin typeface="+mn-lt"/>
                <a:ea typeface="+mn-ea"/>
                <a:cs typeface="+mn-cs"/>
              </a:defRPr>
            </a:pPr>
            <a:r>
              <a:rPr sz="1400" b="0" i="0" u="none" strike="noStrike" kern="1200" cap="none" spc="0" normalizeH="0" baseline="0">
                <a:solidFill>
                  <a:schemeClr val="tx1">
                    <a:lumMod val="65000"/>
                    <a:lumOff val="35000"/>
                  </a:schemeClr>
                </a:solidFill>
                <a:effectLst/>
                <a:latin typeface="+mn-lt"/>
                <a:ea typeface="+mn-ea"/>
                <a:cs typeface="+mn-cs"/>
              </a:rPr>
              <a:t>本年支出结构图</a:t>
            </a:r>
            <a:endParaRPr sz="1400" b="0" i="0" u="none" strike="noStrike" kern="1200" cap="none" spc="0" normalizeH="0" baseline="0">
              <a:solidFill>
                <a:schemeClr val="tx1">
                  <a:lumMod val="65000"/>
                  <a:lumOff val="35000"/>
                </a:schemeClr>
              </a:solidFill>
              <a:effectLst/>
              <a:latin typeface="+mn-lt"/>
              <a:ea typeface="+mn-ea"/>
              <a:cs typeface="+mn-cs"/>
            </a:endParaRPr>
          </a:p>
        </c:rich>
      </c:tx>
      <c:layout/>
      <c:overlay val="0"/>
      <c:spPr>
        <a:noFill/>
        <a:ln>
          <a:noFill/>
        </a:ln>
        <a:effectLst/>
      </c:spPr>
    </c:title>
    <c:autoTitleDeleted val="0"/>
    <c:plotArea>
      <c:layout/>
      <c:pieChart>
        <c:varyColors val="1"/>
        <c:ser>
          <c:idx val="0"/>
          <c:order val="0"/>
          <c:tx>
            <c:strRef>
              <c:f>Sheet1!$B$1</c:f>
              <c:strCache>
                <c:ptCount val="1"/>
                <c:pt idx="0">
                  <c:v>支出</c:v>
                </c:pt>
              </c:strCache>
            </c:strRef>
          </c:tx>
          <c:spPr>
            <a:effectLst/>
          </c:spPr>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formatCode="General">
                  <c:v>2775.06</c:v>
                </c:pt>
                <c:pt idx="1" c:formatCode="General">
                  <c:v>7059.83</c:v>
                </c:pt>
              </c:numCache>
            </c:numRef>
          </c:val>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vertOverflow="ellipsis" anchor="ctr" anchorCtr="1"/>
          <a:lstStyle/>
          <a:p>
            <a:pPr algn="ctr" defTabSz="914400">
              <a:defRPr sz="1400" b="0" kern="1200" spc="0" baseline="0">
                <a:solidFill>
                  <a:schemeClr val="tx1">
                    <a:lumMod val="65000"/>
                    <a:lumOff val="35000"/>
                  </a:schemeClr>
                </a:solidFill>
                <a:latin typeface="+mn-lt"/>
                <a:ea typeface="+mn-ea"/>
                <a:cs typeface="+mn-cs"/>
              </a:defRPr>
            </a:pPr>
            <a:r>
              <a:rPr sz="1400" b="0" i="0" u="none" strike="noStrike" kern="1200" cap="none" spc="0" normalizeH="0" baseline="0">
                <a:solidFill>
                  <a:schemeClr val="tx1">
                    <a:lumMod val="65000"/>
                    <a:lumOff val="35000"/>
                  </a:schemeClr>
                </a:solidFill>
                <a:effectLst/>
                <a:latin typeface="+mn-lt"/>
                <a:ea typeface="+mn-ea"/>
                <a:cs typeface="+mn-cs"/>
              </a:rPr>
              <a:t>财政拨款收、支决算总计变动情况图</a:t>
            </a:r>
            <a:endParaRPr sz="1400" b="0" i="0" u="none" strike="noStrike" kern="1200" cap="none" spc="0" normalizeH="0" baseline="0">
              <a:solidFill>
                <a:schemeClr val="tx1">
                  <a:lumMod val="65000"/>
                  <a:lumOff val="35000"/>
                </a:schemeClr>
              </a:solidFill>
              <a:effectLst/>
              <a:latin typeface="+mn-lt"/>
              <a:ea typeface="+mn-ea"/>
              <a:cs typeface="+mn-cs"/>
            </a:endParaRPr>
          </a:p>
        </c:rich>
      </c:tx>
      <c:layout>
        <c:manualLayout>
          <c:xMode val="edge"/>
          <c:yMode val="edge"/>
          <c:x val="0.121962068443368"/>
          <c:y val="0.0275134996142967"/>
        </c:manualLayout>
      </c:layout>
      <c:overlay val="0"/>
      <c:spPr>
        <a:noFill/>
        <a:ln>
          <a:noFill/>
        </a:ln>
        <a:effectLst/>
      </c:spPr>
    </c:title>
    <c:autoTitleDeleted val="0"/>
    <c:plotArea>
      <c:layout>
        <c:manualLayout>
          <c:layoutTarget val="inner"/>
          <c:xMode val="edge"/>
          <c:yMode val="edge"/>
          <c:x val="0.124244505494505"/>
          <c:y val="0.22542887975979"/>
          <c:w val="0.838495879120879"/>
          <c:h val="0.562022907332007"/>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cat>
            <c:strRef>
              <c:f>Sheet1!$A$2:$A$3</c:f>
              <c:strCache>
                <c:ptCount val="2"/>
                <c:pt idx="0">
                  <c:v>2022年度</c:v>
                </c:pt>
                <c:pt idx="1">
                  <c:v>2023年度</c:v>
                </c:pt>
              </c:strCache>
            </c:strRef>
          </c:cat>
          <c:val>
            <c:numRef>
              <c:f>Sheet1!$B$2:$B$3</c:f>
              <c:numCache>
                <c:formatCode>General</c:formatCode>
                <c:ptCount val="2"/>
                <c:pt idx="0" c:formatCode="General">
                  <c:v>23691.29</c:v>
                </c:pt>
                <c:pt idx="1" c:formatCode="General">
                  <c:v>9834.89</c:v>
                </c:pt>
              </c:numCache>
            </c:numRef>
          </c:val>
        </c:ser>
        <c:ser>
          <c:idx val="1"/>
          <c:order val="1"/>
          <c:tx>
            <c:strRef>
              <c:f>Sheet1!$C$1</c:f>
              <c:strCache>
                <c:ptCount val="1"/>
                <c:pt idx="0">
                  <c:v>支出</c:v>
                </c:pt>
              </c:strCache>
            </c:strRef>
          </c:tx>
          <c:spPr>
            <a:solidFill>
              <a:schemeClr val="accent2"/>
            </a:solidFill>
            <a:ln>
              <a:noFill/>
            </a:ln>
            <a:effectLst/>
          </c:spPr>
          <c:invertIfNegative val="0"/>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name>收入、支出</c:name>
            <c:trendlineType val="linear"/>
            <c:dispRSqr val="0"/>
            <c:dispEq val="0"/>
          </c:trendline>
          <c:cat>
            <c:strRef>
              <c:f>Sheet1!$A$2:$A$3</c:f>
              <c:strCache>
                <c:ptCount val="2"/>
                <c:pt idx="0">
                  <c:v>2022年度</c:v>
                </c:pt>
                <c:pt idx="1">
                  <c:v>2023年度</c:v>
                </c:pt>
              </c:strCache>
            </c:strRef>
          </c:cat>
          <c:val>
            <c:numRef>
              <c:f>Sheet1!$C$2:$C$3</c:f>
              <c:numCache>
                <c:formatCode>General</c:formatCode>
                <c:ptCount val="2"/>
                <c:pt idx="0" c:formatCode="General">
                  <c:v>23691.29</c:v>
                </c:pt>
                <c:pt idx="1" c:formatCode="General">
                  <c:v>9834.89</c:v>
                </c:pt>
              </c:numCache>
            </c:numRef>
          </c:val>
        </c:ser>
        <c:dLbls>
          <c:dLblPos val="outEnd"/>
          <c:showLegendKey val="0"/>
          <c:showVal val="1"/>
          <c:showCatName val="0"/>
          <c:showSerName val="0"/>
          <c:showPercent val="0"/>
          <c:showBubbleSize val="0"/>
        </c:dLbls>
        <c:gapWidth val="219"/>
        <c:overlap val="-27"/>
        <c:axId val="63333810"/>
        <c:axId val="163912020"/>
      </c:barChart>
      <c:catAx>
        <c:axId val="6333381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crossAx val="163912020"/>
        <c:crosses val="autoZero"/>
        <c:auto val="1"/>
        <c:lblAlgn val="ctr"/>
        <c:lblOffset val="100"/>
        <c:tickMarkSkip val="1"/>
        <c:noMultiLvlLbl val="0"/>
      </c:catAx>
      <c:valAx>
        <c:axId val="163912020"/>
        <c:scaling>
          <c:orientation val="minMax"/>
        </c:scaling>
        <c:delete val="0"/>
        <c:axPos val="l"/>
        <c:majorGridlines>
          <c:spPr>
            <a:noFill/>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crossAx val="63333810"/>
        <c:crosses val="autoZero"/>
        <c:crossBetween val="between"/>
      </c:valAx>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1000" kern="1200">
          <a:solidFill>
            <a:schemeClr val="tx1"/>
          </a:solidFill>
          <a:latin typeface="+mn-lt"/>
          <a:ea typeface="+mn-ea"/>
          <a:cs typeface="+mn-cs"/>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sz="1600" b="1" kern="1200">
                <a:solidFill>
                  <a:schemeClr val="tx2"/>
                </a:solidFill>
                <a:latin typeface="+mn-lt"/>
                <a:ea typeface="+mn-ea"/>
                <a:cs typeface="+mn-cs"/>
              </a:defRPr>
            </a:pPr>
            <a:r>
              <a:t>一般公共预算财政拨款支出决算变动情况图</a:t>
            </a:r>
          </a:p>
        </c:rich>
      </c:tx>
      <c:layout>
        <c:manualLayout>
          <c:xMode val="edge"/>
          <c:yMode val="edge"/>
          <c:x val="0.152316204602737"/>
          <c:y val="0.00665188470066519"/>
        </c:manualLayout>
      </c:layout>
      <c:overlay val="0"/>
      <c:spPr>
        <a:noFill/>
        <a:ln>
          <a:noFill/>
        </a:ln>
        <a:effectLst/>
      </c:spPr>
    </c:title>
    <c:autoTitleDeleted val="0"/>
    <c:plotArea>
      <c:layout>
        <c:manualLayout>
          <c:layoutTarget val="inner"/>
          <c:xMode val="edge"/>
          <c:yMode val="edge"/>
          <c:x val="0.046075"/>
          <c:y val="0.120948818897638"/>
          <c:w val="0.927925"/>
          <c:h val="0.716284514435696"/>
        </c:manualLayout>
      </c:layout>
      <c:barChart>
        <c:barDir val="col"/>
        <c:grouping val="clustered"/>
        <c:varyColors val="0"/>
        <c:ser>
          <c:idx val="0"/>
          <c:order val="0"/>
          <c:tx>
            <c:strRef>
              <c:f>Sheet1!#REF!</c:f>
              <c:strCache>
                <c:ptCount val="1"/>
                <c:pt idx="0">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chemeClr val="accent1">
                  <a:alpha val="35000"/>
                </a:schemeClr>
              </a:outerShdw>
            </a:effectLst>
          </c:spPr>
          <c:invertIfNegative val="0"/>
          <c:dLbls>
            <c:dLbl>
              <c:idx val="0"/>
              <c:delete val="1"/>
            </c:dLbl>
            <c:dLbl>
              <c:idx val="1"/>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line">
                      <a:avLst/>
                    </a:prstGeom>
                    <a:noFill/>
                    <a:ln>
                      <a:noFill/>
                    </a:ln>
                  </c15:spPr>
                </c:ext>
              </c:extLst>
            </c:dLbl>
            <c:dLbl>
              <c:idx val="2"/>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line">
                      <a:avLst/>
                    </a:prstGeom>
                    <a:noFill/>
                    <a:ln>
                      <a:noFill/>
                    </a:ln>
                  </c15:spPr>
                </c:ext>
              </c:extLst>
            </c:dLbl>
            <c:dLbl>
              <c:idx val="3"/>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line">
                      <a:avLst/>
                    </a:prstGeom>
                    <a:noFill/>
                    <a:ln>
                      <a:noFill/>
                    </a:ln>
                  </c15:spPr>
                </c:ext>
              </c:extLst>
            </c:dLbl>
            <c:numFmt formatCode="General" sourceLinked="1"/>
            <c:spPr>
              <a:noFill/>
              <a:ln>
                <a:noFill/>
              </a:ln>
              <a:effectLst/>
            </c:spPr>
            <c:txPr>
              <a:bodyPr rot="-540000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a:solidFill>
                        <a:schemeClr val="tx2">
                          <a:lumMod val="35000"/>
                          <a:lumOff val="65000"/>
                        </a:schemeClr>
                      </a:solidFill>
                    </a:ln>
                    <a:effectLst/>
                  </c:spPr>
                </c15:leaderLines>
              </c:ext>
            </c:extLst>
          </c:dLbls>
          <c:cat>
            <c:strRef>
              <c:f>Sheet1!$A$2:$A$3</c:f>
              <c:strCache>
                <c:ptCount val="2"/>
                <c:pt idx="0">
                  <c:v>2022年</c:v>
                </c:pt>
                <c:pt idx="1">
                  <c:v>2023年</c:v>
                </c:pt>
              </c:strCache>
            </c:strRef>
          </c:cat>
          <c:val>
            <c:numRef>
              <c:f>Sheet1!#REF!</c:f>
              <c:numCache>
                <c:formatCode>General</c:formatCode>
                <c:ptCount val="1"/>
                <c:pt idx="0" c:formatCode="General">
                  <c:v>1</c:v>
                </c:pt>
              </c:numCache>
            </c:numRef>
          </c:val>
        </c:ser>
        <c:ser>
          <c:idx val="1"/>
          <c:order val="1"/>
          <c:tx>
            <c:strRef>
              <c:f>Sheet1!$B$1</c:f>
              <c:strCache>
                <c:ptCount val="1"/>
                <c:pt idx="0">
                  <c:v>一般公共预算支出</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chemeClr val="accent2">
                  <a:alpha val="35000"/>
                </a:schemeClr>
              </a:outerShdw>
            </a:effectLst>
          </c:spPr>
          <c:invertIfNegative val="0"/>
          <c:dLbls>
            <c:dLbl>
              <c:idx val="0"/>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extLst>
            </c:dLbl>
            <c:dLbl>
              <c:idx val="2"/>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line">
                      <a:avLst/>
                    </a:prstGeom>
                    <a:noFill/>
                    <a:ln>
                      <a:noFill/>
                    </a:ln>
                  </c15:spPr>
                </c:ext>
              </c:extLst>
            </c:dLbl>
            <c:dLbl>
              <c:idx val="3"/>
              <c:layout/>
              <c:numFmt formatCode="General" sourceLinked="1"/>
              <c:txPr>
                <a:bodyPr rot="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line">
                      <a:avLst/>
                    </a:prstGeom>
                    <a:noFill/>
                    <a:ln>
                      <a:noFill/>
                    </a:ln>
                  </c15:spPr>
                </c:ext>
              </c:extLst>
            </c:dLbl>
            <c:numFmt formatCode="General" sourceLinked="1"/>
            <c:spPr>
              <a:noFill/>
              <a:ln>
                <a:noFill/>
              </a:ln>
              <a:effectLst/>
            </c:spPr>
            <c:txPr>
              <a:bodyPr rot="-5400000" spcFirstLastPara="1" vertOverflow="clip" horzOverflow="clip" vert="horz" wrap="square" lIns="38100" tIns="19050" rIns="38100" bIns="19050" anchor="ctr" anchorCtr="1">
                <a:spAutoFit/>
              </a:bodyPr>
              <a:lstStyle/>
              <a:p>
                <a:pPr>
                  <a:defRPr sz="900" kern="1200">
                    <a:solidFill>
                      <a:schemeClr val="tx2"/>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a:solidFill>
                        <a:schemeClr val="tx2">
                          <a:lumMod val="35000"/>
                          <a:lumOff val="65000"/>
                        </a:schemeClr>
                      </a:solidFill>
                    </a:ln>
                    <a:effectLst/>
                  </c:spPr>
                </c15:leaderLines>
              </c:ext>
            </c:extLst>
          </c:dLbls>
          <c:cat>
            <c:strRef>
              <c:f>Sheet1!$A$2:$A$3</c:f>
              <c:strCache>
                <c:ptCount val="2"/>
                <c:pt idx="0">
                  <c:v>2022年</c:v>
                </c:pt>
                <c:pt idx="1">
                  <c:v>2023年</c:v>
                </c:pt>
              </c:strCache>
            </c:strRef>
          </c:cat>
          <c:val>
            <c:numRef>
              <c:f>Sheet1!$B$2:$B$3</c:f>
              <c:numCache>
                <c:formatCode>General</c:formatCode>
                <c:ptCount val="2"/>
                <c:pt idx="0" c:formatCode="General">
                  <c:v>23330.56</c:v>
                </c:pt>
                <c:pt idx="1" c:formatCode="General">
                  <c:v>8966.35</c:v>
                </c:pt>
              </c:numCache>
            </c:numRef>
          </c:val>
        </c:ser>
        <c:dLbls>
          <c:dLblPos val="outEnd"/>
          <c:showLegendKey val="0"/>
          <c:showVal val="1"/>
          <c:showCatName val="0"/>
          <c:showSerName val="0"/>
          <c:showPercent val="0"/>
          <c:showBubbleSize val="0"/>
        </c:dLbls>
        <c:gapWidth val="100"/>
        <c:overlap val="-24"/>
        <c:axId val="643452613"/>
        <c:axId val="858293447"/>
      </c:barChart>
      <c:catAx>
        <c:axId val="643452613"/>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0" vertOverflow="ellipsis" horzOverflow="overflow" vert="horz" wrap="square" anchor="ctr" anchorCtr="1"/>
          <a:lstStyle/>
          <a:p>
            <a:pPr>
              <a:defRPr sz="900" kern="1200">
                <a:solidFill>
                  <a:schemeClr val="tx2"/>
                </a:solidFill>
                <a:latin typeface="+mn-lt"/>
                <a:ea typeface="+mn-ea"/>
                <a:cs typeface="+mn-cs"/>
              </a:defRPr>
            </a:pPr>
          </a:p>
        </c:txPr>
        <c:crossAx val="858293447"/>
        <c:crosses val="autoZero"/>
        <c:auto val="1"/>
        <c:lblAlgn val="ctr"/>
        <c:lblOffset val="100"/>
        <c:tickMarkSkip val="1"/>
        <c:noMultiLvlLbl val="0"/>
      </c:catAx>
      <c:valAx>
        <c:axId val="858293447"/>
        <c:scaling>
          <c:orientation val="minMax"/>
        </c:scaling>
        <c:delete val="0"/>
        <c:axPos val="l"/>
        <c:majorGridlines>
          <c:spPr>
            <a:noFill/>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sz="900" kern="1200">
                <a:solidFill>
                  <a:schemeClr val="tx2"/>
                </a:solidFill>
                <a:latin typeface="+mn-lt"/>
                <a:ea typeface="+mn-ea"/>
                <a:cs typeface="+mn-cs"/>
              </a:defRPr>
            </a:pPr>
          </a:p>
        </c:txPr>
        <c:crossAx val="643452613"/>
        <c:crosses val="autoZero"/>
        <c:crossBetween val="between"/>
      </c:valAx>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sz="900" kern="120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tx2"/>
          </a:solidFill>
          <a:latin typeface="+mn-lt"/>
          <a:ea typeface="+mn-ea"/>
          <a:cs typeface="+mn-cs"/>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vertOverflow="ellipsis" anchor="ctr" anchorCtr="1"/>
          <a:lstStyle/>
          <a:p>
            <a:pPr algn="ctr" defTabSz="914400">
              <a:defRPr sz="1600" b="1" kern="1200" spc="0" normalizeH="0" baseline="0">
                <a:solidFill>
                  <a:schemeClr val="dk1">
                    <a:lumMod val="50000"/>
                    <a:lumOff val="50000"/>
                  </a:schemeClr>
                </a:solidFill>
                <a:latin typeface="+mj-lt"/>
                <a:ea typeface="+mj-ea"/>
                <a:cs typeface="+mj-cs"/>
              </a:defRPr>
            </a:pPr>
            <a:r>
              <a:rPr sz="1600" b="1" i="0" u="none" strike="noStrike" kern="1200" cap="none" spc="0" normalizeH="0" baseline="0">
                <a:solidFill>
                  <a:schemeClr val="dk1">
                    <a:lumMod val="50000"/>
                    <a:lumOff val="50000"/>
                  </a:schemeClr>
                </a:solidFill>
                <a:effectLst/>
                <a:latin typeface="+mj-lt"/>
                <a:ea typeface="+mj-ea"/>
                <a:cs typeface="+mj-cs"/>
              </a:rPr>
              <a:t>财政拨款支出决算结构图</a:t>
            </a:r>
            <a:endParaRPr sz="1600" b="1" i="0" u="none" strike="noStrike" kern="1200" cap="none" spc="0" normalizeH="0" baseline="0">
              <a:solidFill>
                <a:schemeClr val="dk1">
                  <a:lumMod val="50000"/>
                  <a:lumOff val="50000"/>
                </a:schemeClr>
              </a:solidFill>
              <a:effectLst/>
              <a:latin typeface="+mj-lt"/>
              <a:ea typeface="+mj-ea"/>
              <a:cs typeface="+mj-cs"/>
            </a:endParaRPr>
          </a:p>
        </c:rich>
      </c:tx>
      <c:layout/>
      <c:overlay val="0"/>
      <c:spPr>
        <a:noFill/>
        <a:ln>
          <a:noFill/>
        </a:ln>
        <a:effectLst/>
      </c:spPr>
    </c:title>
    <c:autoTitleDeleted val="0"/>
    <c:plotArea>
      <c:layout/>
      <c:pieChart>
        <c:varyColors val="1"/>
        <c:ser>
          <c:idx val="0"/>
          <c:order val="0"/>
          <c:tx>
            <c:strRef>
              <c:f>Sheet1!$A$1:$B$1</c:f>
              <c:strCache>
                <c:ptCount val="1"/>
                <c:pt idx="0">
                  <c:v>  支出额</c:v>
                </c:pt>
              </c:strCache>
            </c:strRef>
          </c:tx>
          <c:spPr>
            <a:effectLst/>
          </c:spPr>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dPt>
          <c:dPt>
            <c:idx val="4"/>
            <c:bubble3D val="0"/>
            <c:spPr>
              <a:gradFill>
                <a:gsLst>
                  <a:gs pos="100000">
                    <a:schemeClr val="accent5">
                      <a:lumMod val="60000"/>
                      <a:lumOff val="40000"/>
                    </a:schemeClr>
                  </a:gs>
                  <a:gs pos="0">
                    <a:schemeClr val="accent5"/>
                  </a:gs>
                </a:gsLst>
                <a:lin ang="5400000" scaled="0"/>
              </a:gradFill>
              <a:ln w="19050">
                <a:solidFill>
                  <a:schemeClr val="lt1"/>
                </a:solidFill>
              </a:ln>
              <a:effectLst/>
            </c:spPr>
          </c:dPt>
          <c:dPt>
            <c:idx val="5"/>
            <c:bubble3D val="0"/>
            <c:spPr>
              <a:gradFill>
                <a:gsLst>
                  <a:gs pos="100000">
                    <a:schemeClr val="accent6">
                      <a:lumMod val="60000"/>
                      <a:lumOff val="40000"/>
                    </a:schemeClr>
                  </a:gs>
                  <a:gs pos="0">
                    <a:schemeClr val="accent6"/>
                  </a:gs>
                </a:gsLst>
                <a:lin ang="5400000" scaled="0"/>
              </a:gradFill>
              <a:ln w="19050">
                <a:solidFill>
                  <a:schemeClr val="lt1"/>
                </a:solidFill>
              </a:ln>
              <a:effectLst/>
            </c:spPr>
          </c:dPt>
          <c:dPt>
            <c:idx val="6"/>
            <c:bubble3D val="0"/>
            <c:spPr>
              <a:gradFill>
                <a:gsLst>
                  <a:gs pos="100000">
                    <a:schemeClr val="accent1">
                      <a:lumMod val="60000"/>
                      <a:lumMod val="60000"/>
                      <a:lumOff val="40000"/>
                    </a:schemeClr>
                  </a:gs>
                  <a:gs pos="0">
                    <a:schemeClr val="accent1">
                      <a:lumMod val="60000"/>
                    </a:schemeClr>
                  </a:gs>
                </a:gsLst>
                <a:lin ang="5400000" scaled="0"/>
              </a:gradFill>
              <a:ln w="19050">
                <a:solidFill>
                  <a:schemeClr val="lt1"/>
                </a:solidFill>
              </a:ln>
              <a:effectLst/>
            </c:spPr>
          </c:dPt>
          <c:dPt>
            <c:idx val="7"/>
            <c:bubble3D val="0"/>
            <c:spPr>
              <a:gradFill>
                <a:gsLst>
                  <a:gs pos="100000">
                    <a:schemeClr val="accent2">
                      <a:lumMod val="60000"/>
                      <a:lumMod val="60000"/>
                      <a:lumOff val="40000"/>
                    </a:schemeClr>
                  </a:gs>
                  <a:gs pos="0">
                    <a:schemeClr val="accent2">
                      <a:lumMod val="60000"/>
                    </a:schemeClr>
                  </a:gs>
                </a:gsLst>
                <a:lin ang="5400000" scaled="0"/>
              </a:gradFill>
              <a:ln w="19050">
                <a:solidFill>
                  <a:schemeClr val="lt1"/>
                </a:solidFill>
              </a:ln>
              <a:effectLst/>
            </c:spPr>
          </c:dPt>
          <c:dPt>
            <c:idx val="8"/>
            <c:bubble3D val="0"/>
            <c:spPr>
              <a:gradFill>
                <a:gsLst>
                  <a:gs pos="100000">
                    <a:schemeClr val="accent3">
                      <a:lumMod val="60000"/>
                      <a:lumMod val="60000"/>
                      <a:lumOff val="40000"/>
                    </a:schemeClr>
                  </a:gs>
                  <a:gs pos="0">
                    <a:schemeClr val="accent3">
                      <a:lumMod val="60000"/>
                    </a:schemeClr>
                  </a:gs>
                </a:gsLst>
                <a:lin ang="5400000" scaled="0"/>
              </a:gradFill>
              <a:ln w="19050">
                <a:solidFill>
                  <a:schemeClr val="lt1"/>
                </a:solidFill>
              </a:ln>
              <a:effectLst/>
            </c:spPr>
          </c:dPt>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dk1">
                        <a:lumMod val="75000"/>
                        <a:lumOff val="25000"/>
                      </a:schemeClr>
                    </a:solidFill>
                    <a:latin typeface="+mn-lt"/>
                    <a:ea typeface="+mn-ea"/>
                    <a:cs typeface="+mn-cs"/>
                  </a:defRPr>
                </a:pPr>
              </a:p>
            </c:txPr>
            <c:dLblPos val="ctr"/>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noFill/>
                    <a:ln w="9525" cap="flat" cmpd="sng" algn="ctr">
                      <a:solidFill>
                        <a:schemeClr val="dk1">
                          <a:lumMod val="35000"/>
                          <a:lumOff val="65000"/>
                        </a:schemeClr>
                      </a:solidFill>
                      <a:round/>
                    </a:ln>
                    <a:effectLst/>
                  </c:spPr>
                </c15:leaderLines>
              </c:ext>
            </c:extLst>
          </c:dLbls>
          <c:cat>
            <c:strRef>
              <c:f>Sheet1!$A$2:$A$10</c:f>
              <c:strCache>
                <c:ptCount val="9"/>
                <c:pt idx="0">
                  <c:v>一般公共服务</c:v>
                </c:pt>
                <c:pt idx="1">
                  <c:v>公共安全</c:v>
                </c:pt>
                <c:pt idx="2">
                  <c:v>教育</c:v>
                </c:pt>
                <c:pt idx="3">
                  <c:v>社会保障和就业</c:v>
                </c:pt>
                <c:pt idx="4">
                  <c:v>卫生健康</c:v>
                </c:pt>
                <c:pt idx="5">
                  <c:v>节能环保</c:v>
                </c:pt>
                <c:pt idx="6">
                  <c:v>城乡社区</c:v>
                </c:pt>
                <c:pt idx="7">
                  <c:v>农林水</c:v>
                </c:pt>
                <c:pt idx="8">
                  <c:v>住房保障</c:v>
                </c:pt>
              </c:strCache>
            </c:strRef>
          </c:cat>
          <c:val>
            <c:numRef>
              <c:f>Sheet1!$B$2:$B$10</c:f>
              <c:numCache>
                <c:formatCode>General</c:formatCode>
                <c:ptCount val="9"/>
                <c:pt idx="0" c:formatCode="General">
                  <c:v>4042.62</c:v>
                </c:pt>
                <c:pt idx="1" c:formatCode="General">
                  <c:v>34.43</c:v>
                </c:pt>
                <c:pt idx="2" c:formatCode="General">
                  <c:v>857.52</c:v>
                </c:pt>
                <c:pt idx="3" c:formatCode="General">
                  <c:v>668.55</c:v>
                </c:pt>
                <c:pt idx="4" c:formatCode="General">
                  <c:v>17</c:v>
                </c:pt>
                <c:pt idx="5" c:formatCode="General">
                  <c:v>254.48</c:v>
                </c:pt>
                <c:pt idx="6" c:formatCode="General">
                  <c:v>200</c:v>
                </c:pt>
                <c:pt idx="7" c:formatCode="General">
                  <c:v>2688.44</c:v>
                </c:pt>
                <c:pt idx="8" c:formatCode="General">
                  <c:v>203.31</c:v>
                </c:pt>
              </c:numCache>
            </c:numRef>
          </c:val>
        </c:ser>
        <c:dLbls>
          <c:dLblPos val="bestFit"/>
          <c:showLegendKey val="0"/>
          <c:showVal val="0"/>
          <c:showCatName val="0"/>
          <c:showSerName val="0"/>
          <c:showPercent val="0"/>
          <c:showBubbleSize val="0"/>
          <c:showLeaderLines val="1"/>
        </c:dLbls>
        <c:firstSliceAng val="0"/>
      </c:pieChart>
      <c:spPr>
        <a:noFill/>
        <a:ln>
          <a:noFill/>
        </a:ln>
        <a:effectLst/>
      </c:spPr>
    </c:plotArea>
    <c:legend>
      <c:legendPos val="r"/>
      <c:layout/>
      <c:overlay val="0"/>
      <c:spPr>
        <a:solidFill>
          <a:schemeClr val="lt1">
            <a:alpha val="50000"/>
          </a:schemeClr>
        </a:solidFill>
        <a:ln>
          <a:noFill/>
        </a:ln>
        <a:effectLst/>
      </c:spPr>
      <c:txPr>
        <a:bodyPr rot="0" spcFirstLastPara="0" vertOverflow="ellipsis" horzOverflow="overflow" vert="horz" wrap="square" anchor="ctr" anchorCtr="1"/>
        <a:lstStyle/>
        <a:p>
          <a:pPr>
            <a:defRPr sz="900" kern="1200">
              <a:solidFill>
                <a:schemeClr val="dk1">
                  <a:lumMod val="65000"/>
                  <a:lumOff val="35000"/>
                </a:schemeClr>
              </a:solidFill>
              <a:latin typeface="+mn-lt"/>
              <a:ea typeface="+mn-ea"/>
              <a:cs typeface="+mn-cs"/>
            </a:defRPr>
          </a:pPr>
        </a:p>
      </c:txPr>
    </c:legend>
    <c:plotVisOnly val="1"/>
    <c:dispBlanksAs val="gap"/>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2318</Words>
  <Characters>13218</Characters>
  <Lines>110</Lines>
  <Paragraphs>31</Paragraphs>
  <ScaleCrop>false</ScaleCrop>
  <LinksUpToDate>false</LinksUpToDate>
  <CharactersWithSpaces>15505</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2023-08-31T11:00:00Z</dcterms:created>
  <cp:lastPrinted>2024-09-27T08:41:00Z</cp:lastPrinted>
  <dcterms:modified xsi:type="dcterms:W3CDTF">2024-09-27T09:59:52Z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y fmtid="{D5CDD505-2E9C-101B-9397-08002B2CF9AE}" pid="3" name="ICV">
    <vt:lpwstr>F9031654CB5949E2B05DC96935A0DA8D_12</vt:lpwstr>
  </property>
</Properties>
</file>