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32" w:firstLineChars="200"/>
        <w:jc w:val="right"/>
        <w:rPr>
          <w:rFonts w:hint="eastAsia" w:ascii="仿宋_GB2312" w:eastAsia="仿宋_GB2312"/>
        </w:rPr>
      </w:pPr>
    </w:p>
    <w:p>
      <w:pPr>
        <w:jc w:val="center"/>
        <w:rPr>
          <w:rFonts w:hint="eastAsia" w:ascii="仿宋_GB2312" w:eastAsia="仿宋_GB2312"/>
        </w:rPr>
      </w:pPr>
    </w:p>
    <w:p>
      <w:pPr>
        <w:jc w:val="center"/>
        <w:rPr>
          <w:rFonts w:hint="eastAsia" w:ascii="仿宋_GB2312" w:eastAsia="仿宋_GB2312"/>
        </w:rPr>
      </w:pPr>
    </w:p>
    <w:p>
      <w:pPr>
        <w:jc w:val="center"/>
        <w:rPr>
          <w:rFonts w:hint="eastAsia" w:ascii="方正小标宋简体" w:eastAsia="方正小标宋简体"/>
          <w:spacing w:val="60"/>
          <w:sz w:val="74"/>
        </w:rPr>
      </w:pPr>
      <w:r>
        <w:rPr>
          <w:rFonts w:hint="eastAsia" w:ascii="方正小标宋简体" w:eastAsia="方正小标宋简体"/>
          <w:spacing w:val="60"/>
          <w:sz w:val="74"/>
        </w:rPr>
        <w:t>2022年度</w:t>
      </w:r>
    </w:p>
    <w:p>
      <w:pPr>
        <w:jc w:val="center"/>
        <w:rPr>
          <w:rFonts w:hint="eastAsia" w:ascii="方正小标宋简体" w:eastAsia="方正小标宋简体"/>
          <w:spacing w:val="60"/>
          <w:sz w:val="74"/>
        </w:rPr>
      </w:pPr>
      <w:r>
        <w:rPr>
          <w:rFonts w:hint="eastAsia" w:ascii="方正小标宋简体" w:eastAsia="方正小标宋简体"/>
          <w:spacing w:val="60"/>
          <w:sz w:val="74"/>
        </w:rPr>
        <w:t>温泉街道</w:t>
      </w:r>
      <w:r>
        <w:rPr>
          <w:rFonts w:hint="eastAsia" w:ascii="方正小标宋简体" w:eastAsia="方正小标宋简体"/>
          <w:spacing w:val="60"/>
          <w:sz w:val="74"/>
          <w:lang w:eastAsia="zh-CN"/>
        </w:rPr>
        <w:t>单位</w:t>
      </w:r>
      <w:r>
        <w:rPr>
          <w:rFonts w:hint="eastAsia" w:ascii="方正小标宋简体" w:eastAsia="方正小标宋简体"/>
          <w:spacing w:val="60"/>
          <w:sz w:val="74"/>
        </w:rPr>
        <w:t>决算</w:t>
      </w:r>
    </w:p>
    <w:p>
      <w:pPr>
        <w:jc w:val="center"/>
        <w:rPr>
          <w:rFonts w:hint="eastAsia" w:ascii="楷体_GB2312" w:eastAsia="楷体_GB2312"/>
          <w:b/>
          <w:sz w:val="42"/>
        </w:rPr>
      </w:pPr>
    </w:p>
    <w:p>
      <w:pPr>
        <w:jc w:val="center"/>
        <w:rPr>
          <w:rFonts w:hint="eastAsia" w:ascii="楷体_GB2312" w:eastAsia="楷体_GB2312"/>
          <w:b/>
          <w:sz w:val="42"/>
        </w:rPr>
      </w:pPr>
    </w:p>
    <w:p>
      <w:pPr>
        <w:rPr>
          <w:rFonts w:hint="eastAsia" w:ascii="仿宋_GB2312" w:eastAsia="仿宋_GB2312"/>
        </w:rPr>
      </w:pPr>
    </w:p>
    <w:p>
      <w:pPr>
        <w:spacing w:after="305" w:afterLines="50" w:line="580" w:lineRule="exact"/>
        <w:jc w:val="center"/>
        <w:rPr>
          <w:rFonts w:hint="eastAsia" w:ascii="方正小标宋简体" w:eastAsia="方正小标宋简体"/>
          <w:sz w:val="44"/>
          <w:szCs w:val="44"/>
        </w:rPr>
      </w:pPr>
    </w:p>
    <w:p>
      <w:pPr>
        <w:spacing w:after="305" w:afterLines="50" w:line="580" w:lineRule="exact"/>
        <w:jc w:val="center"/>
        <w:rPr>
          <w:rFonts w:hint="eastAsia" w:ascii="方正小标宋简体" w:eastAsia="方正小标宋简体"/>
          <w:sz w:val="44"/>
          <w:szCs w:val="44"/>
        </w:rPr>
      </w:pPr>
    </w:p>
    <w:p>
      <w:pPr>
        <w:spacing w:after="305" w:afterLines="50" w:line="580" w:lineRule="exact"/>
        <w:jc w:val="center"/>
        <w:rPr>
          <w:rFonts w:hint="eastAsia" w:ascii="方正小标宋简体" w:eastAsia="方正小标宋简体"/>
          <w:sz w:val="44"/>
          <w:szCs w:val="44"/>
        </w:rPr>
      </w:pPr>
    </w:p>
    <w:p>
      <w:pPr>
        <w:spacing w:after="305" w:afterLines="50" w:line="580" w:lineRule="exact"/>
        <w:jc w:val="center"/>
        <w:rPr>
          <w:rFonts w:hint="eastAsia" w:ascii="方正小标宋简体" w:eastAsia="方正小标宋简体"/>
          <w:sz w:val="44"/>
          <w:szCs w:val="44"/>
        </w:rPr>
      </w:pPr>
    </w:p>
    <w:p>
      <w:pPr>
        <w:spacing w:after="305" w:afterLines="50" w:line="580" w:lineRule="exact"/>
        <w:jc w:val="center"/>
        <w:rPr>
          <w:rFonts w:hint="eastAsia" w:ascii="方正小标宋简体" w:eastAsia="方正小标宋简体"/>
          <w:sz w:val="44"/>
          <w:szCs w:val="44"/>
        </w:rPr>
      </w:pPr>
    </w:p>
    <w:p>
      <w:pPr>
        <w:spacing w:after="305" w:afterLines="50" w:line="580" w:lineRule="exact"/>
        <w:jc w:val="center"/>
        <w:rPr>
          <w:rFonts w:hint="eastAsia" w:ascii="方正小标宋简体" w:eastAsia="方正小标宋简体"/>
          <w:sz w:val="44"/>
          <w:szCs w:val="44"/>
        </w:rPr>
      </w:pPr>
    </w:p>
    <w:p>
      <w:pPr>
        <w:spacing w:after="305" w:afterLines="50" w:line="580" w:lineRule="exact"/>
        <w:jc w:val="center"/>
        <w:rPr>
          <w:rFonts w:hint="eastAsia" w:ascii="方正小标宋简体" w:eastAsia="方正小标宋简体"/>
          <w:sz w:val="44"/>
          <w:szCs w:val="44"/>
        </w:rPr>
      </w:pPr>
    </w:p>
    <w:p>
      <w:pPr>
        <w:spacing w:after="305" w:afterLines="50" w:line="580" w:lineRule="exact"/>
        <w:jc w:val="center"/>
        <w:rPr>
          <w:rFonts w:hint="eastAsia" w:ascii="方正小标宋简体" w:eastAsia="方正小标宋简体"/>
          <w:sz w:val="44"/>
          <w:szCs w:val="44"/>
        </w:rPr>
      </w:pPr>
      <w:r>
        <w:rPr>
          <w:rFonts w:hint="eastAsia" w:ascii="方正小标宋简体" w:eastAsia="方正小标宋简体"/>
          <w:sz w:val="44"/>
          <w:szCs w:val="44"/>
        </w:rPr>
        <w:t>目  录</w:t>
      </w:r>
    </w:p>
    <w:p>
      <w:pPr>
        <w:spacing w:line="580" w:lineRule="exact"/>
        <w:ind w:firstLine="316" w:firstLineChars="100"/>
        <w:rPr>
          <w:rFonts w:hint="eastAsia" w:ascii="黑体" w:hAnsi="黑体" w:eastAsia="黑体"/>
        </w:rPr>
      </w:pPr>
      <w:r>
        <w:rPr>
          <w:rFonts w:hint="eastAsia" w:ascii="黑体" w:hAnsi="黑体" w:eastAsia="黑体"/>
        </w:rPr>
        <w:t xml:space="preserve">第一部分  </w:t>
      </w:r>
      <w:r>
        <w:rPr>
          <w:rFonts w:hint="eastAsia" w:ascii="黑体" w:hAnsi="黑体" w:eastAsia="黑体"/>
          <w:lang w:eastAsia="zh-CN"/>
        </w:rPr>
        <w:t>单位</w:t>
      </w:r>
      <w:r>
        <w:rPr>
          <w:rFonts w:hint="eastAsia" w:ascii="黑体" w:hAnsi="黑体" w:eastAsia="黑体"/>
        </w:rPr>
        <w:t>概况</w:t>
      </w:r>
    </w:p>
    <w:p>
      <w:pPr>
        <w:spacing w:line="580" w:lineRule="exact"/>
        <w:ind w:firstLine="632" w:firstLineChars="200"/>
        <w:rPr>
          <w:rFonts w:hint="eastAsia" w:ascii="仿宋_GB2312" w:eastAsia="仿宋_GB2312"/>
        </w:rPr>
      </w:pPr>
      <w:r>
        <w:rPr>
          <w:rFonts w:hint="eastAsia" w:ascii="仿宋_GB2312" w:eastAsia="仿宋_GB2312"/>
        </w:rPr>
        <w:t>一、</w:t>
      </w:r>
      <w:r>
        <w:rPr>
          <w:rFonts w:hint="eastAsia" w:ascii="仿宋_GB2312" w:eastAsia="仿宋_GB2312"/>
          <w:lang w:eastAsia="zh-CN"/>
        </w:rPr>
        <w:t>单位</w:t>
      </w:r>
      <w:r>
        <w:rPr>
          <w:rFonts w:hint="eastAsia" w:ascii="仿宋_GB2312" w:eastAsia="仿宋_GB2312"/>
        </w:rPr>
        <w:t>职责</w:t>
      </w:r>
    </w:p>
    <w:p>
      <w:pPr>
        <w:spacing w:line="580" w:lineRule="exact"/>
        <w:ind w:firstLine="632" w:firstLineChars="200"/>
        <w:rPr>
          <w:rFonts w:hint="eastAsia" w:ascii="仿宋_GB2312" w:eastAsia="仿宋_GB2312"/>
        </w:rPr>
      </w:pPr>
      <w:r>
        <w:rPr>
          <w:rFonts w:hint="eastAsia" w:ascii="仿宋_GB2312" w:eastAsia="仿宋_GB2312"/>
        </w:rPr>
        <w:t>二、机构设置</w:t>
      </w:r>
    </w:p>
    <w:p>
      <w:pPr>
        <w:spacing w:line="580" w:lineRule="exact"/>
        <w:ind w:firstLine="316" w:firstLineChars="100"/>
        <w:rPr>
          <w:rFonts w:hint="eastAsia" w:ascii="黑体" w:hAnsi="黑体" w:eastAsia="黑体"/>
        </w:rPr>
      </w:pPr>
      <w:r>
        <w:rPr>
          <w:rFonts w:hint="eastAsia" w:ascii="黑体" w:hAnsi="黑体" w:eastAsia="黑体"/>
        </w:rPr>
        <w:t>第二部分  2022年度</w:t>
      </w:r>
      <w:r>
        <w:rPr>
          <w:rFonts w:hint="eastAsia" w:ascii="黑体" w:hAnsi="黑体" w:eastAsia="黑体"/>
          <w:lang w:eastAsia="zh-CN"/>
        </w:rPr>
        <w:t>单位</w:t>
      </w:r>
      <w:r>
        <w:rPr>
          <w:rFonts w:hint="eastAsia" w:ascii="黑体" w:hAnsi="黑体" w:eastAsia="黑体"/>
        </w:rPr>
        <w:t>决算表</w:t>
      </w:r>
    </w:p>
    <w:p>
      <w:pPr>
        <w:spacing w:line="580" w:lineRule="exact"/>
        <w:ind w:firstLine="632" w:firstLineChars="200"/>
        <w:rPr>
          <w:rFonts w:hint="eastAsia" w:ascii="仿宋_GB2312" w:eastAsia="仿宋_GB2312"/>
        </w:rPr>
      </w:pPr>
      <w:r>
        <w:rPr>
          <w:rFonts w:hint="eastAsia" w:ascii="仿宋_GB2312" w:eastAsia="仿宋_GB2312"/>
        </w:rPr>
        <w:t>一、收入支出决算总表</w:t>
      </w:r>
    </w:p>
    <w:p>
      <w:pPr>
        <w:spacing w:line="580" w:lineRule="exact"/>
        <w:ind w:firstLine="632" w:firstLineChars="200"/>
        <w:rPr>
          <w:rFonts w:hint="eastAsia" w:ascii="仿宋_GB2312" w:eastAsia="仿宋_GB2312"/>
        </w:rPr>
      </w:pPr>
      <w:r>
        <w:rPr>
          <w:rFonts w:hint="eastAsia" w:ascii="仿宋_GB2312" w:eastAsia="仿宋_GB2312"/>
        </w:rPr>
        <w:t>二、收入决算表</w:t>
      </w:r>
    </w:p>
    <w:p>
      <w:pPr>
        <w:spacing w:line="580" w:lineRule="exact"/>
        <w:ind w:firstLine="632" w:firstLineChars="200"/>
        <w:rPr>
          <w:rFonts w:hint="eastAsia" w:ascii="仿宋_GB2312" w:eastAsia="仿宋_GB2312"/>
        </w:rPr>
      </w:pPr>
      <w:r>
        <w:rPr>
          <w:rFonts w:hint="eastAsia" w:ascii="仿宋_GB2312" w:eastAsia="仿宋_GB2312"/>
        </w:rPr>
        <w:t>三、支出决算表</w:t>
      </w:r>
    </w:p>
    <w:p>
      <w:pPr>
        <w:spacing w:line="580" w:lineRule="exact"/>
        <w:ind w:firstLine="632" w:firstLineChars="200"/>
        <w:rPr>
          <w:rFonts w:hint="eastAsia" w:ascii="仿宋_GB2312" w:eastAsia="仿宋_GB2312"/>
        </w:rPr>
      </w:pPr>
      <w:r>
        <w:rPr>
          <w:rFonts w:hint="eastAsia" w:ascii="仿宋_GB2312" w:eastAsia="仿宋_GB2312"/>
        </w:rPr>
        <w:t>四、财政拨款收入支出决算总表</w:t>
      </w:r>
    </w:p>
    <w:p>
      <w:pPr>
        <w:spacing w:line="580" w:lineRule="exact"/>
        <w:ind w:firstLine="632" w:firstLineChars="200"/>
        <w:rPr>
          <w:rFonts w:hint="eastAsia" w:ascii="仿宋_GB2312" w:eastAsia="仿宋_GB2312"/>
        </w:rPr>
      </w:pPr>
      <w:r>
        <w:rPr>
          <w:rFonts w:hint="eastAsia" w:ascii="仿宋_GB2312" w:eastAsia="仿宋_GB2312"/>
        </w:rPr>
        <w:t>五、一般公共预算财政拨款支出决算表</w:t>
      </w:r>
    </w:p>
    <w:p>
      <w:pPr>
        <w:spacing w:line="580" w:lineRule="exact"/>
        <w:ind w:firstLine="632" w:firstLineChars="200"/>
        <w:rPr>
          <w:rFonts w:hint="eastAsia" w:ascii="仿宋_GB2312" w:eastAsia="仿宋_GB2312"/>
        </w:rPr>
      </w:pPr>
      <w:r>
        <w:rPr>
          <w:rFonts w:hint="eastAsia" w:ascii="仿宋_GB2312" w:eastAsia="仿宋_GB2312"/>
        </w:rPr>
        <w:t>六、一般公共预算财政拨款基本支出决算明细表</w:t>
      </w:r>
    </w:p>
    <w:p>
      <w:pPr>
        <w:spacing w:line="580" w:lineRule="exact"/>
        <w:ind w:firstLine="632" w:firstLineChars="200"/>
        <w:rPr>
          <w:rFonts w:hint="eastAsia" w:ascii="仿宋_GB2312" w:eastAsia="仿宋_GB2312"/>
        </w:rPr>
      </w:pPr>
      <w:r>
        <w:rPr>
          <w:rFonts w:hint="eastAsia" w:ascii="仿宋_GB2312" w:eastAsia="仿宋_GB2312"/>
        </w:rPr>
        <w:t>七、政府性基金预算财政拨款收入支出决算表</w:t>
      </w:r>
    </w:p>
    <w:p>
      <w:pPr>
        <w:spacing w:line="580" w:lineRule="exact"/>
        <w:ind w:firstLine="632" w:firstLineChars="200"/>
        <w:rPr>
          <w:rFonts w:hint="eastAsia" w:ascii="仿宋_GB2312" w:eastAsia="仿宋_GB2312"/>
        </w:rPr>
      </w:pPr>
      <w:r>
        <w:rPr>
          <w:rFonts w:hint="eastAsia" w:ascii="仿宋_GB2312" w:eastAsia="仿宋_GB2312"/>
        </w:rPr>
        <w:t>八、国有资本经营预算财政拨款支出决算表</w:t>
      </w:r>
    </w:p>
    <w:p>
      <w:pPr>
        <w:spacing w:line="580" w:lineRule="exact"/>
        <w:ind w:firstLine="632" w:firstLineChars="200"/>
        <w:rPr>
          <w:rFonts w:ascii="仿宋_GB2312" w:eastAsia="仿宋_GB2312"/>
        </w:rPr>
      </w:pPr>
      <w:r>
        <w:rPr>
          <w:rFonts w:hint="eastAsia" w:ascii="仿宋_GB2312" w:eastAsia="仿宋_GB2312"/>
        </w:rPr>
        <w:t>九、财政拨款“三公”经费支出决算表</w:t>
      </w:r>
    </w:p>
    <w:p>
      <w:pPr>
        <w:spacing w:line="580" w:lineRule="exact"/>
        <w:ind w:firstLine="316" w:firstLineChars="100"/>
        <w:rPr>
          <w:rFonts w:hint="eastAsia" w:ascii="黑体" w:hAnsi="黑体" w:eastAsia="黑体"/>
        </w:rPr>
      </w:pPr>
      <w:r>
        <w:rPr>
          <w:rFonts w:hint="eastAsia" w:ascii="黑体" w:hAnsi="黑体" w:eastAsia="黑体"/>
        </w:rPr>
        <w:t>第三部分  2022年度</w:t>
      </w:r>
      <w:r>
        <w:rPr>
          <w:rFonts w:hint="eastAsia" w:ascii="黑体" w:hAnsi="黑体" w:eastAsia="黑体"/>
          <w:lang w:eastAsia="zh-CN"/>
        </w:rPr>
        <w:t>单位</w:t>
      </w:r>
      <w:r>
        <w:rPr>
          <w:rFonts w:hint="eastAsia" w:ascii="黑体" w:hAnsi="黑体" w:eastAsia="黑体"/>
        </w:rPr>
        <w:t>决算情况说明</w:t>
      </w:r>
    </w:p>
    <w:p>
      <w:pPr>
        <w:spacing w:line="580" w:lineRule="exact"/>
        <w:ind w:firstLine="316" w:firstLineChars="100"/>
        <w:rPr>
          <w:rFonts w:hint="eastAsia" w:ascii="黑体" w:hAnsi="黑体" w:eastAsia="黑体"/>
        </w:rPr>
      </w:pPr>
      <w:r>
        <w:rPr>
          <w:rFonts w:hint="eastAsia" w:ascii="黑体" w:hAnsi="黑体" w:eastAsia="黑体"/>
        </w:rPr>
        <w:t>第四部分  名词解释</w:t>
      </w:r>
    </w:p>
    <w:p>
      <w:pPr>
        <w:spacing w:line="580" w:lineRule="exact"/>
        <w:ind w:firstLine="316" w:firstLineChars="100"/>
        <w:rPr>
          <w:rFonts w:hint="eastAsia" w:ascii="黑体" w:hAnsi="黑体" w:eastAsia="黑体"/>
        </w:rPr>
      </w:pPr>
      <w:r>
        <w:rPr>
          <w:rFonts w:hint="eastAsia" w:ascii="黑体" w:hAnsi="黑体" w:eastAsia="黑体"/>
        </w:rPr>
        <w:t xml:space="preserve">第五部分  附件    </w:t>
      </w:r>
      <w:r>
        <w:rPr>
          <w:rFonts w:hint="eastAsia" w:ascii="黑体" w:hAnsi="黑体" w:eastAsia="黑体"/>
          <w:sz w:val="21"/>
          <w:szCs w:val="21"/>
        </w:rPr>
        <w:t xml:space="preserve"> </w:t>
      </w:r>
    </w:p>
    <w:p>
      <w:pPr>
        <w:spacing w:line="580" w:lineRule="exact"/>
        <w:ind w:firstLine="316" w:firstLineChars="100"/>
        <w:rPr>
          <w:rFonts w:hint="eastAsia" w:ascii="黑体" w:hAnsi="黑体" w:eastAsia="黑体"/>
        </w:rPr>
      </w:pPr>
    </w:p>
    <w:p>
      <w:pPr>
        <w:spacing w:line="580" w:lineRule="exact"/>
        <w:ind w:firstLine="316" w:firstLineChars="100"/>
        <w:rPr>
          <w:rFonts w:hint="eastAsia" w:ascii="黑体" w:hAnsi="黑体" w:eastAsia="黑体"/>
        </w:rPr>
      </w:pPr>
    </w:p>
    <w:p>
      <w:pPr>
        <w:rPr>
          <w:rFonts w:hint="eastAsia" w:ascii="方正小标宋简体" w:eastAsia="方正小标宋简体"/>
          <w:sz w:val="42"/>
        </w:rPr>
      </w:pPr>
    </w:p>
    <w:p>
      <w:pPr>
        <w:jc w:val="center"/>
        <w:rPr>
          <w:rFonts w:hint="eastAsia" w:ascii="方正小标宋简体" w:eastAsia="方正小标宋简体"/>
          <w:sz w:val="42"/>
        </w:rPr>
      </w:pPr>
    </w:p>
    <w:p>
      <w:pPr>
        <w:ind w:firstLine="536" w:firstLineChars="100"/>
        <w:rPr>
          <w:rFonts w:hint="eastAsia" w:ascii="方正小标宋简体" w:eastAsia="方正小标宋简体"/>
          <w:spacing w:val="60"/>
          <w:sz w:val="42"/>
        </w:rPr>
      </w:pPr>
    </w:p>
    <w:p>
      <w:pPr>
        <w:ind w:firstLine="536" w:firstLineChars="100"/>
        <w:rPr>
          <w:rFonts w:hint="eastAsia" w:ascii="方正小标宋简体" w:eastAsia="方正小标宋简体"/>
          <w:spacing w:val="60"/>
          <w:sz w:val="42"/>
        </w:rPr>
      </w:pPr>
      <w:r>
        <w:rPr>
          <w:rFonts w:hint="eastAsia" w:ascii="方正小标宋简体" w:eastAsia="方正小标宋简体"/>
          <w:spacing w:val="60"/>
          <w:sz w:val="42"/>
        </w:rPr>
        <w:t>第一部分</w:t>
      </w: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r>
        <w:rPr>
          <w:rFonts w:hint="eastAsia" w:ascii="方正小标宋简体" w:eastAsia="方正小标宋简体"/>
          <w:spacing w:val="60"/>
          <w:sz w:val="48"/>
          <w:lang w:eastAsia="zh-CN"/>
        </w:rPr>
        <w:t>单位</w:t>
      </w:r>
      <w:r>
        <w:rPr>
          <w:rFonts w:hint="eastAsia" w:ascii="方正小标宋简体" w:eastAsia="方正小标宋简体"/>
          <w:spacing w:val="60"/>
          <w:sz w:val="48"/>
        </w:rPr>
        <w:t>概况</w:t>
      </w:r>
    </w:p>
    <w:p>
      <w:pPr>
        <w:jc w:val="center"/>
        <w:rPr>
          <w:rFonts w:hint="eastAsia" w:ascii="仿宋_GB2312" w:eastAsia="仿宋_GB2312"/>
        </w:rPr>
        <w:sectPr>
          <w:headerReference r:id="rId3" w:type="default"/>
          <w:footerReference r:id="rId4" w:type="default"/>
          <w:footerReference r:id="rId5" w:type="even"/>
          <w:pgSz w:w="11906" w:h="16838"/>
          <w:pgMar w:top="1701" w:right="1531" w:bottom="1701" w:left="1531" w:header="0" w:footer="1418" w:gutter="0"/>
          <w:cols w:space="720" w:num="1"/>
          <w:docGrid w:type="linesAndChars" w:linePitch="610" w:charSpace="-849"/>
        </w:sectPr>
      </w:pPr>
    </w:p>
    <w:p>
      <w:pPr>
        <w:spacing w:line="580" w:lineRule="exact"/>
        <w:ind w:firstLine="632" w:firstLineChars="200"/>
        <w:rPr>
          <w:rFonts w:hint="eastAsia" w:ascii="黑体" w:hAnsi="黑体" w:eastAsia="黑体"/>
        </w:rPr>
      </w:pPr>
      <w:r>
        <w:rPr>
          <w:rFonts w:hint="eastAsia" w:ascii="黑体" w:hAnsi="黑体" w:eastAsia="黑体"/>
        </w:rPr>
        <w:t>一、</w:t>
      </w:r>
      <w:r>
        <w:rPr>
          <w:rFonts w:hint="eastAsia" w:ascii="黑体" w:hAnsi="黑体" w:eastAsia="黑体"/>
          <w:lang w:eastAsia="zh-CN"/>
        </w:rPr>
        <w:t>单位</w:t>
      </w:r>
      <w:r>
        <w:rPr>
          <w:rFonts w:hint="eastAsia" w:ascii="黑体" w:hAnsi="黑体" w:eastAsia="黑体"/>
        </w:rPr>
        <w:t>职责</w:t>
      </w:r>
    </w:p>
    <w:p>
      <w:pPr>
        <w:spacing w:line="580" w:lineRule="exact"/>
        <w:ind w:firstLine="632" w:firstLineChars="200"/>
        <w:rPr>
          <w:rFonts w:ascii="仿宋_GB2312" w:eastAsia="仿宋_GB2312"/>
        </w:rPr>
      </w:pPr>
      <w:r>
        <w:rPr>
          <w:rFonts w:hint="eastAsia" w:ascii="仿宋_GB2312" w:eastAsia="仿宋_GB2312"/>
        </w:rPr>
        <w:t>温泉街道办事处是行政单位，主要职能是执行党和国家的各项方针、政策、法令、法规，在区委、区政府领导下完成各项工作任务，建设社会主义物质文明和精神文明，促进街道发展、维护社会稳定、加强社会管理、提供社会化服务等工作。</w:t>
      </w:r>
    </w:p>
    <w:p>
      <w:pPr>
        <w:spacing w:line="580" w:lineRule="exact"/>
        <w:ind w:firstLine="632" w:firstLineChars="200"/>
        <w:rPr>
          <w:rFonts w:hint="eastAsia" w:ascii="仿宋_GB2312" w:eastAsia="仿宋_GB2312"/>
        </w:rPr>
      </w:pPr>
    </w:p>
    <w:p>
      <w:pPr>
        <w:spacing w:line="580" w:lineRule="exact"/>
        <w:ind w:firstLine="632" w:firstLineChars="200"/>
        <w:rPr>
          <w:rFonts w:hint="eastAsia" w:ascii="黑体" w:hAnsi="黑体" w:eastAsia="黑体"/>
        </w:rPr>
      </w:pPr>
      <w:r>
        <w:rPr>
          <w:rFonts w:hint="eastAsia" w:ascii="黑体" w:hAnsi="黑体" w:eastAsia="黑体"/>
        </w:rPr>
        <w:t>二、机构设置</w:t>
      </w:r>
    </w:p>
    <w:p>
      <w:pPr>
        <w:jc w:val="center"/>
        <w:rPr>
          <w:rFonts w:ascii="仿宋_GB2312" w:hAnsi="宋体" w:eastAsia="仿宋_GB2312" w:cs="Courier New"/>
          <w:szCs w:val="32"/>
        </w:rPr>
      </w:pPr>
      <w:r>
        <w:rPr>
          <w:rFonts w:hint="eastAsia" w:ascii="仿宋_GB2312" w:hAnsi="宋体" w:eastAsia="仿宋_GB2312" w:cs="Courier New"/>
          <w:szCs w:val="32"/>
        </w:rPr>
        <w:t xml:space="preserve">    纳入青岛市即墨区温泉街道办事处2021年度</w:t>
      </w:r>
      <w:r>
        <w:rPr>
          <w:rFonts w:hint="eastAsia" w:ascii="仿宋_GB2312" w:hAnsi="宋体" w:eastAsia="仿宋_GB2312" w:cs="Courier New"/>
          <w:szCs w:val="32"/>
          <w:lang w:eastAsia="zh-CN"/>
        </w:rPr>
        <w:t>单位</w:t>
      </w:r>
      <w:r>
        <w:rPr>
          <w:rFonts w:hint="eastAsia" w:ascii="仿宋_GB2312" w:hAnsi="宋体" w:eastAsia="仿宋_GB2312" w:cs="Courier New"/>
          <w:szCs w:val="32"/>
        </w:rPr>
        <w:t>决算汇编范围的单位共1个，包括：青岛市即墨区温泉街道办事处本级。</w:t>
      </w:r>
    </w:p>
    <w:p>
      <w:pPr>
        <w:jc w:val="center"/>
        <w:rPr>
          <w:rFonts w:hint="eastAsia" w:ascii="仿宋_GB2312" w:hAnsi="宋体" w:eastAsia="仿宋_GB2312" w:cs="Courier New"/>
          <w:szCs w:val="32"/>
        </w:rPr>
      </w:pPr>
      <w:r>
        <w:rPr>
          <w:rFonts w:ascii="仿宋_GB2312" w:hAnsi="宋体" w:eastAsia="仿宋_GB2312" w:cs="Courier New"/>
          <w:szCs w:val="32"/>
        </w:rPr>
        <w:br w:type="page"/>
      </w:r>
    </w:p>
    <w:p>
      <w:pPr>
        <w:jc w:val="center"/>
        <w:rPr>
          <w:rFonts w:hint="eastAsia" w:ascii="仿宋_GB2312" w:hAnsi="宋体" w:eastAsia="仿宋_GB2312" w:cs="Courier New"/>
          <w:szCs w:val="32"/>
        </w:rPr>
      </w:pPr>
    </w:p>
    <w:p>
      <w:pPr>
        <w:jc w:val="center"/>
        <w:rPr>
          <w:rFonts w:hint="eastAsia" w:ascii="仿宋_GB2312" w:hAnsi="宋体" w:eastAsia="仿宋_GB2312" w:cs="Courier New"/>
          <w:szCs w:val="32"/>
        </w:rPr>
      </w:pPr>
    </w:p>
    <w:p>
      <w:pPr>
        <w:jc w:val="center"/>
        <w:rPr>
          <w:rFonts w:hint="eastAsia" w:ascii="方正小标宋简体" w:eastAsia="方正小标宋简体"/>
          <w:sz w:val="42"/>
        </w:rPr>
      </w:pPr>
    </w:p>
    <w:p>
      <w:pPr>
        <w:jc w:val="center"/>
        <w:rPr>
          <w:rFonts w:hint="eastAsia" w:ascii="方正小标宋简体" w:eastAsia="方正小标宋简体"/>
          <w:sz w:val="42"/>
        </w:rPr>
      </w:pPr>
    </w:p>
    <w:p>
      <w:pPr>
        <w:ind w:firstLine="536" w:firstLineChars="100"/>
        <w:rPr>
          <w:rFonts w:hint="eastAsia" w:ascii="方正小标宋简体" w:eastAsia="方正小标宋简体"/>
          <w:spacing w:val="60"/>
          <w:sz w:val="42"/>
        </w:rPr>
      </w:pPr>
      <w:r>
        <w:rPr>
          <w:rFonts w:hint="eastAsia" w:ascii="方正小标宋简体" w:eastAsia="方正小标宋简体"/>
          <w:spacing w:val="60"/>
          <w:sz w:val="42"/>
        </w:rPr>
        <w:t>第二部分</w:t>
      </w:r>
    </w:p>
    <w:p>
      <w:pPr>
        <w:jc w:val="center"/>
        <w:rPr>
          <w:rFonts w:hint="eastAsia" w:ascii="方正小标宋简体" w:eastAsia="方正小标宋简体"/>
          <w:spacing w:val="60"/>
          <w:sz w:val="42"/>
        </w:rPr>
      </w:pPr>
    </w:p>
    <w:p>
      <w:pPr>
        <w:jc w:val="center"/>
        <w:rPr>
          <w:rFonts w:ascii="方正小标宋简体" w:eastAsia="方正小标宋简体"/>
          <w:spacing w:val="60"/>
          <w:sz w:val="48"/>
        </w:rPr>
      </w:pPr>
      <w:r>
        <w:rPr>
          <w:rFonts w:hint="eastAsia" w:ascii="方正小标宋简体" w:eastAsia="方正小标宋简体"/>
          <w:spacing w:val="60"/>
          <w:sz w:val="48"/>
        </w:rPr>
        <w:t>2022年度</w:t>
      </w:r>
      <w:r>
        <w:rPr>
          <w:rFonts w:hint="eastAsia" w:ascii="方正小标宋简体" w:eastAsia="方正小标宋简体"/>
          <w:spacing w:val="60"/>
          <w:sz w:val="48"/>
          <w:lang w:eastAsia="zh-CN"/>
        </w:rPr>
        <w:t>单位</w:t>
      </w:r>
      <w:r>
        <w:rPr>
          <w:rFonts w:hint="eastAsia" w:ascii="方正小标宋简体" w:eastAsia="方正小标宋简体"/>
          <w:spacing w:val="60"/>
          <w:sz w:val="48"/>
        </w:rPr>
        <w:t>决算表</w:t>
      </w:r>
    </w:p>
    <w:p>
      <w:pPr>
        <w:jc w:val="center"/>
        <w:rPr>
          <w:rFonts w:hint="eastAsia" w:ascii="方正小标宋简体" w:eastAsia="方正小标宋简体"/>
          <w:sz w:val="44"/>
          <w:szCs w:val="44"/>
        </w:rPr>
      </w:pPr>
      <w:r>
        <w:rPr>
          <w:rFonts w:ascii="方正小标宋简体" w:eastAsia="方正小标宋简体"/>
          <w:spacing w:val="60"/>
          <w:sz w:val="48"/>
        </w:rPr>
        <w:br w:type="page"/>
      </w:r>
      <w:r>
        <w:rPr>
          <w:rFonts w:hint="eastAsia" w:ascii="方正小标宋简体" w:eastAsia="方正小标宋简体"/>
          <w:sz w:val="44"/>
          <w:szCs w:val="44"/>
        </w:rPr>
        <w:t>收入支出决算总表</w:t>
      </w:r>
    </w:p>
    <w:p>
      <w:pPr>
        <w:wordWrap w:val="0"/>
        <w:spacing w:line="400" w:lineRule="exact"/>
        <w:jc w:val="right"/>
        <w:rPr>
          <w:rFonts w:hint="eastAsia" w:ascii="楷体_GB2312" w:eastAsia="楷体_GB2312"/>
          <w:sz w:val="28"/>
          <w:szCs w:val="28"/>
        </w:rPr>
      </w:pPr>
      <w:r>
        <w:rPr>
          <w:rFonts w:hint="eastAsia" w:ascii="楷体_GB2312" w:eastAsia="楷体_GB2312"/>
          <w:sz w:val="28"/>
          <w:szCs w:val="28"/>
        </w:rPr>
        <w:t xml:space="preserve"> 公开01表</w:t>
      </w:r>
    </w:p>
    <w:p>
      <w:pPr>
        <w:wordWrap w:val="0"/>
        <w:spacing w:line="400" w:lineRule="exact"/>
        <w:ind w:firstLine="138" w:firstLineChars="50"/>
        <w:jc w:val="right"/>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：青岛市即墨区温泉街道办事处                  金额单位：万元</w:t>
      </w:r>
    </w:p>
    <w:tbl>
      <w:tblPr>
        <w:tblStyle w:val="4"/>
        <w:tblW w:w="0" w:type="auto"/>
        <w:tblInd w:w="0" w:type="dxa"/>
        <w:tblLayout w:type="fixed"/>
        <w:tblCellMar>
          <w:top w:w="0" w:type="dxa"/>
          <w:left w:w="108" w:type="dxa"/>
          <w:bottom w:w="0" w:type="dxa"/>
          <w:right w:w="108" w:type="dxa"/>
        </w:tblCellMar>
      </w:tblPr>
      <w:tblGrid>
        <w:gridCol w:w="3045"/>
        <w:gridCol w:w="667"/>
        <w:gridCol w:w="1022"/>
        <w:gridCol w:w="2287"/>
        <w:gridCol w:w="732"/>
        <w:gridCol w:w="1302"/>
      </w:tblGrid>
      <w:tr>
        <w:tblPrEx>
          <w:tblCellMar>
            <w:top w:w="0" w:type="dxa"/>
            <w:left w:w="108" w:type="dxa"/>
            <w:bottom w:w="0" w:type="dxa"/>
            <w:right w:w="108" w:type="dxa"/>
          </w:tblCellMar>
        </w:tblPrEx>
        <w:trPr>
          <w:trHeight w:val="329" w:hRule="exact"/>
        </w:trPr>
        <w:tc>
          <w:tcPr>
            <w:tcW w:w="4734"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收 入</w:t>
            </w:r>
          </w:p>
        </w:tc>
        <w:tc>
          <w:tcPr>
            <w:tcW w:w="4321" w:type="dxa"/>
            <w:gridSpan w:val="3"/>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支 出</w:t>
            </w:r>
          </w:p>
        </w:tc>
      </w:tr>
      <w:tr>
        <w:tblPrEx>
          <w:tblCellMar>
            <w:top w:w="0" w:type="dxa"/>
            <w:left w:w="108" w:type="dxa"/>
            <w:bottom w:w="0" w:type="dxa"/>
            <w:right w:w="108" w:type="dxa"/>
          </w:tblCellMar>
        </w:tblPrEx>
        <w:trPr>
          <w:trHeight w:val="37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项  目</w:t>
            </w: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行次</w:t>
            </w:r>
          </w:p>
        </w:tc>
        <w:tc>
          <w:tcPr>
            <w:tcW w:w="1022"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金额</w:t>
            </w:r>
          </w:p>
        </w:tc>
        <w:tc>
          <w:tcPr>
            <w:tcW w:w="2287"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项  目</w:t>
            </w:r>
          </w:p>
        </w:tc>
        <w:tc>
          <w:tcPr>
            <w:tcW w:w="732" w:type="dxa"/>
            <w:tcBorders>
              <w:top w:val="nil"/>
              <w:left w:val="single" w:color="auto" w:sz="4" w:space="0"/>
              <w:bottom w:val="single" w:color="auto" w:sz="4" w:space="0"/>
              <w:right w:val="nil"/>
            </w:tcBorders>
            <w:noWrap w:val="0"/>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行次</w:t>
            </w:r>
          </w:p>
        </w:tc>
        <w:tc>
          <w:tcPr>
            <w:tcW w:w="1302"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金额</w:t>
            </w: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栏  次</w:t>
            </w: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p>
        </w:tc>
        <w:tc>
          <w:tcPr>
            <w:tcW w:w="1022"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1</w:t>
            </w:r>
          </w:p>
        </w:tc>
        <w:tc>
          <w:tcPr>
            <w:tcW w:w="2287"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栏  次</w:t>
            </w: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p>
        </w:tc>
        <w:tc>
          <w:tcPr>
            <w:tcW w:w="1302"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2</w:t>
            </w: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一、一般公共预算财政拨款收入</w:t>
            </w: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1</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4584.4</w:t>
            </w: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一、一般公共服务支出</w:t>
            </w: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32</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2292.99</w:t>
            </w: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二、政府性基金预算财政拨款收入</w:t>
            </w: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2</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108273.18</w:t>
            </w: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二、教育支出</w:t>
            </w: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33</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507.05</w:t>
            </w:r>
          </w:p>
        </w:tc>
      </w:tr>
      <w:tr>
        <w:tblPrEx>
          <w:tblCellMar>
            <w:top w:w="0" w:type="dxa"/>
            <w:left w:w="108" w:type="dxa"/>
            <w:bottom w:w="0" w:type="dxa"/>
            <w:right w:w="108" w:type="dxa"/>
          </w:tblCellMar>
        </w:tblPrEx>
        <w:trPr>
          <w:trHeight w:val="334"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三、国有资本经营预算财政拨款收入</w:t>
            </w: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3</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三、社会保障和就业支出</w:t>
            </w: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34</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14</w:t>
            </w:r>
          </w:p>
        </w:tc>
      </w:tr>
      <w:tr>
        <w:tblPrEx>
          <w:tblCellMar>
            <w:top w:w="0" w:type="dxa"/>
            <w:left w:w="108" w:type="dxa"/>
            <w:bottom w:w="0" w:type="dxa"/>
            <w:right w:w="108" w:type="dxa"/>
          </w:tblCellMar>
        </w:tblPrEx>
        <w:trPr>
          <w:trHeight w:val="302"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四、上级补助收入</w:t>
            </w: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4</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四、城乡社区支出</w:t>
            </w:r>
          </w:p>
        </w:tc>
        <w:tc>
          <w:tcPr>
            <w:tcW w:w="732" w:type="dxa"/>
            <w:tcBorders>
              <w:top w:val="nil"/>
              <w:left w:val="single" w:color="auto" w:sz="4" w:space="0"/>
              <w:bottom w:val="single" w:color="auto" w:sz="4" w:space="0"/>
              <w:right w:val="nil"/>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35</w:t>
            </w:r>
          </w:p>
        </w:tc>
        <w:tc>
          <w:tcPr>
            <w:tcW w:w="1302"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108273.18</w:t>
            </w: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五、事业收入</w:t>
            </w: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5</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五、农林水支出</w:t>
            </w:r>
          </w:p>
        </w:tc>
        <w:tc>
          <w:tcPr>
            <w:tcW w:w="732" w:type="dxa"/>
            <w:tcBorders>
              <w:top w:val="nil"/>
              <w:left w:val="single" w:color="auto" w:sz="4" w:space="0"/>
              <w:bottom w:val="single" w:color="auto" w:sz="4" w:space="0"/>
              <w:right w:val="nil"/>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36</w:t>
            </w:r>
          </w:p>
        </w:tc>
        <w:tc>
          <w:tcPr>
            <w:tcW w:w="1302"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976.21</w:t>
            </w: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六、经营收入</w:t>
            </w: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6</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六、商业服务业等支出</w:t>
            </w:r>
          </w:p>
        </w:tc>
        <w:tc>
          <w:tcPr>
            <w:tcW w:w="732" w:type="dxa"/>
            <w:tcBorders>
              <w:top w:val="nil"/>
              <w:left w:val="single" w:color="auto" w:sz="4" w:space="0"/>
              <w:bottom w:val="single" w:color="auto" w:sz="4" w:space="0"/>
              <w:right w:val="nil"/>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37</w:t>
            </w:r>
          </w:p>
        </w:tc>
        <w:tc>
          <w:tcPr>
            <w:tcW w:w="1302"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20.15</w:t>
            </w: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七、附属单位上缴收入</w:t>
            </w: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7</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七、住房保障支出</w:t>
            </w:r>
          </w:p>
        </w:tc>
        <w:tc>
          <w:tcPr>
            <w:tcW w:w="732" w:type="dxa"/>
            <w:tcBorders>
              <w:top w:val="nil"/>
              <w:left w:val="single" w:color="auto" w:sz="4" w:space="0"/>
              <w:bottom w:val="single" w:color="auto" w:sz="4" w:space="0"/>
              <w:right w:val="nil"/>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38</w:t>
            </w:r>
          </w:p>
        </w:tc>
        <w:tc>
          <w:tcPr>
            <w:tcW w:w="1302"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774</w:t>
            </w: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八、其他收入</w:t>
            </w: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8</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single" w:color="auto" w:sz="4" w:space="0"/>
              <w:bottom w:val="single" w:color="auto" w:sz="4" w:space="0"/>
              <w:right w:val="nil"/>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39</w:t>
            </w:r>
          </w:p>
        </w:tc>
        <w:tc>
          <w:tcPr>
            <w:tcW w:w="1302"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9</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single" w:color="auto" w:sz="4" w:space="0"/>
              <w:bottom w:val="single" w:color="auto" w:sz="4" w:space="0"/>
              <w:right w:val="nil"/>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40</w:t>
            </w:r>
          </w:p>
        </w:tc>
        <w:tc>
          <w:tcPr>
            <w:tcW w:w="1302"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10</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single" w:color="auto" w:sz="4" w:space="0"/>
              <w:bottom w:val="single" w:color="auto" w:sz="4" w:space="0"/>
              <w:right w:val="nil"/>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41</w:t>
            </w:r>
          </w:p>
        </w:tc>
        <w:tc>
          <w:tcPr>
            <w:tcW w:w="1302"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11</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single" w:color="auto" w:sz="4" w:space="0"/>
              <w:bottom w:val="single" w:color="auto" w:sz="4" w:space="0"/>
              <w:right w:val="nil"/>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42</w:t>
            </w:r>
          </w:p>
        </w:tc>
        <w:tc>
          <w:tcPr>
            <w:tcW w:w="1302"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12</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single" w:color="auto" w:sz="4" w:space="0"/>
              <w:bottom w:val="single" w:color="auto" w:sz="4" w:space="0"/>
              <w:right w:val="nil"/>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43</w:t>
            </w:r>
          </w:p>
        </w:tc>
        <w:tc>
          <w:tcPr>
            <w:tcW w:w="1302"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13</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single" w:color="auto" w:sz="4" w:space="0"/>
              <w:bottom w:val="single" w:color="auto" w:sz="4" w:space="0"/>
              <w:right w:val="nil"/>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44</w:t>
            </w:r>
          </w:p>
        </w:tc>
        <w:tc>
          <w:tcPr>
            <w:tcW w:w="1302"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14</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45</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15</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46</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16</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47</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17</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48</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18</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49</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19</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50</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20</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51</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21</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52</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284"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22</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53</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23</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54</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24</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55</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25</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56</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26</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57</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b/>
                <w:bCs/>
                <w:sz w:val="18"/>
                <w:szCs w:val="18"/>
              </w:rPr>
            </w:pPr>
            <w:r>
              <w:rPr>
                <w:rFonts w:hint="eastAsia" w:ascii="仿宋_GB2312" w:eastAsia="仿宋_GB2312"/>
                <w:b/>
                <w:bCs/>
                <w:sz w:val="18"/>
                <w:szCs w:val="18"/>
              </w:rPr>
              <w:t>本年收入合计</w:t>
            </w: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b/>
                <w:bCs/>
                <w:sz w:val="18"/>
                <w:szCs w:val="18"/>
              </w:rPr>
            </w:pPr>
            <w:r>
              <w:rPr>
                <w:rFonts w:hint="eastAsia" w:ascii="仿宋_GB2312" w:eastAsia="仿宋_GB2312"/>
                <w:sz w:val="18"/>
                <w:szCs w:val="18"/>
              </w:rPr>
              <w:t>27</w:t>
            </w:r>
          </w:p>
        </w:tc>
        <w:tc>
          <w:tcPr>
            <w:tcW w:w="1022"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eastAsia="仿宋_GB2312"/>
                <w:b/>
                <w:bCs/>
                <w:sz w:val="18"/>
                <w:szCs w:val="18"/>
              </w:rPr>
            </w:pPr>
            <w:r>
              <w:rPr>
                <w:rFonts w:ascii="仿宋_GB2312" w:eastAsia="仿宋_GB2312"/>
                <w:b/>
                <w:bCs/>
                <w:sz w:val="18"/>
                <w:szCs w:val="18"/>
              </w:rPr>
              <w:t>112857.58</w:t>
            </w:r>
          </w:p>
        </w:tc>
        <w:tc>
          <w:tcPr>
            <w:tcW w:w="2287"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eastAsia="仿宋_GB2312"/>
                <w:b/>
                <w:bCs/>
                <w:sz w:val="18"/>
                <w:szCs w:val="18"/>
              </w:rPr>
            </w:pPr>
            <w:r>
              <w:rPr>
                <w:rFonts w:hint="eastAsia" w:ascii="仿宋_GB2312" w:eastAsia="仿宋_GB2312"/>
                <w:b/>
                <w:bCs/>
                <w:sz w:val="18"/>
                <w:szCs w:val="18"/>
              </w:rPr>
              <w:t>本年支出合计</w:t>
            </w: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58</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112857.58</w:t>
            </w: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使用非财政拨款结余</w:t>
            </w: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28</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ascii="仿宋_GB2312" w:eastAsia="仿宋_GB2312"/>
                <w:sz w:val="18"/>
                <w:szCs w:val="18"/>
              </w:rPr>
            </w:pPr>
            <w:r>
              <w:rPr>
                <w:rFonts w:hint="eastAsia" w:ascii="仿宋_GB2312" w:eastAsia="仿宋_GB2312"/>
                <w:sz w:val="18"/>
                <w:szCs w:val="18"/>
              </w:rPr>
              <w:t>结余分配</w:t>
            </w: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59</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年初结转和结余</w:t>
            </w: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29</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年末结转和结余</w:t>
            </w: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ascii="仿宋_GB2312" w:eastAsia="仿宋_GB2312"/>
                <w:sz w:val="18"/>
                <w:szCs w:val="18"/>
              </w:rPr>
              <w:t>60</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30</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2287"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r>
              <w:rPr>
                <w:rFonts w:hint="eastAsia" w:ascii="仿宋_GB2312" w:eastAsia="仿宋_GB2312"/>
                <w:sz w:val="18"/>
                <w:szCs w:val="18"/>
              </w:rPr>
              <w:t>6</w:t>
            </w:r>
            <w:r>
              <w:rPr>
                <w:rFonts w:ascii="仿宋_GB2312" w:eastAsia="仿宋_GB2312"/>
                <w:sz w:val="18"/>
                <w:szCs w:val="18"/>
              </w:rPr>
              <w:t>1</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r>
      <w:tr>
        <w:trPr>
          <w:trHeight w:val="329" w:hRule="exact"/>
        </w:trPr>
        <w:tc>
          <w:tcPr>
            <w:tcW w:w="3045"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b/>
                <w:bCs/>
                <w:sz w:val="18"/>
                <w:szCs w:val="18"/>
              </w:rPr>
              <w:t>总计</w:t>
            </w:r>
          </w:p>
        </w:tc>
        <w:tc>
          <w:tcPr>
            <w:tcW w:w="667"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31</w:t>
            </w:r>
          </w:p>
        </w:tc>
        <w:tc>
          <w:tcPr>
            <w:tcW w:w="102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112857.58</w:t>
            </w:r>
          </w:p>
        </w:tc>
        <w:tc>
          <w:tcPr>
            <w:tcW w:w="2287"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eastAsia="仿宋_GB2312"/>
                <w:sz w:val="18"/>
                <w:szCs w:val="18"/>
              </w:rPr>
            </w:pPr>
            <w:r>
              <w:rPr>
                <w:rFonts w:hint="eastAsia" w:ascii="仿宋_GB2312" w:eastAsia="仿宋_GB2312"/>
                <w:b/>
                <w:bCs/>
                <w:sz w:val="18"/>
                <w:szCs w:val="18"/>
              </w:rPr>
              <w:t>总计</w:t>
            </w:r>
          </w:p>
        </w:tc>
        <w:tc>
          <w:tcPr>
            <w:tcW w:w="732" w:type="dxa"/>
            <w:tcBorders>
              <w:top w:val="nil"/>
              <w:left w:val="nil"/>
              <w:bottom w:val="single" w:color="auto" w:sz="4" w:space="0"/>
              <w:right w:val="single" w:color="auto" w:sz="4" w:space="0"/>
            </w:tcBorders>
            <w:noWrap w:val="0"/>
            <w:vAlign w:val="center"/>
          </w:tcPr>
          <w:p>
            <w:pPr>
              <w:spacing w:line="240" w:lineRule="exact"/>
              <w:jc w:val="center"/>
              <w:rPr>
                <w:rFonts w:ascii="仿宋_GB2312" w:eastAsia="仿宋_GB2312"/>
                <w:sz w:val="18"/>
                <w:szCs w:val="18"/>
              </w:rPr>
            </w:pPr>
            <w:r>
              <w:rPr>
                <w:rFonts w:hint="eastAsia" w:ascii="仿宋_GB2312" w:eastAsia="仿宋_GB2312"/>
                <w:sz w:val="18"/>
                <w:szCs w:val="18"/>
              </w:rPr>
              <w:t>6</w:t>
            </w:r>
            <w:r>
              <w:rPr>
                <w:rFonts w:ascii="仿宋_GB2312" w:eastAsia="仿宋_GB2312"/>
                <w:sz w:val="18"/>
                <w:szCs w:val="18"/>
              </w:rPr>
              <w:t>2</w:t>
            </w:r>
          </w:p>
        </w:tc>
        <w:tc>
          <w:tcPr>
            <w:tcW w:w="1302" w:type="dxa"/>
            <w:tcBorders>
              <w:top w:val="nil"/>
              <w:left w:val="nil"/>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112857.58</w:t>
            </w:r>
          </w:p>
        </w:tc>
      </w:tr>
    </w:tbl>
    <w:p>
      <w:pPr>
        <w:ind w:firstLine="88" w:firstLineChars="50"/>
        <w:rPr>
          <w:rFonts w:ascii="楷体_GB2312" w:eastAsia="楷体_GB2312"/>
          <w:sz w:val="28"/>
          <w:szCs w:val="28"/>
        </w:rPr>
        <w:sectPr>
          <w:pgSz w:w="11906" w:h="16838"/>
          <w:pgMar w:top="1701" w:right="1531" w:bottom="1701" w:left="1531" w:header="0" w:footer="1418" w:gutter="0"/>
          <w:cols w:space="720" w:num="1"/>
          <w:docGrid w:type="linesAndChars" w:linePitch="610" w:charSpace="-849"/>
        </w:sectPr>
      </w:pPr>
      <w:r>
        <w:rPr>
          <w:rFonts w:hint="eastAsia" w:ascii="仿宋_GB2312" w:hAnsi="宋体" w:eastAsia="仿宋_GB2312"/>
          <w:sz w:val="18"/>
          <w:szCs w:val="18"/>
        </w:rPr>
        <w:t>注：1.本表反映</w:t>
      </w:r>
      <w:r>
        <w:rPr>
          <w:rFonts w:hint="eastAsia" w:ascii="仿宋_GB2312" w:hAnsi="宋体" w:eastAsia="仿宋_GB2312"/>
          <w:sz w:val="18"/>
          <w:szCs w:val="18"/>
          <w:lang w:eastAsia="zh-CN"/>
        </w:rPr>
        <w:t>单位</w:t>
      </w:r>
      <w:r>
        <w:rPr>
          <w:rFonts w:hint="eastAsia" w:ascii="仿宋_GB2312" w:hAnsi="宋体" w:eastAsia="仿宋_GB2312"/>
          <w:sz w:val="18"/>
          <w:szCs w:val="18"/>
        </w:rPr>
        <w:t>本年度的总收支和年末结转结余情况。2.本套报表金额单位转换时可能存在尾数误差。</w:t>
      </w:r>
    </w:p>
    <w:p>
      <w:pPr>
        <w:jc w:val="center"/>
        <w:rPr>
          <w:rFonts w:hint="eastAsia" w:ascii="方正小标宋简体" w:eastAsia="方正小标宋简体"/>
          <w:sz w:val="44"/>
          <w:szCs w:val="44"/>
        </w:rPr>
      </w:pPr>
      <w:r>
        <w:rPr>
          <w:rFonts w:hint="eastAsia" w:ascii="方正小标宋简体" w:eastAsia="方正小标宋简体"/>
          <w:sz w:val="44"/>
          <w:szCs w:val="44"/>
        </w:rPr>
        <w:t>收入决算表</w:t>
      </w:r>
    </w:p>
    <w:p>
      <w:pPr>
        <w:wordWrap w:val="0"/>
        <w:spacing w:line="400" w:lineRule="exact"/>
        <w:jc w:val="right"/>
        <w:rPr>
          <w:rFonts w:hint="eastAsia" w:ascii="楷体_GB2312" w:eastAsia="楷体_GB2312"/>
          <w:sz w:val="28"/>
          <w:szCs w:val="28"/>
        </w:rPr>
      </w:pPr>
      <w:r>
        <w:rPr>
          <w:rFonts w:hint="eastAsia" w:ascii="楷体_GB2312" w:eastAsia="楷体_GB2312"/>
          <w:sz w:val="28"/>
          <w:szCs w:val="28"/>
        </w:rPr>
        <w:t xml:space="preserve"> 公开02表 </w:t>
      </w:r>
    </w:p>
    <w:p>
      <w:pPr>
        <w:tabs>
          <w:tab w:val="left" w:pos="13467"/>
        </w:tabs>
        <w:wordWrap w:val="0"/>
        <w:spacing w:line="400" w:lineRule="exact"/>
        <w:ind w:right="107"/>
        <w:jc w:val="right"/>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 xml:space="preserve">：青岛市即墨区温泉街道办事处                              </w:t>
      </w:r>
      <w:r>
        <w:rPr>
          <w:rFonts w:ascii="楷体_GB2312" w:eastAsia="楷体_GB2312"/>
          <w:sz w:val="28"/>
          <w:szCs w:val="28"/>
        </w:rPr>
        <w:t xml:space="preserve">  </w:t>
      </w:r>
      <w:r>
        <w:rPr>
          <w:rFonts w:hint="eastAsia" w:ascii="楷体_GB2312" w:eastAsia="楷体_GB2312"/>
          <w:sz w:val="28"/>
          <w:szCs w:val="28"/>
        </w:rPr>
        <w:t xml:space="preserve">              </w:t>
      </w:r>
      <w:r>
        <w:rPr>
          <w:rFonts w:ascii="楷体_GB2312" w:eastAsia="楷体_GB2312"/>
          <w:sz w:val="28"/>
          <w:szCs w:val="28"/>
        </w:rPr>
        <w:t xml:space="preserve"> </w:t>
      </w:r>
      <w:r>
        <w:rPr>
          <w:rFonts w:hint="eastAsia" w:ascii="楷体_GB2312" w:eastAsia="楷体_GB2312"/>
          <w:sz w:val="28"/>
          <w:szCs w:val="28"/>
        </w:rPr>
        <w:t>金额单位：万元</w:t>
      </w:r>
    </w:p>
    <w:tbl>
      <w:tblPr>
        <w:tblStyle w:val="4"/>
        <w:tblW w:w="14957" w:type="dxa"/>
        <w:jc w:val="center"/>
        <w:tblLayout w:type="fixed"/>
        <w:tblCellMar>
          <w:top w:w="0" w:type="dxa"/>
          <w:left w:w="108" w:type="dxa"/>
          <w:bottom w:w="0" w:type="dxa"/>
          <w:right w:w="108" w:type="dxa"/>
        </w:tblCellMar>
      </w:tblPr>
      <w:tblGrid>
        <w:gridCol w:w="1296"/>
        <w:gridCol w:w="110"/>
        <w:gridCol w:w="2395"/>
        <w:gridCol w:w="2101"/>
        <w:gridCol w:w="1874"/>
        <w:gridCol w:w="1730"/>
        <w:gridCol w:w="1495"/>
        <w:gridCol w:w="1274"/>
        <w:gridCol w:w="1424"/>
        <w:gridCol w:w="1258"/>
      </w:tblGrid>
      <w:tr>
        <w:tblPrEx>
          <w:tblCellMar>
            <w:top w:w="0" w:type="dxa"/>
            <w:left w:w="108" w:type="dxa"/>
            <w:bottom w:w="0" w:type="dxa"/>
            <w:right w:w="108" w:type="dxa"/>
          </w:tblCellMar>
        </w:tblPrEx>
        <w:trPr>
          <w:trHeight w:val="458" w:hRule="atLeast"/>
          <w:jc w:val="center"/>
        </w:trPr>
        <w:tc>
          <w:tcPr>
            <w:tcW w:w="3801"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2101"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本年收入合计</w:t>
            </w:r>
          </w:p>
        </w:tc>
        <w:tc>
          <w:tcPr>
            <w:tcW w:w="1874"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财政拨款收入</w:t>
            </w:r>
          </w:p>
        </w:tc>
        <w:tc>
          <w:tcPr>
            <w:tcW w:w="1730"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上级补助收入</w:t>
            </w:r>
          </w:p>
        </w:tc>
        <w:tc>
          <w:tcPr>
            <w:tcW w:w="1495" w:type="dxa"/>
            <w:vMerge w:val="restart"/>
            <w:tcBorders>
              <w:top w:val="single" w:color="auto" w:sz="4" w:space="0"/>
              <w:left w:val="single" w:color="auto" w:sz="4" w:space="0"/>
              <w:right w:val="single" w:color="auto" w:sz="4" w:space="0"/>
            </w:tcBorders>
            <w:noWrap w:val="0"/>
            <w:vAlign w:val="center"/>
          </w:tcPr>
          <w:p>
            <w:pPr>
              <w:widowControl/>
              <w:spacing w:line="300" w:lineRule="exact"/>
              <w:ind w:firstLine="216" w:firstLineChars="100"/>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事业收入</w:t>
            </w:r>
          </w:p>
        </w:tc>
        <w:tc>
          <w:tcPr>
            <w:tcW w:w="1274"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经营收入</w:t>
            </w:r>
          </w:p>
        </w:tc>
        <w:tc>
          <w:tcPr>
            <w:tcW w:w="1424" w:type="dxa"/>
            <w:vMerge w:val="restart"/>
            <w:tcBorders>
              <w:top w:val="single" w:color="auto" w:sz="4" w:space="0"/>
              <w:left w:val="single" w:color="auto" w:sz="4" w:space="0"/>
              <w:right w:val="single" w:color="auto" w:sz="4" w:space="0"/>
            </w:tcBorders>
            <w:noWrap w:val="0"/>
            <w:vAlign w:val="center"/>
          </w:tcPr>
          <w:p>
            <w:pPr>
              <w:widowControl/>
              <w:spacing w:line="300" w:lineRule="exact"/>
              <w:ind w:left="648" w:hanging="648" w:hangingChars="300"/>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xml:space="preserve">附属单位    </w:t>
            </w:r>
          </w:p>
          <w:p>
            <w:pPr>
              <w:widowControl/>
              <w:spacing w:line="300" w:lineRule="exact"/>
              <w:ind w:left="648" w:hanging="648" w:hangingChars="300"/>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上缴收入</w:t>
            </w:r>
          </w:p>
        </w:tc>
        <w:tc>
          <w:tcPr>
            <w:tcW w:w="1258"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其他收入</w:t>
            </w:r>
          </w:p>
        </w:tc>
      </w:tr>
      <w:tr>
        <w:tblPrEx>
          <w:tblCellMar>
            <w:top w:w="0" w:type="dxa"/>
            <w:left w:w="108" w:type="dxa"/>
            <w:bottom w:w="0" w:type="dxa"/>
            <w:right w:w="108" w:type="dxa"/>
          </w:tblCellMar>
        </w:tblPrEx>
        <w:trPr>
          <w:trHeight w:val="457" w:hRule="atLeast"/>
          <w:jc w:val="center"/>
        </w:trPr>
        <w:tc>
          <w:tcPr>
            <w:tcW w:w="1406"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 xml:space="preserve"> 科目编码</w:t>
            </w:r>
          </w:p>
        </w:tc>
        <w:tc>
          <w:tcPr>
            <w:tcW w:w="239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2101"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874"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730"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95" w:type="dxa"/>
            <w:vMerge w:val="continue"/>
            <w:tcBorders>
              <w:left w:val="single" w:color="auto" w:sz="4" w:space="0"/>
              <w:right w:val="single" w:color="auto" w:sz="4" w:space="0"/>
            </w:tcBorders>
            <w:noWrap w:val="0"/>
            <w:vAlign w:val="center"/>
          </w:tcPr>
          <w:p>
            <w:pPr>
              <w:widowControl/>
              <w:spacing w:line="300" w:lineRule="exact"/>
              <w:ind w:firstLine="216" w:firstLineChars="100"/>
              <w:rPr>
                <w:rFonts w:hint="eastAsia" w:ascii="仿宋_GB2312" w:hAnsi="宋体" w:eastAsia="仿宋_GB2312" w:cs="宋体"/>
                <w:kern w:val="0"/>
                <w:sz w:val="22"/>
                <w:szCs w:val="22"/>
              </w:rPr>
            </w:pPr>
          </w:p>
        </w:tc>
        <w:tc>
          <w:tcPr>
            <w:tcW w:w="1274"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24" w:type="dxa"/>
            <w:vMerge w:val="continue"/>
            <w:tcBorders>
              <w:left w:val="single" w:color="auto" w:sz="4" w:space="0"/>
              <w:right w:val="single" w:color="auto" w:sz="4" w:space="0"/>
            </w:tcBorders>
            <w:noWrap w:val="0"/>
            <w:vAlign w:val="center"/>
          </w:tcPr>
          <w:p>
            <w:pPr>
              <w:widowControl/>
              <w:spacing w:line="300" w:lineRule="exact"/>
              <w:ind w:left="648" w:hanging="648" w:hangingChars="300"/>
              <w:jc w:val="center"/>
              <w:rPr>
                <w:rFonts w:hint="eastAsia" w:ascii="仿宋_GB2312" w:hAnsi="宋体" w:eastAsia="仿宋_GB2312" w:cs="宋体"/>
                <w:kern w:val="0"/>
                <w:sz w:val="22"/>
                <w:szCs w:val="22"/>
              </w:rPr>
            </w:pPr>
          </w:p>
        </w:tc>
        <w:tc>
          <w:tcPr>
            <w:tcW w:w="1258"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3801"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210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73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49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2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42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7</w:t>
            </w:r>
          </w:p>
        </w:tc>
      </w:tr>
      <w:tr>
        <w:tblPrEx>
          <w:tblCellMar>
            <w:top w:w="0" w:type="dxa"/>
            <w:left w:w="108" w:type="dxa"/>
            <w:bottom w:w="0" w:type="dxa"/>
            <w:right w:w="108" w:type="dxa"/>
          </w:tblCellMar>
        </w:tblPrEx>
        <w:trPr>
          <w:trHeight w:val="397" w:hRule="atLeast"/>
          <w:jc w:val="center"/>
        </w:trPr>
        <w:tc>
          <w:tcPr>
            <w:tcW w:w="3801"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210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ascii="仿宋_GB2312" w:hAnsi="宋体" w:eastAsia="仿宋_GB2312" w:cs="宋体"/>
                <w:kern w:val="0"/>
                <w:sz w:val="22"/>
                <w:szCs w:val="22"/>
              </w:rPr>
            </w:pPr>
            <w:r>
              <w:rPr>
                <w:rFonts w:ascii="仿宋_GB2312" w:hAnsi="宋体" w:eastAsia="仿宋_GB2312" w:cs="宋体"/>
                <w:kern w:val="0"/>
                <w:sz w:val="22"/>
                <w:szCs w:val="22"/>
              </w:rPr>
              <w:t>112857.58</w:t>
            </w:r>
          </w:p>
        </w:tc>
        <w:tc>
          <w:tcPr>
            <w:tcW w:w="1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ascii="仿宋_GB2312" w:hAnsi="宋体" w:eastAsia="仿宋_GB2312" w:cs="宋体"/>
                <w:kern w:val="0"/>
                <w:sz w:val="22"/>
                <w:szCs w:val="22"/>
              </w:rPr>
            </w:pPr>
            <w:r>
              <w:rPr>
                <w:rFonts w:ascii="仿宋_GB2312" w:hAnsi="宋体" w:eastAsia="仿宋_GB2312" w:cs="宋体"/>
                <w:kern w:val="0"/>
                <w:sz w:val="22"/>
                <w:szCs w:val="22"/>
              </w:rPr>
              <w:t>112857.58</w:t>
            </w:r>
          </w:p>
        </w:tc>
        <w:tc>
          <w:tcPr>
            <w:tcW w:w="173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ascii="仿宋_GB2312" w:hAnsi="宋体" w:eastAsia="仿宋_GB2312" w:cs="宋体"/>
                <w:kern w:val="0"/>
                <w:sz w:val="22"/>
                <w:szCs w:val="22"/>
              </w:rPr>
            </w:pPr>
          </w:p>
        </w:tc>
        <w:tc>
          <w:tcPr>
            <w:tcW w:w="149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ascii="仿宋_GB2312" w:hAnsi="宋体" w:eastAsia="仿宋_GB2312" w:cs="宋体"/>
                <w:kern w:val="0"/>
                <w:sz w:val="22"/>
                <w:szCs w:val="22"/>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ascii="仿宋_GB2312" w:hAnsi="宋体" w:eastAsia="仿宋_GB2312" w:cs="宋体"/>
                <w:kern w:val="0"/>
                <w:sz w:val="22"/>
                <w:szCs w:val="22"/>
              </w:rPr>
            </w:pPr>
          </w:p>
        </w:tc>
        <w:tc>
          <w:tcPr>
            <w:tcW w:w="142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201</w:t>
            </w:r>
          </w:p>
        </w:tc>
        <w:tc>
          <w:tcPr>
            <w:tcW w:w="2505"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一般公共服务支出</w:t>
            </w:r>
          </w:p>
        </w:tc>
        <w:tc>
          <w:tcPr>
            <w:tcW w:w="2101"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ascii="仿宋_GB2312" w:hAnsi="宋体" w:eastAsia="仿宋_GB2312" w:cs="宋体"/>
                <w:kern w:val="0"/>
                <w:sz w:val="22"/>
                <w:szCs w:val="22"/>
              </w:rPr>
              <w:t>2292.99</w:t>
            </w:r>
          </w:p>
        </w:tc>
        <w:tc>
          <w:tcPr>
            <w:tcW w:w="187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ascii="仿宋_GB2312" w:hAnsi="宋体" w:eastAsia="仿宋_GB2312" w:cs="宋体"/>
                <w:kern w:val="0"/>
                <w:sz w:val="22"/>
                <w:szCs w:val="22"/>
              </w:rPr>
              <w:t>2292.99</w:t>
            </w:r>
          </w:p>
        </w:tc>
        <w:tc>
          <w:tcPr>
            <w:tcW w:w="173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49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42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20103</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政府办公厅（室）及相关机构事务</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2,269.99</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2,269.99</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2010301</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行政运行</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2,269.99</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2,269.99</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20132</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组织事务</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23</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23</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2013299</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其他组织事务支出</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23</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23</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205</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教育支出</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507.05</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507.05</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20501</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教育管理事务</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193.49</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193.49</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8" w:hRule="atLeast"/>
          <w:jc w:val="center"/>
        </w:trPr>
        <w:tc>
          <w:tcPr>
            <w:tcW w:w="3801"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2101"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本年收入合计</w:t>
            </w:r>
          </w:p>
        </w:tc>
        <w:tc>
          <w:tcPr>
            <w:tcW w:w="1874"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财政拨款收入</w:t>
            </w:r>
          </w:p>
        </w:tc>
        <w:tc>
          <w:tcPr>
            <w:tcW w:w="1730"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上级补助收入</w:t>
            </w:r>
          </w:p>
        </w:tc>
        <w:tc>
          <w:tcPr>
            <w:tcW w:w="1495" w:type="dxa"/>
            <w:vMerge w:val="restart"/>
            <w:tcBorders>
              <w:top w:val="single" w:color="auto" w:sz="4" w:space="0"/>
              <w:left w:val="single" w:color="auto" w:sz="4" w:space="0"/>
              <w:right w:val="single" w:color="auto" w:sz="4" w:space="0"/>
            </w:tcBorders>
            <w:noWrap w:val="0"/>
            <w:vAlign w:val="center"/>
          </w:tcPr>
          <w:p>
            <w:pPr>
              <w:widowControl/>
              <w:spacing w:line="300" w:lineRule="exact"/>
              <w:ind w:firstLine="216" w:firstLineChars="100"/>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事业收入</w:t>
            </w:r>
          </w:p>
        </w:tc>
        <w:tc>
          <w:tcPr>
            <w:tcW w:w="1274"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经营收入</w:t>
            </w:r>
          </w:p>
        </w:tc>
        <w:tc>
          <w:tcPr>
            <w:tcW w:w="1424" w:type="dxa"/>
            <w:vMerge w:val="restart"/>
            <w:tcBorders>
              <w:top w:val="single" w:color="auto" w:sz="4" w:space="0"/>
              <w:left w:val="single" w:color="auto" w:sz="4" w:space="0"/>
              <w:right w:val="single" w:color="auto" w:sz="4" w:space="0"/>
            </w:tcBorders>
            <w:noWrap w:val="0"/>
            <w:vAlign w:val="center"/>
          </w:tcPr>
          <w:p>
            <w:pPr>
              <w:widowControl/>
              <w:spacing w:line="300" w:lineRule="exact"/>
              <w:ind w:left="648" w:hanging="648" w:hangingChars="300"/>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xml:space="preserve">附属单位    </w:t>
            </w:r>
          </w:p>
          <w:p>
            <w:pPr>
              <w:widowControl/>
              <w:spacing w:line="300" w:lineRule="exact"/>
              <w:ind w:left="648" w:hanging="648" w:hangingChars="300"/>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上缴收入</w:t>
            </w:r>
          </w:p>
        </w:tc>
        <w:tc>
          <w:tcPr>
            <w:tcW w:w="1258"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其他收入</w:t>
            </w:r>
          </w:p>
        </w:tc>
      </w:tr>
      <w:tr>
        <w:tblPrEx>
          <w:tblCellMar>
            <w:top w:w="0" w:type="dxa"/>
            <w:left w:w="108" w:type="dxa"/>
            <w:bottom w:w="0" w:type="dxa"/>
            <w:right w:w="108" w:type="dxa"/>
          </w:tblCellMar>
        </w:tblPrEx>
        <w:trPr>
          <w:trHeight w:val="457" w:hRule="atLeast"/>
          <w:jc w:val="center"/>
        </w:trPr>
        <w:tc>
          <w:tcPr>
            <w:tcW w:w="1406"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 xml:space="preserve"> 科目编码</w:t>
            </w:r>
          </w:p>
        </w:tc>
        <w:tc>
          <w:tcPr>
            <w:tcW w:w="239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2101"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874"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730"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95" w:type="dxa"/>
            <w:vMerge w:val="continue"/>
            <w:tcBorders>
              <w:left w:val="single" w:color="auto" w:sz="4" w:space="0"/>
              <w:right w:val="single" w:color="auto" w:sz="4" w:space="0"/>
            </w:tcBorders>
            <w:noWrap w:val="0"/>
            <w:vAlign w:val="center"/>
          </w:tcPr>
          <w:p>
            <w:pPr>
              <w:widowControl/>
              <w:spacing w:line="300" w:lineRule="exact"/>
              <w:ind w:firstLine="216" w:firstLineChars="100"/>
              <w:rPr>
                <w:rFonts w:hint="eastAsia" w:ascii="仿宋_GB2312" w:hAnsi="宋体" w:eastAsia="仿宋_GB2312" w:cs="宋体"/>
                <w:kern w:val="0"/>
                <w:sz w:val="22"/>
                <w:szCs w:val="22"/>
              </w:rPr>
            </w:pPr>
          </w:p>
        </w:tc>
        <w:tc>
          <w:tcPr>
            <w:tcW w:w="1274"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24" w:type="dxa"/>
            <w:vMerge w:val="continue"/>
            <w:tcBorders>
              <w:left w:val="single" w:color="auto" w:sz="4" w:space="0"/>
              <w:right w:val="single" w:color="auto" w:sz="4" w:space="0"/>
            </w:tcBorders>
            <w:noWrap w:val="0"/>
            <w:vAlign w:val="center"/>
          </w:tcPr>
          <w:p>
            <w:pPr>
              <w:widowControl/>
              <w:spacing w:line="300" w:lineRule="exact"/>
              <w:ind w:left="648" w:hanging="648" w:hangingChars="300"/>
              <w:jc w:val="center"/>
              <w:rPr>
                <w:rFonts w:hint="eastAsia" w:ascii="仿宋_GB2312" w:hAnsi="宋体" w:eastAsia="仿宋_GB2312" w:cs="宋体"/>
                <w:kern w:val="0"/>
                <w:sz w:val="22"/>
                <w:szCs w:val="22"/>
              </w:rPr>
            </w:pPr>
          </w:p>
        </w:tc>
        <w:tc>
          <w:tcPr>
            <w:tcW w:w="1258"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3801"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210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73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49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2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42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7</w:t>
            </w:r>
          </w:p>
        </w:tc>
      </w:tr>
      <w:tr>
        <w:tblPrEx>
          <w:tblCellMar>
            <w:top w:w="0" w:type="dxa"/>
            <w:left w:w="108" w:type="dxa"/>
            <w:bottom w:w="0" w:type="dxa"/>
            <w:right w:w="108" w:type="dxa"/>
          </w:tblCellMar>
        </w:tblPrEx>
        <w:trPr>
          <w:trHeight w:val="397" w:hRule="atLeast"/>
          <w:jc w:val="center"/>
        </w:trPr>
        <w:tc>
          <w:tcPr>
            <w:tcW w:w="1296"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2050101</w:t>
            </w:r>
          </w:p>
        </w:tc>
        <w:tc>
          <w:tcPr>
            <w:tcW w:w="2505"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行政运行</w:t>
            </w:r>
          </w:p>
        </w:tc>
        <w:tc>
          <w:tcPr>
            <w:tcW w:w="2101" w:type="dxa"/>
            <w:tcBorders>
              <w:top w:val="single" w:color="auto" w:sz="4" w:space="0"/>
              <w:left w:val="single" w:color="auto" w:sz="4" w:space="0"/>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193.49</w:t>
            </w:r>
          </w:p>
        </w:tc>
        <w:tc>
          <w:tcPr>
            <w:tcW w:w="1874" w:type="dxa"/>
            <w:tcBorders>
              <w:top w:val="single" w:color="auto" w:sz="4" w:space="0"/>
              <w:left w:val="single" w:color="auto" w:sz="4" w:space="0"/>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193.49</w:t>
            </w:r>
          </w:p>
        </w:tc>
        <w:tc>
          <w:tcPr>
            <w:tcW w:w="173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49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42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20502</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普通教育</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313.56</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313.56</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2050201</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学前教育</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104.66</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104.66</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2050202</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小学教育</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129.5</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129.5</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2050203</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初中教育</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34.03</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34.03</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2050299</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其他普通教育支出</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45.37</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45.37</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208</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社会保障和就业支出</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14</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14</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20802</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民政管理事务</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14</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14</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2080208</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基层政权建设和社区治理</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14</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14</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212</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城乡社区支出</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108,273.18</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108,273.18</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bl>
    <w:p>
      <w:pPr>
        <w:ind w:firstLine="108" w:firstLineChars="50"/>
        <w:rPr>
          <w:rFonts w:hint="eastAsia" w:ascii="仿宋_GB2312" w:hAnsi="宋体" w:eastAsia="仿宋_GB2312" w:cs="宋体"/>
          <w:kern w:val="0"/>
          <w:sz w:val="22"/>
          <w:szCs w:val="22"/>
        </w:rPr>
      </w:pPr>
    </w:p>
    <w:tbl>
      <w:tblPr>
        <w:tblStyle w:val="4"/>
        <w:tblW w:w="14957" w:type="dxa"/>
        <w:jc w:val="center"/>
        <w:tblLayout w:type="fixed"/>
        <w:tblCellMar>
          <w:top w:w="0" w:type="dxa"/>
          <w:left w:w="108" w:type="dxa"/>
          <w:bottom w:w="0" w:type="dxa"/>
          <w:right w:w="108" w:type="dxa"/>
        </w:tblCellMar>
      </w:tblPr>
      <w:tblGrid>
        <w:gridCol w:w="1296"/>
        <w:gridCol w:w="110"/>
        <w:gridCol w:w="2395"/>
        <w:gridCol w:w="2101"/>
        <w:gridCol w:w="1874"/>
        <w:gridCol w:w="1730"/>
        <w:gridCol w:w="1495"/>
        <w:gridCol w:w="1274"/>
        <w:gridCol w:w="1424"/>
        <w:gridCol w:w="1258"/>
      </w:tblGrid>
      <w:tr>
        <w:tblPrEx>
          <w:tblCellMar>
            <w:top w:w="0" w:type="dxa"/>
            <w:left w:w="108" w:type="dxa"/>
            <w:bottom w:w="0" w:type="dxa"/>
            <w:right w:w="108" w:type="dxa"/>
          </w:tblCellMar>
        </w:tblPrEx>
        <w:trPr>
          <w:trHeight w:val="458" w:hRule="atLeast"/>
          <w:jc w:val="center"/>
        </w:trPr>
        <w:tc>
          <w:tcPr>
            <w:tcW w:w="3801"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2101"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本年收入合计</w:t>
            </w:r>
          </w:p>
        </w:tc>
        <w:tc>
          <w:tcPr>
            <w:tcW w:w="1874"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财政拨款收入</w:t>
            </w:r>
          </w:p>
        </w:tc>
        <w:tc>
          <w:tcPr>
            <w:tcW w:w="1730"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上级补助收入</w:t>
            </w:r>
          </w:p>
        </w:tc>
        <w:tc>
          <w:tcPr>
            <w:tcW w:w="1495" w:type="dxa"/>
            <w:vMerge w:val="restart"/>
            <w:tcBorders>
              <w:top w:val="single" w:color="auto" w:sz="4" w:space="0"/>
              <w:left w:val="single" w:color="auto" w:sz="4" w:space="0"/>
              <w:right w:val="single" w:color="auto" w:sz="4" w:space="0"/>
            </w:tcBorders>
            <w:noWrap w:val="0"/>
            <w:vAlign w:val="center"/>
          </w:tcPr>
          <w:p>
            <w:pPr>
              <w:widowControl/>
              <w:spacing w:line="300" w:lineRule="exact"/>
              <w:ind w:firstLine="216" w:firstLineChars="100"/>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事业收入</w:t>
            </w:r>
          </w:p>
        </w:tc>
        <w:tc>
          <w:tcPr>
            <w:tcW w:w="1274"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经营收入</w:t>
            </w:r>
          </w:p>
        </w:tc>
        <w:tc>
          <w:tcPr>
            <w:tcW w:w="1424" w:type="dxa"/>
            <w:vMerge w:val="restart"/>
            <w:tcBorders>
              <w:top w:val="single" w:color="auto" w:sz="4" w:space="0"/>
              <w:left w:val="single" w:color="auto" w:sz="4" w:space="0"/>
              <w:right w:val="single" w:color="auto" w:sz="4" w:space="0"/>
            </w:tcBorders>
            <w:noWrap w:val="0"/>
            <w:vAlign w:val="center"/>
          </w:tcPr>
          <w:p>
            <w:pPr>
              <w:widowControl/>
              <w:spacing w:line="300" w:lineRule="exact"/>
              <w:ind w:left="648" w:hanging="648" w:hangingChars="300"/>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xml:space="preserve">附属单位    </w:t>
            </w:r>
          </w:p>
          <w:p>
            <w:pPr>
              <w:widowControl/>
              <w:spacing w:line="300" w:lineRule="exact"/>
              <w:ind w:left="648" w:hanging="648" w:hangingChars="300"/>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上缴收入</w:t>
            </w:r>
          </w:p>
        </w:tc>
        <w:tc>
          <w:tcPr>
            <w:tcW w:w="1258"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其他收入</w:t>
            </w:r>
          </w:p>
        </w:tc>
      </w:tr>
      <w:tr>
        <w:tblPrEx>
          <w:tblCellMar>
            <w:top w:w="0" w:type="dxa"/>
            <w:left w:w="108" w:type="dxa"/>
            <w:bottom w:w="0" w:type="dxa"/>
            <w:right w:w="108" w:type="dxa"/>
          </w:tblCellMar>
        </w:tblPrEx>
        <w:trPr>
          <w:trHeight w:val="457" w:hRule="atLeast"/>
          <w:jc w:val="center"/>
        </w:trPr>
        <w:tc>
          <w:tcPr>
            <w:tcW w:w="1406"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 xml:space="preserve"> 科目编码</w:t>
            </w:r>
          </w:p>
        </w:tc>
        <w:tc>
          <w:tcPr>
            <w:tcW w:w="239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2101"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874"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730"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95" w:type="dxa"/>
            <w:vMerge w:val="continue"/>
            <w:tcBorders>
              <w:left w:val="single" w:color="auto" w:sz="4" w:space="0"/>
              <w:right w:val="single" w:color="auto" w:sz="4" w:space="0"/>
            </w:tcBorders>
            <w:noWrap w:val="0"/>
            <w:vAlign w:val="center"/>
          </w:tcPr>
          <w:p>
            <w:pPr>
              <w:widowControl/>
              <w:spacing w:line="300" w:lineRule="exact"/>
              <w:ind w:firstLine="216" w:firstLineChars="100"/>
              <w:rPr>
                <w:rFonts w:hint="eastAsia" w:ascii="仿宋_GB2312" w:hAnsi="宋体" w:eastAsia="仿宋_GB2312" w:cs="宋体"/>
                <w:kern w:val="0"/>
                <w:sz w:val="22"/>
                <w:szCs w:val="22"/>
              </w:rPr>
            </w:pPr>
          </w:p>
        </w:tc>
        <w:tc>
          <w:tcPr>
            <w:tcW w:w="1274"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24" w:type="dxa"/>
            <w:vMerge w:val="continue"/>
            <w:tcBorders>
              <w:left w:val="single" w:color="auto" w:sz="4" w:space="0"/>
              <w:right w:val="single" w:color="auto" w:sz="4" w:space="0"/>
            </w:tcBorders>
            <w:noWrap w:val="0"/>
            <w:vAlign w:val="center"/>
          </w:tcPr>
          <w:p>
            <w:pPr>
              <w:widowControl/>
              <w:spacing w:line="300" w:lineRule="exact"/>
              <w:ind w:left="648" w:hanging="648" w:hangingChars="300"/>
              <w:jc w:val="center"/>
              <w:rPr>
                <w:rFonts w:hint="eastAsia" w:ascii="仿宋_GB2312" w:hAnsi="宋体" w:eastAsia="仿宋_GB2312" w:cs="宋体"/>
                <w:kern w:val="0"/>
                <w:sz w:val="22"/>
                <w:szCs w:val="22"/>
              </w:rPr>
            </w:pPr>
          </w:p>
        </w:tc>
        <w:tc>
          <w:tcPr>
            <w:tcW w:w="1258"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3801"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210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73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49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2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42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7</w:t>
            </w:r>
          </w:p>
        </w:tc>
      </w:tr>
      <w:tr>
        <w:tblPrEx>
          <w:tblCellMar>
            <w:top w:w="0" w:type="dxa"/>
            <w:left w:w="108" w:type="dxa"/>
            <w:bottom w:w="0" w:type="dxa"/>
            <w:right w:w="108" w:type="dxa"/>
          </w:tblCellMar>
        </w:tblPrEx>
        <w:trPr>
          <w:trHeight w:val="397" w:hRule="atLeast"/>
          <w:jc w:val="center"/>
        </w:trPr>
        <w:tc>
          <w:tcPr>
            <w:tcW w:w="1296"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21208</w:t>
            </w:r>
          </w:p>
        </w:tc>
        <w:tc>
          <w:tcPr>
            <w:tcW w:w="2505"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国有土地使用权出让收入安排的支出</w:t>
            </w:r>
          </w:p>
        </w:tc>
        <w:tc>
          <w:tcPr>
            <w:tcW w:w="2101" w:type="dxa"/>
            <w:tcBorders>
              <w:top w:val="single" w:color="auto" w:sz="4" w:space="0"/>
              <w:left w:val="single" w:color="auto" w:sz="4" w:space="0"/>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273.18</w:t>
            </w:r>
          </w:p>
        </w:tc>
        <w:tc>
          <w:tcPr>
            <w:tcW w:w="1874" w:type="dxa"/>
            <w:tcBorders>
              <w:top w:val="single" w:color="auto" w:sz="4" w:space="0"/>
              <w:left w:val="single" w:color="auto" w:sz="4" w:space="0"/>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273.18</w:t>
            </w:r>
          </w:p>
        </w:tc>
        <w:tc>
          <w:tcPr>
            <w:tcW w:w="173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49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42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2120803</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城市建设支出</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233.3</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233.3</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2120804</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农村基础设施建设支出</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39.88</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39.88</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21216</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棚户区改造专项债券收入安排的支出</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108,000.00</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108,000.00</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2121699</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其他棚户区改造专项债券收入安排的支出</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108,000.00</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108,000.00</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213</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农林水支出</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976.21</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976.21</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21302</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林业和草原</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82.62</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82.62</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2130205</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森林资源培育</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12.15</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12.15</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bl>
    <w:p>
      <w:pPr>
        <w:ind w:firstLine="108" w:firstLineChars="50"/>
        <w:rPr>
          <w:rFonts w:hint="eastAsia" w:ascii="仿宋_GB2312" w:hAnsi="宋体" w:eastAsia="仿宋_GB2312" w:cs="宋体"/>
          <w:kern w:val="0"/>
          <w:sz w:val="22"/>
          <w:szCs w:val="22"/>
        </w:rPr>
      </w:pPr>
    </w:p>
    <w:tbl>
      <w:tblPr>
        <w:tblStyle w:val="4"/>
        <w:tblW w:w="14957" w:type="dxa"/>
        <w:jc w:val="center"/>
        <w:tblLayout w:type="fixed"/>
        <w:tblCellMar>
          <w:top w:w="0" w:type="dxa"/>
          <w:left w:w="108" w:type="dxa"/>
          <w:bottom w:w="0" w:type="dxa"/>
          <w:right w:w="108" w:type="dxa"/>
        </w:tblCellMar>
      </w:tblPr>
      <w:tblGrid>
        <w:gridCol w:w="1296"/>
        <w:gridCol w:w="110"/>
        <w:gridCol w:w="2395"/>
        <w:gridCol w:w="2101"/>
        <w:gridCol w:w="1874"/>
        <w:gridCol w:w="1730"/>
        <w:gridCol w:w="1495"/>
        <w:gridCol w:w="1274"/>
        <w:gridCol w:w="1424"/>
        <w:gridCol w:w="1258"/>
      </w:tblGrid>
      <w:tr>
        <w:tblPrEx>
          <w:tblCellMar>
            <w:top w:w="0" w:type="dxa"/>
            <w:left w:w="108" w:type="dxa"/>
            <w:bottom w:w="0" w:type="dxa"/>
            <w:right w:w="108" w:type="dxa"/>
          </w:tblCellMar>
        </w:tblPrEx>
        <w:trPr>
          <w:trHeight w:val="458" w:hRule="atLeast"/>
          <w:jc w:val="center"/>
        </w:trPr>
        <w:tc>
          <w:tcPr>
            <w:tcW w:w="3801"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2101"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本年收入合计</w:t>
            </w:r>
          </w:p>
        </w:tc>
        <w:tc>
          <w:tcPr>
            <w:tcW w:w="1874"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财政拨款收入</w:t>
            </w:r>
          </w:p>
        </w:tc>
        <w:tc>
          <w:tcPr>
            <w:tcW w:w="1730"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上级补助收入</w:t>
            </w:r>
          </w:p>
        </w:tc>
        <w:tc>
          <w:tcPr>
            <w:tcW w:w="1495" w:type="dxa"/>
            <w:vMerge w:val="restart"/>
            <w:tcBorders>
              <w:top w:val="single" w:color="auto" w:sz="4" w:space="0"/>
              <w:left w:val="single" w:color="auto" w:sz="4" w:space="0"/>
              <w:right w:val="single" w:color="auto" w:sz="4" w:space="0"/>
            </w:tcBorders>
            <w:noWrap w:val="0"/>
            <w:vAlign w:val="center"/>
          </w:tcPr>
          <w:p>
            <w:pPr>
              <w:widowControl/>
              <w:spacing w:line="300" w:lineRule="exact"/>
              <w:ind w:firstLine="216" w:firstLineChars="100"/>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事业收入</w:t>
            </w:r>
          </w:p>
        </w:tc>
        <w:tc>
          <w:tcPr>
            <w:tcW w:w="1274"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经营收入</w:t>
            </w:r>
          </w:p>
        </w:tc>
        <w:tc>
          <w:tcPr>
            <w:tcW w:w="1424" w:type="dxa"/>
            <w:vMerge w:val="restart"/>
            <w:tcBorders>
              <w:top w:val="single" w:color="auto" w:sz="4" w:space="0"/>
              <w:left w:val="single" w:color="auto" w:sz="4" w:space="0"/>
              <w:right w:val="single" w:color="auto" w:sz="4" w:space="0"/>
            </w:tcBorders>
            <w:noWrap w:val="0"/>
            <w:vAlign w:val="center"/>
          </w:tcPr>
          <w:p>
            <w:pPr>
              <w:widowControl/>
              <w:spacing w:line="300" w:lineRule="exact"/>
              <w:ind w:left="648" w:hanging="648" w:hangingChars="300"/>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xml:space="preserve">附属单位    </w:t>
            </w:r>
          </w:p>
          <w:p>
            <w:pPr>
              <w:widowControl/>
              <w:spacing w:line="300" w:lineRule="exact"/>
              <w:ind w:left="648" w:hanging="648" w:hangingChars="300"/>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上缴收入</w:t>
            </w:r>
          </w:p>
        </w:tc>
        <w:tc>
          <w:tcPr>
            <w:tcW w:w="1258"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其他收入</w:t>
            </w:r>
          </w:p>
        </w:tc>
      </w:tr>
      <w:tr>
        <w:tblPrEx>
          <w:tblCellMar>
            <w:top w:w="0" w:type="dxa"/>
            <w:left w:w="108" w:type="dxa"/>
            <w:bottom w:w="0" w:type="dxa"/>
            <w:right w:w="108" w:type="dxa"/>
          </w:tblCellMar>
        </w:tblPrEx>
        <w:trPr>
          <w:trHeight w:val="457" w:hRule="atLeast"/>
          <w:jc w:val="center"/>
        </w:trPr>
        <w:tc>
          <w:tcPr>
            <w:tcW w:w="1406"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 xml:space="preserve"> 科目编码</w:t>
            </w:r>
          </w:p>
        </w:tc>
        <w:tc>
          <w:tcPr>
            <w:tcW w:w="239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2101"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874"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730"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95" w:type="dxa"/>
            <w:vMerge w:val="continue"/>
            <w:tcBorders>
              <w:left w:val="single" w:color="auto" w:sz="4" w:space="0"/>
              <w:right w:val="single" w:color="auto" w:sz="4" w:space="0"/>
            </w:tcBorders>
            <w:noWrap w:val="0"/>
            <w:vAlign w:val="center"/>
          </w:tcPr>
          <w:p>
            <w:pPr>
              <w:widowControl/>
              <w:spacing w:line="300" w:lineRule="exact"/>
              <w:ind w:firstLine="216" w:firstLineChars="100"/>
              <w:rPr>
                <w:rFonts w:hint="eastAsia" w:ascii="仿宋_GB2312" w:hAnsi="宋体" w:eastAsia="仿宋_GB2312" w:cs="宋体"/>
                <w:kern w:val="0"/>
                <w:sz w:val="22"/>
                <w:szCs w:val="22"/>
              </w:rPr>
            </w:pPr>
          </w:p>
        </w:tc>
        <w:tc>
          <w:tcPr>
            <w:tcW w:w="1274"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24" w:type="dxa"/>
            <w:vMerge w:val="continue"/>
            <w:tcBorders>
              <w:left w:val="single" w:color="auto" w:sz="4" w:space="0"/>
              <w:right w:val="single" w:color="auto" w:sz="4" w:space="0"/>
            </w:tcBorders>
            <w:noWrap w:val="0"/>
            <w:vAlign w:val="center"/>
          </w:tcPr>
          <w:p>
            <w:pPr>
              <w:widowControl/>
              <w:spacing w:line="300" w:lineRule="exact"/>
              <w:ind w:left="648" w:hanging="648" w:hangingChars="300"/>
              <w:jc w:val="center"/>
              <w:rPr>
                <w:rFonts w:hint="eastAsia" w:ascii="仿宋_GB2312" w:hAnsi="宋体" w:eastAsia="仿宋_GB2312" w:cs="宋体"/>
                <w:kern w:val="0"/>
                <w:sz w:val="22"/>
                <w:szCs w:val="22"/>
              </w:rPr>
            </w:pPr>
          </w:p>
        </w:tc>
        <w:tc>
          <w:tcPr>
            <w:tcW w:w="1258"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3801"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210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73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49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2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42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7</w:t>
            </w:r>
          </w:p>
        </w:tc>
      </w:tr>
      <w:tr>
        <w:tblPrEx>
          <w:tblCellMar>
            <w:top w:w="0" w:type="dxa"/>
            <w:left w:w="108" w:type="dxa"/>
            <w:bottom w:w="0" w:type="dxa"/>
            <w:right w:w="108" w:type="dxa"/>
          </w:tblCellMar>
        </w:tblPrEx>
        <w:trPr>
          <w:trHeight w:val="397" w:hRule="atLeast"/>
          <w:jc w:val="center"/>
        </w:trPr>
        <w:tc>
          <w:tcPr>
            <w:tcW w:w="1296"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2130209</w:t>
            </w:r>
          </w:p>
        </w:tc>
        <w:tc>
          <w:tcPr>
            <w:tcW w:w="2505"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森林生态效益补偿</w:t>
            </w:r>
          </w:p>
        </w:tc>
        <w:tc>
          <w:tcPr>
            <w:tcW w:w="2101" w:type="dxa"/>
            <w:tcBorders>
              <w:top w:val="single" w:color="auto" w:sz="4" w:space="0"/>
              <w:left w:val="single" w:color="auto" w:sz="4" w:space="0"/>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12.44</w:t>
            </w:r>
          </w:p>
        </w:tc>
        <w:tc>
          <w:tcPr>
            <w:tcW w:w="1874" w:type="dxa"/>
            <w:tcBorders>
              <w:top w:val="single" w:color="auto" w:sz="4" w:space="0"/>
              <w:left w:val="single" w:color="auto" w:sz="4" w:space="0"/>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12.44</w:t>
            </w:r>
          </w:p>
        </w:tc>
        <w:tc>
          <w:tcPr>
            <w:tcW w:w="173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49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42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2130234</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林业草原防灾减灾</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58.03</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58.03</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21303</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水利</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12.58</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12.58</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2130314</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防汛</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12.58</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12.58</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21305</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巩固脱贫衔接乡村振兴</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298.01</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298.01</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2130599</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其他巩固脱贫衔接乡村振兴支出</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298.01</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298.01</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21307</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农村综合改革</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583</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583</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2130705</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对村民委员会和村党支部的补助</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583</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583</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216</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商业服务业等支出</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20.15</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20.15</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bl>
    <w:p>
      <w:pPr>
        <w:ind w:firstLine="108" w:firstLineChars="50"/>
        <w:rPr>
          <w:rFonts w:hint="eastAsia" w:ascii="仿宋_GB2312" w:hAnsi="宋体" w:eastAsia="仿宋_GB2312" w:cs="宋体"/>
          <w:kern w:val="0"/>
          <w:sz w:val="22"/>
          <w:szCs w:val="22"/>
        </w:rPr>
      </w:pPr>
    </w:p>
    <w:tbl>
      <w:tblPr>
        <w:tblStyle w:val="4"/>
        <w:tblW w:w="14957" w:type="dxa"/>
        <w:jc w:val="center"/>
        <w:tblLayout w:type="fixed"/>
        <w:tblCellMar>
          <w:top w:w="0" w:type="dxa"/>
          <w:left w:w="108" w:type="dxa"/>
          <w:bottom w:w="0" w:type="dxa"/>
          <w:right w:w="108" w:type="dxa"/>
        </w:tblCellMar>
      </w:tblPr>
      <w:tblGrid>
        <w:gridCol w:w="1296"/>
        <w:gridCol w:w="110"/>
        <w:gridCol w:w="2395"/>
        <w:gridCol w:w="2101"/>
        <w:gridCol w:w="1874"/>
        <w:gridCol w:w="1730"/>
        <w:gridCol w:w="1495"/>
        <w:gridCol w:w="1274"/>
        <w:gridCol w:w="1424"/>
        <w:gridCol w:w="1258"/>
      </w:tblGrid>
      <w:tr>
        <w:tblPrEx>
          <w:tblCellMar>
            <w:top w:w="0" w:type="dxa"/>
            <w:left w:w="108" w:type="dxa"/>
            <w:bottom w:w="0" w:type="dxa"/>
            <w:right w:w="108" w:type="dxa"/>
          </w:tblCellMar>
        </w:tblPrEx>
        <w:trPr>
          <w:trHeight w:val="458" w:hRule="atLeast"/>
          <w:jc w:val="center"/>
        </w:trPr>
        <w:tc>
          <w:tcPr>
            <w:tcW w:w="3801"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2101"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本年收入合计</w:t>
            </w:r>
          </w:p>
        </w:tc>
        <w:tc>
          <w:tcPr>
            <w:tcW w:w="1874"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财政拨款收入</w:t>
            </w:r>
          </w:p>
        </w:tc>
        <w:tc>
          <w:tcPr>
            <w:tcW w:w="1730"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上级补助收入</w:t>
            </w:r>
          </w:p>
        </w:tc>
        <w:tc>
          <w:tcPr>
            <w:tcW w:w="1495" w:type="dxa"/>
            <w:vMerge w:val="restart"/>
            <w:tcBorders>
              <w:top w:val="single" w:color="auto" w:sz="4" w:space="0"/>
              <w:left w:val="single" w:color="auto" w:sz="4" w:space="0"/>
              <w:right w:val="single" w:color="auto" w:sz="4" w:space="0"/>
            </w:tcBorders>
            <w:noWrap w:val="0"/>
            <w:vAlign w:val="center"/>
          </w:tcPr>
          <w:p>
            <w:pPr>
              <w:widowControl/>
              <w:spacing w:line="300" w:lineRule="exact"/>
              <w:ind w:firstLine="216" w:firstLineChars="100"/>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事业收入</w:t>
            </w:r>
          </w:p>
        </w:tc>
        <w:tc>
          <w:tcPr>
            <w:tcW w:w="1274"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经营收入</w:t>
            </w:r>
          </w:p>
        </w:tc>
        <w:tc>
          <w:tcPr>
            <w:tcW w:w="1424" w:type="dxa"/>
            <w:vMerge w:val="restart"/>
            <w:tcBorders>
              <w:top w:val="single" w:color="auto" w:sz="4" w:space="0"/>
              <w:left w:val="single" w:color="auto" w:sz="4" w:space="0"/>
              <w:right w:val="single" w:color="auto" w:sz="4" w:space="0"/>
            </w:tcBorders>
            <w:noWrap w:val="0"/>
            <w:vAlign w:val="center"/>
          </w:tcPr>
          <w:p>
            <w:pPr>
              <w:widowControl/>
              <w:spacing w:line="300" w:lineRule="exact"/>
              <w:ind w:left="648" w:hanging="648" w:hangingChars="300"/>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xml:space="preserve">附属单位    </w:t>
            </w:r>
          </w:p>
          <w:p>
            <w:pPr>
              <w:widowControl/>
              <w:spacing w:line="300" w:lineRule="exact"/>
              <w:ind w:left="648" w:hanging="648" w:hangingChars="300"/>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上缴收入</w:t>
            </w:r>
          </w:p>
        </w:tc>
        <w:tc>
          <w:tcPr>
            <w:tcW w:w="1258"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其他收入</w:t>
            </w:r>
          </w:p>
        </w:tc>
      </w:tr>
      <w:tr>
        <w:tblPrEx>
          <w:tblCellMar>
            <w:top w:w="0" w:type="dxa"/>
            <w:left w:w="108" w:type="dxa"/>
            <w:bottom w:w="0" w:type="dxa"/>
            <w:right w:w="108" w:type="dxa"/>
          </w:tblCellMar>
        </w:tblPrEx>
        <w:trPr>
          <w:trHeight w:val="457" w:hRule="atLeast"/>
          <w:jc w:val="center"/>
        </w:trPr>
        <w:tc>
          <w:tcPr>
            <w:tcW w:w="1406"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 xml:space="preserve"> 科目编码</w:t>
            </w:r>
          </w:p>
        </w:tc>
        <w:tc>
          <w:tcPr>
            <w:tcW w:w="239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2101"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874"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730"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95" w:type="dxa"/>
            <w:vMerge w:val="continue"/>
            <w:tcBorders>
              <w:left w:val="single" w:color="auto" w:sz="4" w:space="0"/>
              <w:right w:val="single" w:color="auto" w:sz="4" w:space="0"/>
            </w:tcBorders>
            <w:noWrap w:val="0"/>
            <w:vAlign w:val="center"/>
          </w:tcPr>
          <w:p>
            <w:pPr>
              <w:widowControl/>
              <w:spacing w:line="300" w:lineRule="exact"/>
              <w:ind w:firstLine="216" w:firstLineChars="100"/>
              <w:rPr>
                <w:rFonts w:hint="eastAsia" w:ascii="仿宋_GB2312" w:hAnsi="宋体" w:eastAsia="仿宋_GB2312" w:cs="宋体"/>
                <w:kern w:val="0"/>
                <w:sz w:val="22"/>
                <w:szCs w:val="22"/>
              </w:rPr>
            </w:pPr>
          </w:p>
        </w:tc>
        <w:tc>
          <w:tcPr>
            <w:tcW w:w="1274"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24" w:type="dxa"/>
            <w:vMerge w:val="continue"/>
            <w:tcBorders>
              <w:left w:val="single" w:color="auto" w:sz="4" w:space="0"/>
              <w:right w:val="single" w:color="auto" w:sz="4" w:space="0"/>
            </w:tcBorders>
            <w:noWrap w:val="0"/>
            <w:vAlign w:val="center"/>
          </w:tcPr>
          <w:p>
            <w:pPr>
              <w:widowControl/>
              <w:spacing w:line="300" w:lineRule="exact"/>
              <w:ind w:left="648" w:hanging="648" w:hangingChars="300"/>
              <w:jc w:val="center"/>
              <w:rPr>
                <w:rFonts w:hint="eastAsia" w:ascii="仿宋_GB2312" w:hAnsi="宋体" w:eastAsia="仿宋_GB2312" w:cs="宋体"/>
                <w:kern w:val="0"/>
                <w:sz w:val="22"/>
                <w:szCs w:val="22"/>
              </w:rPr>
            </w:pPr>
          </w:p>
        </w:tc>
        <w:tc>
          <w:tcPr>
            <w:tcW w:w="1258" w:type="dxa"/>
            <w:vMerge w:val="continue"/>
            <w:tcBorders>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3801"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210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73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49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2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42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7</w:t>
            </w:r>
          </w:p>
        </w:tc>
      </w:tr>
      <w:tr>
        <w:tblPrEx>
          <w:tblCellMar>
            <w:top w:w="0" w:type="dxa"/>
            <w:left w:w="108" w:type="dxa"/>
            <w:bottom w:w="0" w:type="dxa"/>
            <w:right w:w="108" w:type="dxa"/>
          </w:tblCellMar>
        </w:tblPrEx>
        <w:trPr>
          <w:trHeight w:val="397" w:hRule="atLeast"/>
          <w:jc w:val="center"/>
        </w:trPr>
        <w:tc>
          <w:tcPr>
            <w:tcW w:w="1296"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2160699</w:t>
            </w:r>
          </w:p>
        </w:tc>
        <w:tc>
          <w:tcPr>
            <w:tcW w:w="2505"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其他涉外发展服务支出</w:t>
            </w:r>
          </w:p>
        </w:tc>
        <w:tc>
          <w:tcPr>
            <w:tcW w:w="2101" w:type="dxa"/>
            <w:tcBorders>
              <w:top w:val="single" w:color="auto" w:sz="4" w:space="0"/>
              <w:left w:val="single" w:color="auto" w:sz="4" w:space="0"/>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20.15</w:t>
            </w:r>
          </w:p>
        </w:tc>
        <w:tc>
          <w:tcPr>
            <w:tcW w:w="1874" w:type="dxa"/>
            <w:tcBorders>
              <w:top w:val="single" w:color="auto" w:sz="4" w:space="0"/>
              <w:left w:val="single" w:color="auto" w:sz="4" w:space="0"/>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20.15</w:t>
            </w:r>
          </w:p>
        </w:tc>
        <w:tc>
          <w:tcPr>
            <w:tcW w:w="173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49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42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25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221</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住房保障支出</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774</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774</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22101</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保障性安居工程支出</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774</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774</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2210199</w:t>
            </w:r>
          </w:p>
        </w:tc>
        <w:tc>
          <w:tcPr>
            <w:tcW w:w="2505" w:type="dxa"/>
            <w:gridSpan w:val="2"/>
            <w:tcBorders>
              <w:top w:val="nil"/>
              <w:left w:val="nil"/>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其他保障性安居工程支出</w:t>
            </w:r>
          </w:p>
        </w:tc>
        <w:tc>
          <w:tcPr>
            <w:tcW w:w="2101"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774</w:t>
            </w:r>
          </w:p>
        </w:tc>
        <w:tc>
          <w:tcPr>
            <w:tcW w:w="1874" w:type="dxa"/>
            <w:tcBorders>
              <w:top w:val="nil"/>
              <w:left w:val="nil"/>
              <w:bottom w:val="single" w:color="auto" w:sz="4" w:space="0"/>
              <w:right w:val="single" w:color="auto" w:sz="4" w:space="0"/>
            </w:tcBorders>
            <w:noWrap w:val="0"/>
            <w:vAlign w:val="center"/>
          </w:tcPr>
          <w:p>
            <w:pPr>
              <w:jc w:val="right"/>
              <w:rPr>
                <w:rFonts w:ascii="仿宋_GB2312" w:hAnsi="宋体" w:eastAsia="仿宋_GB2312" w:cs="宋体"/>
                <w:kern w:val="0"/>
                <w:sz w:val="22"/>
                <w:szCs w:val="22"/>
              </w:rPr>
            </w:pPr>
            <w:r>
              <w:rPr>
                <w:rFonts w:hint="eastAsia" w:ascii="仿宋_GB2312" w:hAnsi="宋体" w:eastAsia="仿宋_GB2312" w:cs="宋体"/>
                <w:kern w:val="0"/>
                <w:sz w:val="22"/>
                <w:szCs w:val="22"/>
              </w:rPr>
              <w:t>774</w:t>
            </w: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2505" w:type="dxa"/>
            <w:gridSpan w:val="2"/>
            <w:tcBorders>
              <w:top w:val="nil"/>
              <w:left w:val="nil"/>
              <w:bottom w:val="single" w:color="auto" w:sz="4" w:space="0"/>
              <w:right w:val="single" w:color="auto" w:sz="4" w:space="0"/>
            </w:tcBorders>
            <w:noWrap w:val="0"/>
            <w:vAlign w:val="center"/>
          </w:tcPr>
          <w:p>
            <w:pPr>
              <w:rPr>
                <w:rFonts w:ascii="宋体" w:hAnsi="宋体" w:cs="Arial"/>
                <w:sz w:val="22"/>
                <w:szCs w:val="22"/>
              </w:rPr>
            </w:pPr>
          </w:p>
        </w:tc>
        <w:tc>
          <w:tcPr>
            <w:tcW w:w="2101"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1874"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2505" w:type="dxa"/>
            <w:gridSpan w:val="2"/>
            <w:tcBorders>
              <w:top w:val="nil"/>
              <w:left w:val="nil"/>
              <w:bottom w:val="single" w:color="auto" w:sz="4" w:space="0"/>
              <w:right w:val="single" w:color="auto" w:sz="4" w:space="0"/>
            </w:tcBorders>
            <w:noWrap w:val="0"/>
            <w:vAlign w:val="center"/>
          </w:tcPr>
          <w:p>
            <w:pPr>
              <w:rPr>
                <w:rFonts w:ascii="宋体" w:hAnsi="宋体" w:cs="Arial"/>
                <w:sz w:val="22"/>
                <w:szCs w:val="22"/>
              </w:rPr>
            </w:pPr>
          </w:p>
        </w:tc>
        <w:tc>
          <w:tcPr>
            <w:tcW w:w="2101"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1874"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2505" w:type="dxa"/>
            <w:gridSpan w:val="2"/>
            <w:tcBorders>
              <w:top w:val="nil"/>
              <w:left w:val="nil"/>
              <w:bottom w:val="single" w:color="auto" w:sz="4" w:space="0"/>
              <w:right w:val="single" w:color="auto" w:sz="4" w:space="0"/>
            </w:tcBorders>
            <w:noWrap w:val="0"/>
            <w:vAlign w:val="center"/>
          </w:tcPr>
          <w:p>
            <w:pPr>
              <w:rPr>
                <w:rFonts w:ascii="宋体" w:hAnsi="宋体" w:cs="Arial"/>
                <w:sz w:val="22"/>
                <w:szCs w:val="22"/>
              </w:rPr>
            </w:pPr>
          </w:p>
        </w:tc>
        <w:tc>
          <w:tcPr>
            <w:tcW w:w="2101"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1874"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2505" w:type="dxa"/>
            <w:gridSpan w:val="2"/>
            <w:tcBorders>
              <w:top w:val="nil"/>
              <w:left w:val="nil"/>
              <w:bottom w:val="single" w:color="auto" w:sz="4" w:space="0"/>
              <w:right w:val="single" w:color="auto" w:sz="4" w:space="0"/>
            </w:tcBorders>
            <w:noWrap w:val="0"/>
            <w:vAlign w:val="center"/>
          </w:tcPr>
          <w:p>
            <w:pPr>
              <w:rPr>
                <w:rFonts w:ascii="宋体" w:hAnsi="宋体" w:cs="Arial"/>
                <w:sz w:val="22"/>
                <w:szCs w:val="22"/>
              </w:rPr>
            </w:pPr>
          </w:p>
        </w:tc>
        <w:tc>
          <w:tcPr>
            <w:tcW w:w="2101"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1874"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397" w:hRule="atLeast"/>
          <w:jc w:val="center"/>
        </w:trPr>
        <w:tc>
          <w:tcPr>
            <w:tcW w:w="1296"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2505" w:type="dxa"/>
            <w:gridSpan w:val="2"/>
            <w:tcBorders>
              <w:top w:val="nil"/>
              <w:left w:val="nil"/>
              <w:bottom w:val="single" w:color="auto" w:sz="4" w:space="0"/>
              <w:right w:val="single" w:color="auto" w:sz="4" w:space="0"/>
            </w:tcBorders>
            <w:noWrap w:val="0"/>
            <w:vAlign w:val="center"/>
          </w:tcPr>
          <w:p>
            <w:pPr>
              <w:rPr>
                <w:rFonts w:ascii="宋体" w:hAnsi="宋体" w:cs="Arial"/>
                <w:sz w:val="22"/>
                <w:szCs w:val="22"/>
              </w:rPr>
            </w:pPr>
          </w:p>
        </w:tc>
        <w:tc>
          <w:tcPr>
            <w:tcW w:w="2101"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1874"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1730"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95"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7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24"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25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bl>
    <w:p>
      <w:pPr>
        <w:ind w:firstLine="108" w:firstLineChars="50"/>
        <w:rPr>
          <w:rFonts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本年度取得的各项收入情况。</w:t>
      </w:r>
    </w:p>
    <w:p>
      <w:pPr>
        <w:jc w:val="center"/>
        <w:rPr>
          <w:rFonts w:hint="eastAsia" w:ascii="方正小标宋简体" w:eastAsia="方正小标宋简体"/>
          <w:sz w:val="44"/>
          <w:szCs w:val="44"/>
        </w:rPr>
      </w:pPr>
      <w:r>
        <w:rPr>
          <w:rFonts w:hint="eastAsia" w:ascii="方正小标宋简体" w:eastAsia="方正小标宋简体"/>
          <w:sz w:val="44"/>
          <w:szCs w:val="44"/>
        </w:rPr>
        <w:t>支出决算表</w:t>
      </w:r>
    </w:p>
    <w:p>
      <w:pPr>
        <w:spacing w:line="400" w:lineRule="exact"/>
        <w:jc w:val="right"/>
        <w:rPr>
          <w:rFonts w:hint="eastAsia" w:ascii="楷体_GB2312" w:eastAsia="楷体_GB2312"/>
          <w:sz w:val="28"/>
          <w:szCs w:val="28"/>
        </w:rPr>
      </w:pPr>
      <w:r>
        <w:rPr>
          <w:rFonts w:hint="eastAsia" w:ascii="楷体_GB2312" w:eastAsia="楷体_GB2312"/>
          <w:sz w:val="28"/>
          <w:szCs w:val="28"/>
        </w:rPr>
        <w:t xml:space="preserve">                                                                                   公开03表</w:t>
      </w:r>
    </w:p>
    <w:p>
      <w:pPr>
        <w:wordWrap w:val="0"/>
        <w:spacing w:line="400" w:lineRule="exact"/>
        <w:ind w:firstLine="138" w:firstLineChars="50"/>
        <w:jc w:val="right"/>
        <w:rPr>
          <w:rFonts w:hint="eastAsia" w:ascii="楷体_GB2312" w:eastAsia="楷体_GB2312"/>
          <w:sz w:val="28"/>
          <w:szCs w:val="28"/>
        </w:rPr>
      </w:pPr>
      <w:r>
        <w:rPr>
          <w:rFonts w:hint="eastAsia" w:ascii="楷体_GB2312" w:eastAsia="楷体_GB2312"/>
          <w:sz w:val="28"/>
          <w:szCs w:val="28"/>
        </w:rPr>
        <w:t xml:space="preserve"> </w:t>
      </w:r>
      <w:r>
        <w:rPr>
          <w:rFonts w:hint="eastAsia" w:ascii="楷体_GB2312" w:eastAsia="楷体_GB2312"/>
          <w:sz w:val="28"/>
          <w:szCs w:val="28"/>
          <w:lang w:eastAsia="zh-CN"/>
        </w:rPr>
        <w:t>单位</w:t>
      </w:r>
      <w:r>
        <w:rPr>
          <w:rFonts w:hint="eastAsia" w:ascii="楷体_GB2312" w:eastAsia="楷体_GB2312"/>
          <w:sz w:val="28"/>
          <w:szCs w:val="28"/>
        </w:rPr>
        <w:t>： 青岛市即墨区温泉街道办事处                                              金额单位：万元</w:t>
      </w:r>
    </w:p>
    <w:tbl>
      <w:tblPr>
        <w:tblStyle w:val="4"/>
        <w:tblW w:w="13630" w:type="dxa"/>
        <w:jc w:val="center"/>
        <w:tblLayout w:type="fixed"/>
        <w:tblCellMar>
          <w:top w:w="0" w:type="dxa"/>
          <w:left w:w="108" w:type="dxa"/>
          <w:bottom w:w="0" w:type="dxa"/>
          <w:right w:w="108" w:type="dxa"/>
        </w:tblCellMar>
      </w:tblPr>
      <w:tblGrid>
        <w:gridCol w:w="1344"/>
        <w:gridCol w:w="57"/>
        <w:gridCol w:w="2952"/>
        <w:gridCol w:w="1685"/>
        <w:gridCol w:w="1500"/>
        <w:gridCol w:w="1540"/>
        <w:gridCol w:w="1762"/>
        <w:gridCol w:w="1348"/>
        <w:gridCol w:w="1442"/>
      </w:tblGrid>
      <w:tr>
        <w:tblPrEx>
          <w:tblCellMar>
            <w:top w:w="0" w:type="dxa"/>
            <w:left w:w="108" w:type="dxa"/>
            <w:bottom w:w="0" w:type="dxa"/>
            <w:right w:w="108" w:type="dxa"/>
          </w:tblCellMar>
        </w:tblPrEx>
        <w:trPr>
          <w:trHeight w:val="458" w:hRule="atLeast"/>
          <w:jc w:val="center"/>
        </w:trPr>
        <w:tc>
          <w:tcPr>
            <w:tcW w:w="435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1685"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本年支出合计</w:t>
            </w:r>
          </w:p>
        </w:tc>
        <w:tc>
          <w:tcPr>
            <w:tcW w:w="1500"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1540"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c>
          <w:tcPr>
            <w:tcW w:w="1762"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上缴上级支出</w:t>
            </w:r>
          </w:p>
        </w:tc>
        <w:tc>
          <w:tcPr>
            <w:tcW w:w="1348"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xml:space="preserve">经营支出    </w:t>
            </w:r>
          </w:p>
        </w:tc>
        <w:tc>
          <w:tcPr>
            <w:tcW w:w="1442"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对附属单位</w:t>
            </w:r>
          </w:p>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补助支出</w:t>
            </w:r>
          </w:p>
        </w:tc>
      </w:tr>
      <w:tr>
        <w:tblPrEx>
          <w:tblCellMar>
            <w:top w:w="0" w:type="dxa"/>
            <w:left w:w="108" w:type="dxa"/>
            <w:bottom w:w="0" w:type="dxa"/>
            <w:right w:w="108" w:type="dxa"/>
          </w:tblCellMar>
        </w:tblPrEx>
        <w:trPr>
          <w:trHeight w:val="457" w:hRule="atLeast"/>
          <w:jc w:val="center"/>
        </w:trPr>
        <w:tc>
          <w:tcPr>
            <w:tcW w:w="140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科目编码</w:t>
            </w:r>
          </w:p>
        </w:tc>
        <w:tc>
          <w:tcPr>
            <w:tcW w:w="295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1685"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500"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540"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762"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348"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42"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435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1685"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500"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540"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76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348"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44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r>
      <w:tr>
        <w:tblPrEx>
          <w:tblCellMar>
            <w:top w:w="0" w:type="dxa"/>
            <w:left w:w="108" w:type="dxa"/>
            <w:bottom w:w="0" w:type="dxa"/>
            <w:right w:w="108" w:type="dxa"/>
          </w:tblCellMar>
        </w:tblPrEx>
        <w:trPr>
          <w:trHeight w:val="300" w:hRule="atLeast"/>
          <w:jc w:val="center"/>
        </w:trPr>
        <w:tc>
          <w:tcPr>
            <w:tcW w:w="435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1685" w:type="dxa"/>
            <w:tcBorders>
              <w:top w:val="single" w:color="auto" w:sz="4" w:space="0"/>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112,857.58</w:t>
            </w:r>
          </w:p>
        </w:tc>
        <w:tc>
          <w:tcPr>
            <w:tcW w:w="1500" w:type="dxa"/>
            <w:tcBorders>
              <w:top w:val="single" w:color="auto" w:sz="4" w:space="0"/>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4,584.40</w:t>
            </w:r>
          </w:p>
        </w:tc>
        <w:tc>
          <w:tcPr>
            <w:tcW w:w="1540" w:type="dxa"/>
            <w:tcBorders>
              <w:top w:val="single" w:color="auto" w:sz="4" w:space="0"/>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108,273.18</w:t>
            </w:r>
          </w:p>
        </w:tc>
        <w:tc>
          <w:tcPr>
            <w:tcW w:w="176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348"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4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single" w:color="auto" w:sz="4" w:space="0"/>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201</w:t>
            </w:r>
          </w:p>
        </w:tc>
        <w:tc>
          <w:tcPr>
            <w:tcW w:w="3009"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一般公共服务支出</w:t>
            </w:r>
          </w:p>
        </w:tc>
        <w:tc>
          <w:tcPr>
            <w:tcW w:w="1685" w:type="dxa"/>
            <w:tcBorders>
              <w:top w:val="single" w:color="auto" w:sz="4" w:space="0"/>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2,292.99</w:t>
            </w:r>
          </w:p>
        </w:tc>
        <w:tc>
          <w:tcPr>
            <w:tcW w:w="1500" w:type="dxa"/>
            <w:tcBorders>
              <w:top w:val="single" w:color="auto" w:sz="4" w:space="0"/>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2,292.99</w:t>
            </w:r>
          </w:p>
        </w:tc>
        <w:tc>
          <w:tcPr>
            <w:tcW w:w="1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62" w:type="dxa"/>
            <w:tcBorders>
              <w:top w:val="single" w:color="auto" w:sz="4" w:space="0"/>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48" w:type="dxa"/>
            <w:tcBorders>
              <w:top w:val="single" w:color="auto" w:sz="4" w:space="0"/>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single" w:color="auto" w:sz="4" w:space="0"/>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20103</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政府办公厅（室）及相关机构事务</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2,269.99</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2,269.99</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2010301</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行政运行</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2,269.99</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2,269.99</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20132</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组织事务</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23</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23</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2013299</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其他组织事务支出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23</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23</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205</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教育支出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507.05</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507.05</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8" w:hRule="atLeast"/>
          <w:jc w:val="center"/>
        </w:trPr>
        <w:tc>
          <w:tcPr>
            <w:tcW w:w="435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1685"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本年支出合计</w:t>
            </w:r>
          </w:p>
        </w:tc>
        <w:tc>
          <w:tcPr>
            <w:tcW w:w="1500"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1540"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c>
          <w:tcPr>
            <w:tcW w:w="1762"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上缴上级支出</w:t>
            </w:r>
          </w:p>
        </w:tc>
        <w:tc>
          <w:tcPr>
            <w:tcW w:w="1348"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xml:space="preserve">经营支出    </w:t>
            </w:r>
          </w:p>
        </w:tc>
        <w:tc>
          <w:tcPr>
            <w:tcW w:w="1442"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对附属单位</w:t>
            </w:r>
          </w:p>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补助支出</w:t>
            </w:r>
          </w:p>
        </w:tc>
      </w:tr>
      <w:tr>
        <w:tblPrEx>
          <w:tblCellMar>
            <w:top w:w="0" w:type="dxa"/>
            <w:left w:w="108" w:type="dxa"/>
            <w:bottom w:w="0" w:type="dxa"/>
            <w:right w:w="108" w:type="dxa"/>
          </w:tblCellMar>
        </w:tblPrEx>
        <w:trPr>
          <w:trHeight w:val="457" w:hRule="atLeast"/>
          <w:jc w:val="center"/>
        </w:trPr>
        <w:tc>
          <w:tcPr>
            <w:tcW w:w="140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科目编码</w:t>
            </w:r>
          </w:p>
        </w:tc>
        <w:tc>
          <w:tcPr>
            <w:tcW w:w="295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1685"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500"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540"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762"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348"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42"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435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1685"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500"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540"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76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348"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44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r>
      <w:tr>
        <w:tblPrEx>
          <w:tblCellMar>
            <w:top w:w="0" w:type="dxa"/>
            <w:left w:w="108" w:type="dxa"/>
            <w:bottom w:w="0" w:type="dxa"/>
            <w:right w:w="108" w:type="dxa"/>
          </w:tblCellMar>
        </w:tblPrEx>
        <w:trPr>
          <w:trHeight w:val="406" w:hRule="atLeast"/>
          <w:jc w:val="center"/>
        </w:trPr>
        <w:tc>
          <w:tcPr>
            <w:tcW w:w="1344" w:type="dxa"/>
            <w:tcBorders>
              <w:top w:val="single" w:color="auto" w:sz="4" w:space="0"/>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20501</w:t>
            </w:r>
          </w:p>
        </w:tc>
        <w:tc>
          <w:tcPr>
            <w:tcW w:w="3009"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教育管理事务</w:t>
            </w:r>
          </w:p>
        </w:tc>
        <w:tc>
          <w:tcPr>
            <w:tcW w:w="1685" w:type="dxa"/>
            <w:tcBorders>
              <w:top w:val="single" w:color="auto" w:sz="4" w:space="0"/>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193.49</w:t>
            </w:r>
          </w:p>
        </w:tc>
        <w:tc>
          <w:tcPr>
            <w:tcW w:w="1500" w:type="dxa"/>
            <w:tcBorders>
              <w:top w:val="single" w:color="auto" w:sz="4" w:space="0"/>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193.49</w:t>
            </w:r>
          </w:p>
        </w:tc>
        <w:tc>
          <w:tcPr>
            <w:tcW w:w="1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62" w:type="dxa"/>
            <w:tcBorders>
              <w:top w:val="single" w:color="auto" w:sz="4" w:space="0"/>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48" w:type="dxa"/>
            <w:tcBorders>
              <w:top w:val="single" w:color="auto" w:sz="4" w:space="0"/>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single" w:color="auto" w:sz="4" w:space="0"/>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2050101</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行政运行</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193.49</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193.49</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20502</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普通教育</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313.56</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313.56</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2050201</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学前教育</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104.66</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104.66</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2050202</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小学教育</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129.5</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129.5</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2050203</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初中教育</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34.03</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34.03</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2050299</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其他普通教育支出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45.37</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45.37</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208</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社会保障和就业支出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14</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14</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20802</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民政管理事务</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14</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14</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2080208</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基层政权建设和社区治理</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14</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14</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212</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城乡社区支出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108,273.18</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　</w:t>
            </w:r>
          </w:p>
        </w:tc>
        <w:tc>
          <w:tcPr>
            <w:tcW w:w="1540" w:type="dxa"/>
            <w:tcBorders>
              <w:top w:val="nil"/>
              <w:left w:val="single" w:color="auto" w:sz="4" w:space="0"/>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108,273.18</w:t>
            </w: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bl>
    <w:p>
      <w:pPr>
        <w:ind w:firstLine="108" w:firstLineChars="50"/>
        <w:rPr>
          <w:rFonts w:hint="eastAsia" w:ascii="仿宋_GB2312" w:hAnsi="宋体" w:eastAsia="仿宋_GB2312"/>
          <w:sz w:val="22"/>
          <w:szCs w:val="22"/>
        </w:rPr>
      </w:pPr>
    </w:p>
    <w:tbl>
      <w:tblPr>
        <w:tblStyle w:val="4"/>
        <w:tblW w:w="13630" w:type="dxa"/>
        <w:jc w:val="center"/>
        <w:tblLayout w:type="fixed"/>
        <w:tblCellMar>
          <w:top w:w="0" w:type="dxa"/>
          <w:left w:w="108" w:type="dxa"/>
          <w:bottom w:w="0" w:type="dxa"/>
          <w:right w:w="108" w:type="dxa"/>
        </w:tblCellMar>
      </w:tblPr>
      <w:tblGrid>
        <w:gridCol w:w="1344"/>
        <w:gridCol w:w="57"/>
        <w:gridCol w:w="2952"/>
        <w:gridCol w:w="1685"/>
        <w:gridCol w:w="1500"/>
        <w:gridCol w:w="1540"/>
        <w:gridCol w:w="1762"/>
        <w:gridCol w:w="1348"/>
        <w:gridCol w:w="1442"/>
      </w:tblGrid>
      <w:tr>
        <w:tblPrEx>
          <w:tblCellMar>
            <w:top w:w="0" w:type="dxa"/>
            <w:left w:w="108" w:type="dxa"/>
            <w:bottom w:w="0" w:type="dxa"/>
            <w:right w:w="108" w:type="dxa"/>
          </w:tblCellMar>
        </w:tblPrEx>
        <w:trPr>
          <w:trHeight w:val="458" w:hRule="atLeast"/>
          <w:jc w:val="center"/>
        </w:trPr>
        <w:tc>
          <w:tcPr>
            <w:tcW w:w="435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1685"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本年支出合计</w:t>
            </w:r>
          </w:p>
        </w:tc>
        <w:tc>
          <w:tcPr>
            <w:tcW w:w="1500"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1540"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c>
          <w:tcPr>
            <w:tcW w:w="1762"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上缴上级支出</w:t>
            </w:r>
          </w:p>
        </w:tc>
        <w:tc>
          <w:tcPr>
            <w:tcW w:w="1348"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xml:space="preserve">经营支出    </w:t>
            </w:r>
          </w:p>
        </w:tc>
        <w:tc>
          <w:tcPr>
            <w:tcW w:w="1442"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对附属单位</w:t>
            </w:r>
          </w:p>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补助支出</w:t>
            </w:r>
          </w:p>
        </w:tc>
      </w:tr>
      <w:tr>
        <w:tblPrEx>
          <w:tblCellMar>
            <w:top w:w="0" w:type="dxa"/>
            <w:left w:w="108" w:type="dxa"/>
            <w:bottom w:w="0" w:type="dxa"/>
            <w:right w:w="108" w:type="dxa"/>
          </w:tblCellMar>
        </w:tblPrEx>
        <w:trPr>
          <w:trHeight w:val="457" w:hRule="atLeast"/>
          <w:jc w:val="center"/>
        </w:trPr>
        <w:tc>
          <w:tcPr>
            <w:tcW w:w="140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科目编码</w:t>
            </w:r>
          </w:p>
        </w:tc>
        <w:tc>
          <w:tcPr>
            <w:tcW w:w="295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1685"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500"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540"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762"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348"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42"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435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1685"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500"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540"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76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348"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44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r>
      <w:tr>
        <w:tblPrEx>
          <w:tblCellMar>
            <w:top w:w="0" w:type="dxa"/>
            <w:left w:w="108" w:type="dxa"/>
            <w:bottom w:w="0" w:type="dxa"/>
            <w:right w:w="108" w:type="dxa"/>
          </w:tblCellMar>
        </w:tblPrEx>
        <w:trPr>
          <w:trHeight w:val="406" w:hRule="atLeast"/>
          <w:jc w:val="center"/>
        </w:trPr>
        <w:tc>
          <w:tcPr>
            <w:tcW w:w="1344" w:type="dxa"/>
            <w:tcBorders>
              <w:top w:val="single" w:color="auto" w:sz="4" w:space="0"/>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21208</w:t>
            </w:r>
          </w:p>
        </w:tc>
        <w:tc>
          <w:tcPr>
            <w:tcW w:w="3009"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国有土地使用权出让收入安排的支出</w:t>
            </w:r>
          </w:p>
        </w:tc>
        <w:tc>
          <w:tcPr>
            <w:tcW w:w="1685" w:type="dxa"/>
            <w:tcBorders>
              <w:top w:val="single" w:color="auto" w:sz="4" w:space="0"/>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273.18</w:t>
            </w:r>
          </w:p>
        </w:tc>
        <w:tc>
          <w:tcPr>
            <w:tcW w:w="1500" w:type="dxa"/>
            <w:tcBorders>
              <w:top w:val="single" w:color="auto" w:sz="4" w:space="0"/>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　</w:t>
            </w:r>
          </w:p>
        </w:tc>
        <w:tc>
          <w:tcPr>
            <w:tcW w:w="1540" w:type="dxa"/>
            <w:tcBorders>
              <w:top w:val="single" w:color="auto" w:sz="4" w:space="0"/>
              <w:left w:val="single" w:color="auto" w:sz="4" w:space="0"/>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273.18</w:t>
            </w:r>
          </w:p>
        </w:tc>
        <w:tc>
          <w:tcPr>
            <w:tcW w:w="1762" w:type="dxa"/>
            <w:tcBorders>
              <w:top w:val="single" w:color="auto" w:sz="4" w:space="0"/>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48" w:type="dxa"/>
            <w:tcBorders>
              <w:top w:val="single" w:color="auto" w:sz="4" w:space="0"/>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single" w:color="auto" w:sz="4" w:space="0"/>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2120803</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城市建设支出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233.3</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　</w:t>
            </w:r>
          </w:p>
        </w:tc>
        <w:tc>
          <w:tcPr>
            <w:tcW w:w="1540" w:type="dxa"/>
            <w:tcBorders>
              <w:top w:val="nil"/>
              <w:left w:val="single" w:color="auto" w:sz="4" w:space="0"/>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233.3</w:t>
            </w: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2120804</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农村基础设施建设支出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39.88</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　</w:t>
            </w:r>
          </w:p>
        </w:tc>
        <w:tc>
          <w:tcPr>
            <w:tcW w:w="1540" w:type="dxa"/>
            <w:tcBorders>
              <w:top w:val="nil"/>
              <w:left w:val="single" w:color="auto" w:sz="4" w:space="0"/>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39.88</w:t>
            </w: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21216</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棚户区改造专项债券收入安排的支出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108,000.00</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　</w:t>
            </w:r>
          </w:p>
        </w:tc>
        <w:tc>
          <w:tcPr>
            <w:tcW w:w="1540" w:type="dxa"/>
            <w:tcBorders>
              <w:top w:val="nil"/>
              <w:left w:val="single" w:color="auto" w:sz="4" w:space="0"/>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108,000.00</w:t>
            </w: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2121699</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其他棚户区改造专项债券收入安排的支出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108,000.00</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　</w:t>
            </w:r>
          </w:p>
        </w:tc>
        <w:tc>
          <w:tcPr>
            <w:tcW w:w="1540" w:type="dxa"/>
            <w:tcBorders>
              <w:top w:val="nil"/>
              <w:left w:val="single" w:color="auto" w:sz="4" w:space="0"/>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108,000.00</w:t>
            </w: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213</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农林水支出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976.21</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976.21</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21302</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林业和草原</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82.62</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82.62</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2130205</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森林资源培育</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12.15</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12.15</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bl>
    <w:p>
      <w:pPr>
        <w:ind w:firstLine="108" w:firstLineChars="50"/>
        <w:rPr>
          <w:rFonts w:hint="eastAsia" w:ascii="仿宋_GB2312" w:hAnsi="宋体" w:eastAsia="仿宋_GB2312"/>
          <w:sz w:val="22"/>
          <w:szCs w:val="22"/>
        </w:rPr>
      </w:pPr>
    </w:p>
    <w:tbl>
      <w:tblPr>
        <w:tblStyle w:val="4"/>
        <w:tblW w:w="13630" w:type="dxa"/>
        <w:jc w:val="center"/>
        <w:tblLayout w:type="fixed"/>
        <w:tblCellMar>
          <w:top w:w="0" w:type="dxa"/>
          <w:left w:w="108" w:type="dxa"/>
          <w:bottom w:w="0" w:type="dxa"/>
          <w:right w:w="108" w:type="dxa"/>
        </w:tblCellMar>
      </w:tblPr>
      <w:tblGrid>
        <w:gridCol w:w="1344"/>
        <w:gridCol w:w="57"/>
        <w:gridCol w:w="2952"/>
        <w:gridCol w:w="1685"/>
        <w:gridCol w:w="1500"/>
        <w:gridCol w:w="1540"/>
        <w:gridCol w:w="1762"/>
        <w:gridCol w:w="1348"/>
        <w:gridCol w:w="1442"/>
      </w:tblGrid>
      <w:tr>
        <w:tblPrEx>
          <w:tblCellMar>
            <w:top w:w="0" w:type="dxa"/>
            <w:left w:w="108" w:type="dxa"/>
            <w:bottom w:w="0" w:type="dxa"/>
            <w:right w:w="108" w:type="dxa"/>
          </w:tblCellMar>
        </w:tblPrEx>
        <w:trPr>
          <w:trHeight w:val="458" w:hRule="atLeast"/>
          <w:jc w:val="center"/>
        </w:trPr>
        <w:tc>
          <w:tcPr>
            <w:tcW w:w="435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1685"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本年支出合计</w:t>
            </w:r>
          </w:p>
        </w:tc>
        <w:tc>
          <w:tcPr>
            <w:tcW w:w="1500"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1540"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c>
          <w:tcPr>
            <w:tcW w:w="1762"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上缴上级支出</w:t>
            </w:r>
          </w:p>
        </w:tc>
        <w:tc>
          <w:tcPr>
            <w:tcW w:w="1348"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xml:space="preserve">经营支出    </w:t>
            </w:r>
          </w:p>
        </w:tc>
        <w:tc>
          <w:tcPr>
            <w:tcW w:w="1442"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对附属单位</w:t>
            </w:r>
          </w:p>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补助支出</w:t>
            </w:r>
          </w:p>
        </w:tc>
      </w:tr>
      <w:tr>
        <w:tblPrEx>
          <w:tblCellMar>
            <w:top w:w="0" w:type="dxa"/>
            <w:left w:w="108" w:type="dxa"/>
            <w:bottom w:w="0" w:type="dxa"/>
            <w:right w:w="108" w:type="dxa"/>
          </w:tblCellMar>
        </w:tblPrEx>
        <w:trPr>
          <w:trHeight w:val="457" w:hRule="atLeast"/>
          <w:jc w:val="center"/>
        </w:trPr>
        <w:tc>
          <w:tcPr>
            <w:tcW w:w="140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科目编码</w:t>
            </w:r>
          </w:p>
        </w:tc>
        <w:tc>
          <w:tcPr>
            <w:tcW w:w="295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1685"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500"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540"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762"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348"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42"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435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1685"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500"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540"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76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348"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44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r>
      <w:tr>
        <w:tblPrEx>
          <w:tblCellMar>
            <w:top w:w="0" w:type="dxa"/>
            <w:left w:w="108" w:type="dxa"/>
            <w:bottom w:w="0" w:type="dxa"/>
            <w:right w:w="108" w:type="dxa"/>
          </w:tblCellMar>
        </w:tblPrEx>
        <w:trPr>
          <w:trHeight w:val="406" w:hRule="atLeast"/>
          <w:jc w:val="center"/>
        </w:trPr>
        <w:tc>
          <w:tcPr>
            <w:tcW w:w="1344" w:type="dxa"/>
            <w:tcBorders>
              <w:top w:val="single" w:color="auto" w:sz="4" w:space="0"/>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2130209</w:t>
            </w:r>
          </w:p>
        </w:tc>
        <w:tc>
          <w:tcPr>
            <w:tcW w:w="3009"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森林生态效益补偿</w:t>
            </w:r>
          </w:p>
        </w:tc>
        <w:tc>
          <w:tcPr>
            <w:tcW w:w="1685" w:type="dxa"/>
            <w:tcBorders>
              <w:top w:val="single" w:color="auto" w:sz="4" w:space="0"/>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12.44</w:t>
            </w:r>
          </w:p>
        </w:tc>
        <w:tc>
          <w:tcPr>
            <w:tcW w:w="1500" w:type="dxa"/>
            <w:tcBorders>
              <w:top w:val="single" w:color="auto" w:sz="4" w:space="0"/>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12.44</w:t>
            </w:r>
          </w:p>
        </w:tc>
        <w:tc>
          <w:tcPr>
            <w:tcW w:w="1540" w:type="dxa"/>
            <w:tcBorders>
              <w:top w:val="single" w:color="auto" w:sz="4" w:space="0"/>
              <w:left w:val="single" w:color="auto" w:sz="4" w:space="0"/>
              <w:bottom w:val="single" w:color="auto" w:sz="4" w:space="0"/>
              <w:right w:val="single" w:color="auto" w:sz="4" w:space="0"/>
            </w:tcBorders>
            <w:noWrap w:val="0"/>
            <w:vAlign w:val="center"/>
          </w:tcPr>
          <w:p>
            <w:pPr>
              <w:jc w:val="right"/>
              <w:rPr>
                <w:rFonts w:ascii="宋体" w:hAnsi="宋体" w:cs="Arial"/>
                <w:sz w:val="22"/>
                <w:szCs w:val="22"/>
              </w:rPr>
            </w:pPr>
          </w:p>
        </w:tc>
        <w:tc>
          <w:tcPr>
            <w:tcW w:w="1762" w:type="dxa"/>
            <w:tcBorders>
              <w:top w:val="single" w:color="auto" w:sz="4" w:space="0"/>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single" w:color="auto" w:sz="4" w:space="0"/>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single" w:color="auto" w:sz="4" w:space="0"/>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2130234</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林业草原防灾减灾</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58.03</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58.03</w:t>
            </w:r>
          </w:p>
        </w:tc>
        <w:tc>
          <w:tcPr>
            <w:tcW w:w="1540" w:type="dxa"/>
            <w:tcBorders>
              <w:top w:val="nil"/>
              <w:left w:val="single" w:color="auto" w:sz="4" w:space="0"/>
              <w:bottom w:val="single" w:color="auto" w:sz="4" w:space="0"/>
              <w:right w:val="single" w:color="auto" w:sz="4" w:space="0"/>
            </w:tcBorders>
            <w:noWrap w:val="0"/>
            <w:vAlign w:val="center"/>
          </w:tcPr>
          <w:p>
            <w:pPr>
              <w:jc w:val="right"/>
              <w:rPr>
                <w:rFonts w:ascii="宋体" w:hAnsi="宋体" w:cs="Arial"/>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21303</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水利</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12.58</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12.58</w:t>
            </w:r>
          </w:p>
        </w:tc>
        <w:tc>
          <w:tcPr>
            <w:tcW w:w="1540" w:type="dxa"/>
            <w:tcBorders>
              <w:top w:val="nil"/>
              <w:left w:val="single" w:color="auto" w:sz="4" w:space="0"/>
              <w:bottom w:val="single" w:color="auto" w:sz="4" w:space="0"/>
              <w:right w:val="single" w:color="auto" w:sz="4" w:space="0"/>
            </w:tcBorders>
            <w:noWrap w:val="0"/>
            <w:vAlign w:val="center"/>
          </w:tcPr>
          <w:p>
            <w:pPr>
              <w:jc w:val="right"/>
              <w:rPr>
                <w:rFonts w:ascii="宋体" w:hAnsi="宋体" w:cs="Arial"/>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2130314</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防汛</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12.58</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12.58</w:t>
            </w:r>
          </w:p>
        </w:tc>
        <w:tc>
          <w:tcPr>
            <w:tcW w:w="1540" w:type="dxa"/>
            <w:tcBorders>
              <w:top w:val="nil"/>
              <w:left w:val="single" w:color="auto" w:sz="4" w:space="0"/>
              <w:bottom w:val="single" w:color="auto" w:sz="4" w:space="0"/>
              <w:right w:val="single" w:color="auto" w:sz="4" w:space="0"/>
            </w:tcBorders>
            <w:noWrap w:val="0"/>
            <w:vAlign w:val="center"/>
          </w:tcPr>
          <w:p>
            <w:pPr>
              <w:jc w:val="right"/>
              <w:rPr>
                <w:rFonts w:ascii="宋体" w:hAnsi="宋体" w:cs="Arial"/>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21305</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巩固脱贫衔接乡村振兴</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298.01</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298.01</w:t>
            </w:r>
          </w:p>
        </w:tc>
        <w:tc>
          <w:tcPr>
            <w:tcW w:w="1540" w:type="dxa"/>
            <w:tcBorders>
              <w:top w:val="nil"/>
              <w:left w:val="single" w:color="auto" w:sz="4" w:space="0"/>
              <w:bottom w:val="single" w:color="auto" w:sz="4" w:space="0"/>
              <w:right w:val="single" w:color="auto" w:sz="4" w:space="0"/>
            </w:tcBorders>
            <w:noWrap w:val="0"/>
            <w:vAlign w:val="center"/>
          </w:tcPr>
          <w:p>
            <w:pPr>
              <w:jc w:val="right"/>
              <w:rPr>
                <w:rFonts w:ascii="宋体" w:hAnsi="宋体" w:cs="Arial"/>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2130599</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其他巩固脱贫衔接乡村振兴支出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298.01</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298.01</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21307</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农村综合改革</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583</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583</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2130705</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对村民委员会和村党支部的补助</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583</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583</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216</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商业服务业等支出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20.15</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20.15</w:t>
            </w: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bl>
    <w:p>
      <w:pPr>
        <w:ind w:firstLine="108" w:firstLineChars="50"/>
        <w:rPr>
          <w:rFonts w:hint="eastAsia" w:ascii="仿宋_GB2312" w:hAnsi="宋体" w:eastAsia="仿宋_GB2312"/>
          <w:sz w:val="22"/>
          <w:szCs w:val="22"/>
        </w:rPr>
      </w:pPr>
    </w:p>
    <w:tbl>
      <w:tblPr>
        <w:tblStyle w:val="4"/>
        <w:tblW w:w="13630" w:type="dxa"/>
        <w:jc w:val="center"/>
        <w:tblLayout w:type="fixed"/>
        <w:tblCellMar>
          <w:top w:w="0" w:type="dxa"/>
          <w:left w:w="108" w:type="dxa"/>
          <w:bottom w:w="0" w:type="dxa"/>
          <w:right w:w="108" w:type="dxa"/>
        </w:tblCellMar>
      </w:tblPr>
      <w:tblGrid>
        <w:gridCol w:w="1344"/>
        <w:gridCol w:w="57"/>
        <w:gridCol w:w="2952"/>
        <w:gridCol w:w="1685"/>
        <w:gridCol w:w="1500"/>
        <w:gridCol w:w="1540"/>
        <w:gridCol w:w="1762"/>
        <w:gridCol w:w="1348"/>
        <w:gridCol w:w="1442"/>
      </w:tblGrid>
      <w:tr>
        <w:tblPrEx>
          <w:tblCellMar>
            <w:top w:w="0" w:type="dxa"/>
            <w:left w:w="108" w:type="dxa"/>
            <w:bottom w:w="0" w:type="dxa"/>
            <w:right w:w="108" w:type="dxa"/>
          </w:tblCellMar>
        </w:tblPrEx>
        <w:trPr>
          <w:trHeight w:val="458" w:hRule="atLeast"/>
          <w:jc w:val="center"/>
        </w:trPr>
        <w:tc>
          <w:tcPr>
            <w:tcW w:w="435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1685"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本年支出合计</w:t>
            </w:r>
          </w:p>
        </w:tc>
        <w:tc>
          <w:tcPr>
            <w:tcW w:w="1500"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1540"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c>
          <w:tcPr>
            <w:tcW w:w="1762"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上缴上级支出</w:t>
            </w:r>
          </w:p>
        </w:tc>
        <w:tc>
          <w:tcPr>
            <w:tcW w:w="1348"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xml:space="preserve">经营支出    </w:t>
            </w:r>
          </w:p>
        </w:tc>
        <w:tc>
          <w:tcPr>
            <w:tcW w:w="1442"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对附属单位</w:t>
            </w:r>
          </w:p>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补助支出</w:t>
            </w:r>
          </w:p>
        </w:tc>
      </w:tr>
      <w:tr>
        <w:tblPrEx>
          <w:tblCellMar>
            <w:top w:w="0" w:type="dxa"/>
            <w:left w:w="108" w:type="dxa"/>
            <w:bottom w:w="0" w:type="dxa"/>
            <w:right w:w="108" w:type="dxa"/>
          </w:tblCellMar>
        </w:tblPrEx>
        <w:trPr>
          <w:trHeight w:val="457" w:hRule="atLeast"/>
          <w:jc w:val="center"/>
        </w:trPr>
        <w:tc>
          <w:tcPr>
            <w:tcW w:w="140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科目编码</w:t>
            </w:r>
          </w:p>
        </w:tc>
        <w:tc>
          <w:tcPr>
            <w:tcW w:w="295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1685"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500"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540"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762"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348"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442"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435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1685"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500"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540"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76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348"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44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r>
      <w:tr>
        <w:tblPrEx>
          <w:tblCellMar>
            <w:top w:w="0" w:type="dxa"/>
            <w:left w:w="108" w:type="dxa"/>
            <w:bottom w:w="0" w:type="dxa"/>
            <w:right w:w="108" w:type="dxa"/>
          </w:tblCellMar>
        </w:tblPrEx>
        <w:trPr>
          <w:trHeight w:val="406" w:hRule="atLeast"/>
          <w:jc w:val="center"/>
        </w:trPr>
        <w:tc>
          <w:tcPr>
            <w:tcW w:w="1344" w:type="dxa"/>
            <w:tcBorders>
              <w:top w:val="single" w:color="auto" w:sz="4" w:space="0"/>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21606</w:t>
            </w:r>
          </w:p>
        </w:tc>
        <w:tc>
          <w:tcPr>
            <w:tcW w:w="3009"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涉外发展服务支出</w:t>
            </w:r>
          </w:p>
        </w:tc>
        <w:tc>
          <w:tcPr>
            <w:tcW w:w="1685" w:type="dxa"/>
            <w:tcBorders>
              <w:top w:val="single" w:color="auto" w:sz="4" w:space="0"/>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20.15</w:t>
            </w:r>
          </w:p>
        </w:tc>
        <w:tc>
          <w:tcPr>
            <w:tcW w:w="1500" w:type="dxa"/>
            <w:tcBorders>
              <w:top w:val="single" w:color="auto" w:sz="4" w:space="0"/>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20.15</w:t>
            </w:r>
          </w:p>
        </w:tc>
        <w:tc>
          <w:tcPr>
            <w:tcW w:w="1540"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1762" w:type="dxa"/>
            <w:tcBorders>
              <w:top w:val="single" w:color="auto" w:sz="4" w:space="0"/>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single" w:color="auto" w:sz="4" w:space="0"/>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single" w:color="auto" w:sz="4" w:space="0"/>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2160699</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其他涉外发展服务支出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20.15</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20.15</w:t>
            </w:r>
          </w:p>
        </w:tc>
        <w:tc>
          <w:tcPr>
            <w:tcW w:w="1540"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221</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住房保障支出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774</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774</w:t>
            </w:r>
          </w:p>
        </w:tc>
        <w:tc>
          <w:tcPr>
            <w:tcW w:w="1540"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22101</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保障性安居工程支出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774</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774</w:t>
            </w:r>
          </w:p>
        </w:tc>
        <w:tc>
          <w:tcPr>
            <w:tcW w:w="1540"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r>
              <w:rPr>
                <w:rFonts w:hint="eastAsia" w:cs="Arial"/>
                <w:sz w:val="22"/>
                <w:szCs w:val="22"/>
              </w:rPr>
              <w:t>2210199</w:t>
            </w: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其他保障性安居工程支出</w:t>
            </w: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774</w:t>
            </w: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r>
              <w:rPr>
                <w:rFonts w:hint="eastAsia" w:cs="Arial"/>
                <w:sz w:val="22"/>
                <w:szCs w:val="22"/>
              </w:rPr>
              <w:t>774</w:t>
            </w:r>
          </w:p>
        </w:tc>
        <w:tc>
          <w:tcPr>
            <w:tcW w:w="1540"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06" w:hRule="atLeast"/>
          <w:jc w:val="center"/>
        </w:trPr>
        <w:tc>
          <w:tcPr>
            <w:tcW w:w="1344" w:type="dxa"/>
            <w:tcBorders>
              <w:top w:val="nil"/>
              <w:left w:val="single" w:color="auto" w:sz="4" w:space="0"/>
              <w:bottom w:val="single" w:color="auto" w:sz="4" w:space="0"/>
              <w:right w:val="nil"/>
            </w:tcBorders>
            <w:noWrap w:val="0"/>
            <w:vAlign w:val="center"/>
          </w:tcPr>
          <w:p>
            <w:pPr>
              <w:rPr>
                <w:rFonts w:ascii="宋体" w:hAnsi="宋体" w:cs="Arial"/>
                <w:sz w:val="22"/>
                <w:szCs w:val="22"/>
              </w:rPr>
            </w:pPr>
          </w:p>
        </w:tc>
        <w:tc>
          <w:tcPr>
            <w:tcW w:w="3009" w:type="dxa"/>
            <w:gridSpan w:val="2"/>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1685" w:type="dxa"/>
            <w:tcBorders>
              <w:top w:val="nil"/>
              <w:left w:val="nil"/>
              <w:bottom w:val="single" w:color="auto" w:sz="4" w:space="0"/>
              <w:right w:val="nil"/>
            </w:tcBorders>
            <w:noWrap w:val="0"/>
            <w:vAlign w:val="center"/>
          </w:tcPr>
          <w:p>
            <w:pPr>
              <w:jc w:val="right"/>
              <w:rPr>
                <w:rFonts w:ascii="宋体" w:hAnsi="宋体" w:cs="Arial"/>
                <w:sz w:val="22"/>
                <w:szCs w:val="22"/>
              </w:rPr>
            </w:pPr>
          </w:p>
        </w:tc>
        <w:tc>
          <w:tcPr>
            <w:tcW w:w="1500" w:type="dxa"/>
            <w:tcBorders>
              <w:top w:val="nil"/>
              <w:left w:val="single" w:color="auto" w:sz="4" w:space="0"/>
              <w:bottom w:val="single" w:color="auto" w:sz="4" w:space="0"/>
              <w:right w:val="nil"/>
            </w:tcBorders>
            <w:noWrap w:val="0"/>
            <w:vAlign w:val="center"/>
          </w:tcPr>
          <w:p>
            <w:pPr>
              <w:jc w:val="right"/>
              <w:rPr>
                <w:rFonts w:ascii="宋体" w:hAnsi="宋体" w:cs="Arial"/>
                <w:sz w:val="22"/>
                <w:szCs w:val="22"/>
              </w:rPr>
            </w:pPr>
          </w:p>
        </w:tc>
        <w:tc>
          <w:tcPr>
            <w:tcW w:w="1540" w:type="dxa"/>
            <w:tcBorders>
              <w:top w:val="nil"/>
              <w:left w:val="single" w:color="auto" w:sz="4" w:space="0"/>
              <w:bottom w:val="single" w:color="auto" w:sz="4" w:space="0"/>
              <w:right w:val="single" w:color="auto" w:sz="4" w:space="0"/>
            </w:tcBorders>
            <w:noWrap w:val="0"/>
            <w:vAlign w:val="center"/>
          </w:tcPr>
          <w:p>
            <w:pPr>
              <w:widowControl/>
              <w:spacing w:line="300" w:lineRule="exact"/>
              <w:ind w:right="90"/>
              <w:jc w:val="right"/>
              <w:rPr>
                <w:rFonts w:hint="eastAsia" w:ascii="仿宋_GB2312" w:hAnsi="宋体" w:eastAsia="仿宋_GB2312" w:cs="宋体"/>
                <w:kern w:val="0"/>
                <w:sz w:val="22"/>
                <w:szCs w:val="22"/>
              </w:rPr>
            </w:pPr>
          </w:p>
        </w:tc>
        <w:tc>
          <w:tcPr>
            <w:tcW w:w="176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p>
        </w:tc>
        <w:tc>
          <w:tcPr>
            <w:tcW w:w="1348"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442"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bl>
    <w:p>
      <w:pPr>
        <w:ind w:firstLine="108" w:firstLineChars="50"/>
        <w:rPr>
          <w:rFonts w:hint="eastAsia"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本年度各项支出情况。</w:t>
      </w:r>
    </w:p>
    <w:p>
      <w:pPr>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hint="eastAsia" w:ascii="方正小标宋简体" w:eastAsia="方正小标宋简体"/>
          <w:sz w:val="44"/>
          <w:szCs w:val="44"/>
        </w:rPr>
      </w:pPr>
      <w:r>
        <w:rPr>
          <w:rFonts w:hint="eastAsia" w:ascii="方正小标宋简体" w:eastAsia="方正小标宋简体"/>
          <w:sz w:val="44"/>
          <w:szCs w:val="44"/>
        </w:rPr>
        <w:t>财政拨款收入支出决算总表</w:t>
      </w:r>
    </w:p>
    <w:p>
      <w:pPr>
        <w:spacing w:line="400" w:lineRule="exact"/>
        <w:jc w:val="right"/>
        <w:rPr>
          <w:rFonts w:hint="eastAsia" w:ascii="楷体_GB2312" w:eastAsia="楷体_GB2312"/>
          <w:sz w:val="28"/>
          <w:szCs w:val="28"/>
        </w:rPr>
      </w:pPr>
      <w:r>
        <w:rPr>
          <w:rFonts w:hint="eastAsia" w:ascii="楷体_GB2312" w:eastAsia="楷体_GB2312"/>
          <w:sz w:val="28"/>
          <w:szCs w:val="28"/>
        </w:rPr>
        <w:t xml:space="preserve">     公开04表</w:t>
      </w:r>
    </w:p>
    <w:p>
      <w:pPr>
        <w:wordWrap w:val="0"/>
        <w:spacing w:line="400" w:lineRule="exact"/>
        <w:jc w:val="right"/>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：青岛市即墨区温泉街道办事处                                                金额单位：万元</w:t>
      </w:r>
    </w:p>
    <w:tbl>
      <w:tblPr>
        <w:tblStyle w:val="4"/>
        <w:tblW w:w="1372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022"/>
        <w:gridCol w:w="540"/>
        <w:gridCol w:w="1512"/>
        <w:gridCol w:w="2442"/>
        <w:gridCol w:w="567"/>
        <w:gridCol w:w="1134"/>
        <w:gridCol w:w="1418"/>
        <w:gridCol w:w="1532"/>
        <w:gridCol w:w="15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074" w:type="dxa"/>
            <w:gridSpan w:val="3"/>
            <w:tcBorders>
              <w:top w:val="single" w:color="auto" w:sz="4" w:space="0"/>
              <w:bottom w:val="single" w:color="auto" w:sz="4" w:space="0"/>
              <w:right w:val="nil"/>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收 入</w:t>
            </w:r>
          </w:p>
        </w:tc>
        <w:tc>
          <w:tcPr>
            <w:tcW w:w="8652" w:type="dxa"/>
            <w:gridSpan w:val="6"/>
            <w:tcBorders>
              <w:top w:val="single" w:color="auto" w:sz="4" w:space="0"/>
              <w:left w:val="nil"/>
              <w:bottom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支 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项   目</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行次</w:t>
            </w: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金额</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项    目</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行次</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合计</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一般公共预算</w:t>
            </w:r>
          </w:p>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财政拨款</w:t>
            </w: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政府性基金</w:t>
            </w:r>
          </w:p>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预算财政拨款</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国有资本经营预算财政拨款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ind w:firstLine="1176" w:firstLineChars="600"/>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栏  次</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栏  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3</w:t>
            </w: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4</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一、一般公共预算财政拨款</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w:t>
            </w: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4584.4　</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一、一般公共服务支出</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15</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2292.99</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2292.99</w:t>
            </w: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二、政府性基金预算财政拨款</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w:t>
            </w: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ascii="仿宋_GB2312" w:hAnsi="宋体" w:eastAsia="仿宋_GB2312" w:cs="宋体"/>
                <w:kern w:val="0"/>
                <w:sz w:val="20"/>
                <w:szCs w:val="20"/>
              </w:rPr>
              <w:t>108273.18</w:t>
            </w:r>
            <w:r>
              <w:rPr>
                <w:rFonts w:hint="eastAsia" w:ascii="仿宋_GB2312" w:hAnsi="宋体" w:eastAsia="仿宋_GB2312" w:cs="宋体"/>
                <w:kern w:val="0"/>
                <w:sz w:val="20"/>
                <w:szCs w:val="20"/>
              </w:rPr>
              <w:t>　</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二、教育支出</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16</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507.05</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507.05</w:t>
            </w: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三、国有资本经营预算财政拨款</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3</w:t>
            </w: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三、社会保障和就业支出</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17</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14</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14</w:t>
            </w: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4</w:t>
            </w: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四、城乡社区支出</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18</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108273.18</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ascii="仿宋_GB2312" w:eastAsia="仿宋_GB2312"/>
                <w:sz w:val="18"/>
                <w:szCs w:val="18"/>
              </w:rPr>
              <w:t>108273.18</w:t>
            </w: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5</w:t>
            </w: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五、农林水支出</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19</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976.21</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ascii="仿宋_GB2312" w:eastAsia="仿宋_GB2312"/>
                <w:sz w:val="18"/>
                <w:szCs w:val="18"/>
              </w:rPr>
              <w:t>976.21</w:t>
            </w: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6</w:t>
            </w: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六、商业服务业等支出</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20</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20.15</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20.15</w:t>
            </w: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7</w:t>
            </w: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七、住房保障支出</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21</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774</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774</w:t>
            </w: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righ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8</w:t>
            </w: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22</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center"/>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bCs/>
                <w:kern w:val="0"/>
                <w:sz w:val="20"/>
                <w:szCs w:val="20"/>
              </w:rPr>
            </w:pPr>
            <w:r>
              <w:rPr>
                <w:rFonts w:hint="eastAsia" w:ascii="仿宋_GB2312" w:hAnsi="宋体" w:eastAsia="仿宋_GB2312" w:cs="宋体"/>
                <w:b/>
                <w:kern w:val="0"/>
                <w:sz w:val="20"/>
                <w:szCs w:val="20"/>
              </w:rPr>
              <w:t>本年收入合计</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9</w:t>
            </w: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ascii="仿宋_GB2312" w:hAnsi="宋体" w:eastAsia="仿宋_GB2312" w:cs="宋体"/>
                <w:kern w:val="0"/>
                <w:sz w:val="20"/>
                <w:szCs w:val="20"/>
              </w:rPr>
              <w:t>112857.58</w:t>
            </w:r>
            <w:r>
              <w:rPr>
                <w:rFonts w:hint="eastAsia" w:ascii="仿宋_GB2312" w:hAnsi="宋体" w:eastAsia="仿宋_GB2312" w:cs="宋体"/>
                <w:kern w:val="0"/>
                <w:sz w:val="20"/>
                <w:szCs w:val="20"/>
              </w:rPr>
              <w:t>　</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bCs/>
                <w:kern w:val="0"/>
                <w:sz w:val="20"/>
                <w:szCs w:val="20"/>
              </w:rPr>
            </w:pPr>
            <w:r>
              <w:rPr>
                <w:rFonts w:hint="eastAsia" w:ascii="仿宋_GB2312" w:hAnsi="宋体" w:eastAsia="仿宋_GB2312" w:cs="宋体"/>
                <w:b/>
                <w:kern w:val="0"/>
                <w:sz w:val="20"/>
                <w:szCs w:val="20"/>
              </w:rPr>
              <w:t>本年支出合计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23</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ascii="仿宋_GB2312" w:hAnsi="宋体" w:eastAsia="仿宋_GB2312" w:cs="宋体"/>
                <w:kern w:val="0"/>
                <w:sz w:val="20"/>
                <w:szCs w:val="20"/>
              </w:rPr>
              <w:t>112857.58</w:t>
            </w: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4584.4　</w:t>
            </w: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left"/>
              <w:rPr>
                <w:rFonts w:hint="eastAsia" w:ascii="仿宋_GB2312" w:hAnsi="宋体" w:eastAsia="仿宋_GB2312" w:cs="宋体"/>
                <w:bCs/>
                <w:kern w:val="0"/>
                <w:sz w:val="20"/>
                <w:szCs w:val="20"/>
              </w:rPr>
            </w:pPr>
            <w:r>
              <w:rPr>
                <w:rFonts w:hint="eastAsia" w:ascii="仿宋_GB2312" w:hAnsi="宋体" w:eastAsia="仿宋_GB2312" w:cs="宋体"/>
                <w:bCs/>
                <w:kern w:val="0"/>
                <w:sz w:val="20"/>
                <w:szCs w:val="20"/>
              </w:rPr>
              <w:t>　</w:t>
            </w:r>
            <w:r>
              <w:rPr>
                <w:rFonts w:ascii="仿宋_GB2312" w:hAnsi="宋体" w:eastAsia="仿宋_GB2312" w:cs="宋体"/>
                <w:bCs/>
                <w:kern w:val="0"/>
                <w:sz w:val="20"/>
                <w:szCs w:val="20"/>
              </w:rPr>
              <w:t>108273.18</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left"/>
              <w:rPr>
                <w:rFonts w:hint="eastAsia" w:ascii="仿宋_GB2312" w:hAnsi="宋体" w:eastAsia="仿宋_GB2312" w:cs="宋体"/>
                <w:b/>
                <w:bCs/>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年初财政拨款结转和结余</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10</w:t>
            </w: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年末财政拨款结转和结余</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24</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lef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ind w:firstLine="392" w:firstLineChars="200"/>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一般公共预算财政拨款</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11</w:t>
            </w: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25</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lef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xml:space="preserve"> 政府性基金预算财政拨款</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12</w:t>
            </w: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26</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lef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xml:space="preserve">  国有资本经营预算财政拨款</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13</w:t>
            </w: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27</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left"/>
              <w:rPr>
                <w:rFonts w:hint="eastAsia"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bCs/>
                <w:kern w:val="0"/>
                <w:sz w:val="20"/>
                <w:szCs w:val="20"/>
              </w:rPr>
            </w:pPr>
            <w:r>
              <w:rPr>
                <w:rFonts w:hint="eastAsia" w:ascii="仿宋_GB2312" w:hAnsi="宋体" w:eastAsia="仿宋_GB2312" w:cs="宋体"/>
                <w:b/>
                <w:kern w:val="0"/>
                <w:sz w:val="20"/>
                <w:szCs w:val="20"/>
              </w:rPr>
              <w:t>总计</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14</w:t>
            </w:r>
          </w:p>
        </w:tc>
        <w:tc>
          <w:tcPr>
            <w:tcW w:w="15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kern w:val="0"/>
                <w:sz w:val="20"/>
                <w:szCs w:val="20"/>
              </w:rPr>
            </w:pPr>
            <w:r>
              <w:rPr>
                <w:rFonts w:ascii="仿宋_GB2312" w:hAnsi="宋体" w:eastAsia="仿宋_GB2312" w:cs="宋体"/>
                <w:kern w:val="0"/>
                <w:sz w:val="20"/>
                <w:szCs w:val="20"/>
              </w:rPr>
              <w:t>112857.58</w:t>
            </w:r>
            <w:r>
              <w:rPr>
                <w:rFonts w:hint="eastAsia" w:ascii="仿宋_GB2312" w:hAnsi="宋体" w:eastAsia="仿宋_GB2312" w:cs="宋体"/>
                <w:kern w:val="0"/>
                <w:sz w:val="20"/>
                <w:szCs w:val="20"/>
              </w:rPr>
              <w:t>　</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bCs/>
                <w:kern w:val="0"/>
                <w:sz w:val="20"/>
                <w:szCs w:val="20"/>
              </w:rPr>
            </w:pPr>
            <w:r>
              <w:rPr>
                <w:rFonts w:hint="eastAsia" w:ascii="仿宋_GB2312" w:hAnsi="宋体" w:eastAsia="仿宋_GB2312" w:cs="宋体"/>
                <w:b/>
                <w:kern w:val="0"/>
                <w:sz w:val="20"/>
                <w:szCs w:val="20"/>
              </w:rPr>
              <w:t>总计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28</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ascii="仿宋_GB2312" w:hAnsi="宋体" w:eastAsia="仿宋_GB2312" w:cs="宋体"/>
                <w:kern w:val="0"/>
                <w:sz w:val="20"/>
                <w:szCs w:val="20"/>
              </w:rPr>
              <w:t>112857.58</w:t>
            </w: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4584.4</w:t>
            </w:r>
          </w:p>
        </w:tc>
        <w:tc>
          <w:tcPr>
            <w:tcW w:w="1532" w:type="dxa"/>
            <w:tcBorders>
              <w:top w:val="single" w:color="auto" w:sz="4" w:space="0"/>
              <w:left w:val="single" w:color="auto" w:sz="4" w:space="0"/>
              <w:bottom w:val="single" w:color="auto" w:sz="4" w:space="0"/>
            </w:tcBorders>
            <w:noWrap w:val="0"/>
            <w:vAlign w:val="center"/>
          </w:tcPr>
          <w:p>
            <w:pPr>
              <w:widowControl/>
              <w:spacing w:line="300" w:lineRule="exact"/>
              <w:jc w:val="left"/>
              <w:rPr>
                <w:rFonts w:hint="eastAsia" w:ascii="仿宋_GB2312" w:hAnsi="宋体" w:eastAsia="仿宋_GB2312" w:cs="宋体"/>
                <w:bCs/>
                <w:kern w:val="0"/>
                <w:sz w:val="20"/>
                <w:szCs w:val="20"/>
              </w:rPr>
            </w:pPr>
            <w:r>
              <w:rPr>
                <w:rFonts w:hint="eastAsia" w:ascii="仿宋_GB2312" w:hAnsi="宋体" w:eastAsia="仿宋_GB2312" w:cs="宋体"/>
                <w:bCs/>
                <w:kern w:val="0"/>
                <w:sz w:val="20"/>
                <w:szCs w:val="20"/>
              </w:rPr>
              <w:t>　</w:t>
            </w:r>
            <w:r>
              <w:rPr>
                <w:rFonts w:ascii="仿宋_GB2312" w:hAnsi="宋体" w:eastAsia="仿宋_GB2312" w:cs="宋体"/>
                <w:bCs/>
                <w:kern w:val="0"/>
                <w:sz w:val="20"/>
                <w:szCs w:val="20"/>
              </w:rPr>
              <w:t>108273.18</w:t>
            </w:r>
          </w:p>
        </w:tc>
        <w:tc>
          <w:tcPr>
            <w:tcW w:w="1559" w:type="dxa"/>
            <w:tcBorders>
              <w:top w:val="single" w:color="auto" w:sz="4" w:space="0"/>
              <w:left w:val="single" w:color="auto" w:sz="4" w:space="0"/>
              <w:bottom w:val="single" w:color="auto" w:sz="4" w:space="0"/>
            </w:tcBorders>
            <w:noWrap w:val="0"/>
            <w:vAlign w:val="top"/>
          </w:tcPr>
          <w:p>
            <w:pPr>
              <w:widowControl/>
              <w:spacing w:line="300" w:lineRule="exact"/>
              <w:jc w:val="left"/>
              <w:rPr>
                <w:rFonts w:hint="eastAsia" w:ascii="仿宋_GB2312" w:hAnsi="宋体" w:eastAsia="仿宋_GB2312" w:cs="宋体"/>
                <w:b/>
                <w:bCs/>
                <w:kern w:val="0"/>
                <w:sz w:val="20"/>
                <w:szCs w:val="20"/>
              </w:rPr>
            </w:pPr>
          </w:p>
        </w:tc>
      </w:tr>
    </w:tbl>
    <w:p>
      <w:pPr>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本年度一般公共预算财政拨款、政府性基金预算财政拨款和国有资本经营预算财政拨款的总收支和年末结转结余情况。</w:t>
      </w:r>
    </w:p>
    <w:p>
      <w:pPr>
        <w:jc w:val="center"/>
        <w:rPr>
          <w:rFonts w:hint="eastAsia" w:ascii="方正小标宋简体" w:eastAsia="方正小标宋简体"/>
          <w:sz w:val="44"/>
          <w:szCs w:val="44"/>
        </w:rPr>
      </w:pPr>
      <w:r>
        <w:rPr>
          <w:rFonts w:hint="eastAsia" w:ascii="方正小标宋简体" w:eastAsia="方正小标宋简体"/>
          <w:sz w:val="44"/>
          <w:szCs w:val="44"/>
        </w:rPr>
        <w:t>一般公共预算财政拨款支出决算表</w:t>
      </w:r>
    </w:p>
    <w:p>
      <w:pPr>
        <w:spacing w:line="400" w:lineRule="exact"/>
        <w:jc w:val="right"/>
        <w:rPr>
          <w:rFonts w:hint="eastAsia" w:ascii="楷体_GB2312" w:eastAsia="楷体_GB2312"/>
          <w:sz w:val="28"/>
          <w:szCs w:val="28"/>
        </w:rPr>
      </w:pPr>
      <w:r>
        <w:rPr>
          <w:rFonts w:hint="eastAsia" w:ascii="楷体_GB2312" w:eastAsia="楷体_GB2312"/>
          <w:sz w:val="28"/>
          <w:szCs w:val="28"/>
        </w:rPr>
        <w:t>公开05表</w:t>
      </w:r>
    </w:p>
    <w:p>
      <w:pPr>
        <w:wordWrap w:val="0"/>
        <w:spacing w:line="400" w:lineRule="exact"/>
        <w:ind w:firstLine="138" w:firstLineChars="50"/>
        <w:jc w:val="right"/>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 xml:space="preserve">：青岛市即墨区温泉街道办事处                            </w:t>
      </w:r>
      <w:r>
        <w:rPr>
          <w:rFonts w:ascii="楷体_GB2312" w:eastAsia="楷体_GB2312"/>
          <w:sz w:val="28"/>
          <w:szCs w:val="28"/>
        </w:rPr>
        <w:t xml:space="preserve">  </w:t>
      </w:r>
      <w:r>
        <w:rPr>
          <w:rFonts w:hint="eastAsia" w:ascii="楷体_GB2312" w:eastAsia="楷体_GB2312"/>
          <w:sz w:val="28"/>
          <w:szCs w:val="28"/>
        </w:rPr>
        <w:t xml:space="preserve">                 金额单位：万元</w:t>
      </w:r>
    </w:p>
    <w:tbl>
      <w:tblPr>
        <w:tblStyle w:val="4"/>
        <w:tblW w:w="0" w:type="auto"/>
        <w:jc w:val="center"/>
        <w:tblLayout w:type="fixed"/>
        <w:tblCellMar>
          <w:top w:w="0" w:type="dxa"/>
          <w:left w:w="108" w:type="dxa"/>
          <w:bottom w:w="0" w:type="dxa"/>
          <w:right w:w="108" w:type="dxa"/>
        </w:tblCellMar>
      </w:tblPr>
      <w:tblGrid>
        <w:gridCol w:w="1701"/>
        <w:gridCol w:w="3170"/>
        <w:gridCol w:w="2783"/>
        <w:gridCol w:w="2978"/>
        <w:gridCol w:w="2520"/>
      </w:tblGrid>
      <w:tr>
        <w:trPr>
          <w:trHeight w:val="428" w:hRule="atLeast"/>
          <w:jc w:val="center"/>
        </w:trPr>
        <w:tc>
          <w:tcPr>
            <w:tcW w:w="487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8281"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w:t>
            </w:r>
          </w:p>
        </w:tc>
      </w:tr>
      <w:tr>
        <w:tblPrEx>
          <w:tblCellMar>
            <w:top w:w="0" w:type="dxa"/>
            <w:left w:w="108" w:type="dxa"/>
            <w:bottom w:w="0" w:type="dxa"/>
            <w:right w:w="108" w:type="dxa"/>
          </w:tblCellMar>
        </w:tblPrEx>
        <w:trPr>
          <w:trHeight w:val="675" w:hRule="exact"/>
          <w:jc w:val="center"/>
        </w:trPr>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科目编码</w:t>
            </w:r>
          </w:p>
        </w:tc>
        <w:tc>
          <w:tcPr>
            <w:tcW w:w="317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278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297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252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r>
      <w:tr>
        <w:tblPrEx>
          <w:tblCellMar>
            <w:top w:w="0" w:type="dxa"/>
            <w:left w:w="108" w:type="dxa"/>
            <w:bottom w:w="0" w:type="dxa"/>
            <w:right w:w="108" w:type="dxa"/>
          </w:tblCellMar>
        </w:tblPrEx>
        <w:trPr>
          <w:trHeight w:val="454" w:hRule="exact"/>
          <w:jc w:val="center"/>
        </w:trPr>
        <w:tc>
          <w:tcPr>
            <w:tcW w:w="487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2783"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297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r>
      <w:tr>
        <w:tblPrEx>
          <w:tblCellMar>
            <w:top w:w="0" w:type="dxa"/>
            <w:left w:w="108" w:type="dxa"/>
            <w:bottom w:w="0" w:type="dxa"/>
            <w:right w:w="108" w:type="dxa"/>
          </w:tblCellMar>
        </w:tblPrEx>
        <w:trPr>
          <w:trHeight w:val="454" w:hRule="exact"/>
          <w:jc w:val="center"/>
        </w:trPr>
        <w:tc>
          <w:tcPr>
            <w:tcW w:w="487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4,584.40</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4,584.40</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201</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一般公共服务支出</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2,292.99</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2,292.99</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20103</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政府办公厅（室）及相关机构事务</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2,269.99</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2,269.99</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2010301</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行政运行</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2,269.99</w:t>
            </w:r>
          </w:p>
        </w:tc>
        <w:tc>
          <w:tcPr>
            <w:tcW w:w="2978" w:type="dxa"/>
            <w:tcBorders>
              <w:top w:val="single" w:color="auto" w:sz="4" w:space="0"/>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2,269.99</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20132</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组织事务</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23</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23</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2013299</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其他组织事务支出</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23</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23</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205</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教育支出</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507.05</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507.05</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20501</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教育管理事务</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193.49</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193.49</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2050101</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行政运行</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193.49</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193.49</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20502</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普通教育</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313.56</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313.56</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2050201</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学前教育</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104.66</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104.66</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28" w:hRule="atLeast"/>
          <w:jc w:val="center"/>
        </w:trPr>
        <w:tc>
          <w:tcPr>
            <w:tcW w:w="487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8281"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w:t>
            </w:r>
          </w:p>
        </w:tc>
      </w:tr>
      <w:tr>
        <w:tblPrEx>
          <w:tblCellMar>
            <w:top w:w="0" w:type="dxa"/>
            <w:left w:w="108" w:type="dxa"/>
            <w:bottom w:w="0" w:type="dxa"/>
            <w:right w:w="108" w:type="dxa"/>
          </w:tblCellMar>
        </w:tblPrEx>
        <w:trPr>
          <w:trHeight w:val="675" w:hRule="exact"/>
          <w:jc w:val="center"/>
        </w:trPr>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科目编码</w:t>
            </w:r>
          </w:p>
        </w:tc>
        <w:tc>
          <w:tcPr>
            <w:tcW w:w="317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278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297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252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r>
      <w:tr>
        <w:tblPrEx>
          <w:tblCellMar>
            <w:top w:w="0" w:type="dxa"/>
            <w:left w:w="108" w:type="dxa"/>
            <w:bottom w:w="0" w:type="dxa"/>
            <w:right w:w="108" w:type="dxa"/>
          </w:tblCellMar>
        </w:tblPrEx>
        <w:trPr>
          <w:trHeight w:val="454" w:hRule="exact"/>
          <w:jc w:val="center"/>
        </w:trPr>
        <w:tc>
          <w:tcPr>
            <w:tcW w:w="487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2783"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297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2050202</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小学教育</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129.5</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129.5</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2050203</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初中教育</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34.03</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34.03</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2050299</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其他普通教育支出</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45.37</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45.37</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208</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社会保障和就业支出</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14</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14</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20802</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民政管理事务</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14</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14</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2080208</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基层政权建设和社区治理</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14</w:t>
            </w:r>
          </w:p>
        </w:tc>
        <w:tc>
          <w:tcPr>
            <w:tcW w:w="2978" w:type="dxa"/>
            <w:tcBorders>
              <w:top w:val="single" w:color="auto" w:sz="4" w:space="0"/>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14</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213</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农林水支出</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976.21</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976.21</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21302</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林业和草原</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82.62</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82.62</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2130205</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森林资源培育</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12.15</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12.15</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2130209</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森林生态效益补偿</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12.44</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12.44</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2130234</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林业草原防灾减灾</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58.03</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58.03</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21303</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水利</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12.58</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12.58</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2130314</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防汛</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12.58</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12.58</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21305</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巩固脱贫衔接乡村振兴</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298.01</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298.01</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2130599</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其他巩固脱贫衔接乡村振兴支出</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298.01</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298.01</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28" w:hRule="atLeast"/>
          <w:jc w:val="center"/>
        </w:trPr>
        <w:tc>
          <w:tcPr>
            <w:tcW w:w="487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8281"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w:t>
            </w:r>
          </w:p>
        </w:tc>
      </w:tr>
      <w:tr>
        <w:tblPrEx>
          <w:tblCellMar>
            <w:top w:w="0" w:type="dxa"/>
            <w:left w:w="108" w:type="dxa"/>
            <w:bottom w:w="0" w:type="dxa"/>
            <w:right w:w="108" w:type="dxa"/>
          </w:tblCellMar>
        </w:tblPrEx>
        <w:trPr>
          <w:trHeight w:val="675" w:hRule="exact"/>
          <w:jc w:val="center"/>
        </w:trPr>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科目编码</w:t>
            </w:r>
          </w:p>
        </w:tc>
        <w:tc>
          <w:tcPr>
            <w:tcW w:w="317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278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297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252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r>
      <w:tr>
        <w:tblPrEx>
          <w:tblCellMar>
            <w:top w:w="0" w:type="dxa"/>
            <w:left w:w="108" w:type="dxa"/>
            <w:bottom w:w="0" w:type="dxa"/>
            <w:right w:w="108" w:type="dxa"/>
          </w:tblCellMar>
        </w:tblPrEx>
        <w:trPr>
          <w:trHeight w:val="454" w:hRule="exact"/>
          <w:jc w:val="center"/>
        </w:trPr>
        <w:tc>
          <w:tcPr>
            <w:tcW w:w="487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2783"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297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21307</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农村综合改革</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583</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583</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2130705</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对村民委员会和村党支部的补助</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583</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583</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216</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商业服务业等支出</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20.15</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20.15</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21606</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涉外发展服务支出</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20.15</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20.15</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2160699</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其他涉外发展服务支出</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20.15</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20.15</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221</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住房保障支出</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774</w:t>
            </w:r>
          </w:p>
        </w:tc>
        <w:tc>
          <w:tcPr>
            <w:tcW w:w="2978" w:type="dxa"/>
            <w:tcBorders>
              <w:top w:val="single" w:color="auto" w:sz="4" w:space="0"/>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774</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22101</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保障性安居工程支出</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774</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774</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2210199</w:t>
            </w: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r>
              <w:rPr>
                <w:rFonts w:hint="eastAsia" w:cs="Arial"/>
                <w:sz w:val="22"/>
                <w:szCs w:val="22"/>
              </w:rPr>
              <w:t>其他保障性安居工程支出</w:t>
            </w: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774</w:t>
            </w: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r>
              <w:rPr>
                <w:rFonts w:hint="eastAsia" w:cs="Arial"/>
                <w:sz w:val="22"/>
                <w:szCs w:val="22"/>
              </w:rPr>
              <w:t>774</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rPr>
                <w:rFonts w:ascii="宋体" w:hAnsi="宋体" w:cs="Arial"/>
                <w:sz w:val="22"/>
                <w:szCs w:val="22"/>
              </w:rPr>
            </w:pPr>
          </w:p>
        </w:tc>
        <w:tc>
          <w:tcPr>
            <w:tcW w:w="3170" w:type="dxa"/>
            <w:tcBorders>
              <w:top w:val="nil"/>
              <w:left w:val="nil"/>
              <w:bottom w:val="single" w:color="auto" w:sz="4" w:space="0"/>
              <w:right w:val="single" w:color="auto" w:sz="4" w:space="0"/>
            </w:tcBorders>
            <w:noWrap w:val="0"/>
            <w:vAlign w:val="center"/>
          </w:tcPr>
          <w:p>
            <w:pPr>
              <w:rPr>
                <w:rFonts w:ascii="宋体" w:hAnsi="宋体" w:cs="Arial"/>
                <w:sz w:val="22"/>
                <w:szCs w:val="22"/>
              </w:rPr>
            </w:pPr>
          </w:p>
        </w:tc>
        <w:tc>
          <w:tcPr>
            <w:tcW w:w="2783"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2978" w:type="dxa"/>
            <w:tcBorders>
              <w:top w:val="nil"/>
              <w:left w:val="nil"/>
              <w:bottom w:val="single" w:color="auto" w:sz="4" w:space="0"/>
              <w:right w:val="single" w:color="auto" w:sz="4" w:space="0"/>
            </w:tcBorders>
            <w:noWrap w:val="0"/>
            <w:vAlign w:val="center"/>
          </w:tcPr>
          <w:p>
            <w:pPr>
              <w:jc w:val="right"/>
              <w:rPr>
                <w:rFonts w:ascii="宋体" w:hAnsi="宋体" w:cs="Arial"/>
                <w:sz w:val="22"/>
                <w:szCs w:val="22"/>
              </w:rPr>
            </w:pP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bl>
    <w:p>
      <w:pPr>
        <w:spacing w:line="400" w:lineRule="exact"/>
        <w:ind w:firstLine="108" w:firstLineChars="50"/>
        <w:jc w:val="left"/>
        <w:rPr>
          <w:rFonts w:hint="eastAsia"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本年度一般公共预算财政拨款支出情况。</w:t>
      </w:r>
    </w:p>
    <w:p>
      <w:pPr>
        <w:spacing w:line="400" w:lineRule="exact"/>
        <w:jc w:val="left"/>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hint="eastAsia" w:ascii="方正小标宋简体" w:eastAsia="方正小标宋简体"/>
          <w:sz w:val="44"/>
          <w:szCs w:val="44"/>
        </w:rPr>
      </w:pPr>
      <w:r>
        <w:rPr>
          <w:rFonts w:hint="eastAsia" w:ascii="方正小标宋简体" w:eastAsia="方正小标宋简体"/>
          <w:sz w:val="44"/>
          <w:szCs w:val="44"/>
        </w:rPr>
        <w:t>一般公共预算财政拨款基本支出决算明细表</w:t>
      </w:r>
    </w:p>
    <w:p>
      <w:pPr>
        <w:spacing w:line="400" w:lineRule="exact"/>
        <w:jc w:val="right"/>
        <w:rPr>
          <w:rFonts w:hint="eastAsia" w:ascii="楷体_GB2312" w:eastAsia="楷体_GB2312"/>
          <w:sz w:val="28"/>
          <w:szCs w:val="28"/>
        </w:rPr>
      </w:pPr>
      <w:r>
        <w:rPr>
          <w:rFonts w:hint="eastAsia" w:ascii="楷体_GB2312" w:eastAsia="楷体_GB2312"/>
          <w:sz w:val="28"/>
          <w:szCs w:val="28"/>
        </w:rPr>
        <w:t>公开06表</w:t>
      </w:r>
    </w:p>
    <w:p>
      <w:pPr>
        <w:wordWrap w:val="0"/>
        <w:spacing w:line="400" w:lineRule="exact"/>
        <w:ind w:firstLine="138" w:firstLineChars="50"/>
        <w:jc w:val="right"/>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 xml:space="preserve">：青岛市即墨区温泉街道办事处                          </w:t>
      </w:r>
      <w:r>
        <w:rPr>
          <w:rFonts w:ascii="楷体_GB2312" w:eastAsia="楷体_GB2312"/>
          <w:sz w:val="28"/>
          <w:szCs w:val="28"/>
        </w:rPr>
        <w:t xml:space="preserve"> </w:t>
      </w:r>
      <w:r>
        <w:rPr>
          <w:rFonts w:hint="eastAsia" w:ascii="楷体_GB2312" w:eastAsia="楷体_GB2312"/>
          <w:sz w:val="28"/>
          <w:szCs w:val="28"/>
        </w:rPr>
        <w:t xml:space="preserve">                    金额单位：万元</w:t>
      </w:r>
    </w:p>
    <w:tbl>
      <w:tblPr>
        <w:tblStyle w:val="4"/>
        <w:tblW w:w="0" w:type="auto"/>
        <w:jc w:val="center"/>
        <w:tblLayout w:type="fixed"/>
        <w:tblCellMar>
          <w:top w:w="0" w:type="dxa"/>
          <w:left w:w="108" w:type="dxa"/>
          <w:bottom w:w="0" w:type="dxa"/>
          <w:right w:w="108" w:type="dxa"/>
        </w:tblCellMar>
      </w:tblPr>
      <w:tblGrid>
        <w:gridCol w:w="1008"/>
        <w:gridCol w:w="3023"/>
        <w:gridCol w:w="847"/>
        <w:gridCol w:w="1138"/>
        <w:gridCol w:w="1984"/>
        <w:gridCol w:w="833"/>
        <w:gridCol w:w="1010"/>
        <w:gridCol w:w="2551"/>
        <w:gridCol w:w="881"/>
      </w:tblGrid>
      <w:tr>
        <w:tblPrEx>
          <w:tblCellMar>
            <w:top w:w="0" w:type="dxa"/>
            <w:left w:w="108" w:type="dxa"/>
            <w:bottom w:w="0" w:type="dxa"/>
            <w:right w:w="108" w:type="dxa"/>
          </w:tblCellMar>
        </w:tblPrEx>
        <w:trPr>
          <w:trHeight w:val="369" w:hRule="atLeast"/>
          <w:tblHeader/>
          <w:jc w:val="center"/>
        </w:trPr>
        <w:tc>
          <w:tcPr>
            <w:tcW w:w="4878" w:type="dxa"/>
            <w:gridSpan w:val="3"/>
            <w:tcBorders>
              <w:top w:val="single" w:color="auto" w:sz="8" w:space="0"/>
              <w:left w:val="single" w:color="auto" w:sz="8"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人员经费</w:t>
            </w:r>
          </w:p>
        </w:tc>
        <w:tc>
          <w:tcPr>
            <w:tcW w:w="8397" w:type="dxa"/>
            <w:gridSpan w:val="6"/>
            <w:tcBorders>
              <w:top w:val="single" w:color="auto" w:sz="8" w:space="0"/>
              <w:left w:val="nil"/>
              <w:bottom w:val="single" w:color="auto" w:sz="4" w:space="0"/>
              <w:right w:val="single" w:color="000000"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公用经费</w:t>
            </w:r>
          </w:p>
        </w:tc>
      </w:tr>
      <w:tr>
        <w:tblPrEx>
          <w:tblCellMar>
            <w:top w:w="0" w:type="dxa"/>
            <w:left w:w="108" w:type="dxa"/>
            <w:bottom w:w="0" w:type="dxa"/>
            <w:right w:w="108" w:type="dxa"/>
          </w:tblCellMar>
        </w:tblPrEx>
        <w:trPr>
          <w:trHeight w:val="300" w:hRule="atLeast"/>
          <w:tblHeader/>
          <w:jc w:val="center"/>
        </w:trPr>
        <w:tc>
          <w:tcPr>
            <w:tcW w:w="1008" w:type="dxa"/>
            <w:vMerge w:val="restart"/>
            <w:tcBorders>
              <w:top w:val="nil"/>
              <w:left w:val="single" w:color="auto" w:sz="8"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科目编码</w:t>
            </w:r>
          </w:p>
        </w:tc>
        <w:tc>
          <w:tcPr>
            <w:tcW w:w="3023"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科目名称</w:t>
            </w:r>
          </w:p>
        </w:tc>
        <w:tc>
          <w:tcPr>
            <w:tcW w:w="847"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金额</w:t>
            </w:r>
          </w:p>
        </w:tc>
        <w:tc>
          <w:tcPr>
            <w:tcW w:w="1138"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科目编码</w:t>
            </w:r>
          </w:p>
        </w:tc>
        <w:tc>
          <w:tcPr>
            <w:tcW w:w="1984"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科目名称</w:t>
            </w:r>
          </w:p>
        </w:tc>
        <w:tc>
          <w:tcPr>
            <w:tcW w:w="833"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金额</w:t>
            </w:r>
          </w:p>
        </w:tc>
        <w:tc>
          <w:tcPr>
            <w:tcW w:w="1010"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科目编码</w:t>
            </w:r>
          </w:p>
        </w:tc>
        <w:tc>
          <w:tcPr>
            <w:tcW w:w="2551"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科目名称</w:t>
            </w:r>
          </w:p>
        </w:tc>
        <w:tc>
          <w:tcPr>
            <w:tcW w:w="881" w:type="dxa"/>
            <w:vMerge w:val="restart"/>
            <w:tcBorders>
              <w:top w:val="nil"/>
              <w:left w:val="single" w:color="auto" w:sz="4" w:space="0"/>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金额</w:t>
            </w:r>
          </w:p>
        </w:tc>
      </w:tr>
      <w:tr>
        <w:tblPrEx>
          <w:tblCellMar>
            <w:top w:w="0" w:type="dxa"/>
            <w:left w:w="108" w:type="dxa"/>
            <w:bottom w:w="0" w:type="dxa"/>
            <w:right w:w="108" w:type="dxa"/>
          </w:tblCellMar>
        </w:tblPrEx>
        <w:trPr>
          <w:trHeight w:val="300" w:hRule="atLeast"/>
          <w:tblHeader/>
          <w:jc w:val="center"/>
        </w:trPr>
        <w:tc>
          <w:tcPr>
            <w:tcW w:w="1008" w:type="dxa"/>
            <w:vMerge w:val="continue"/>
            <w:tcBorders>
              <w:top w:val="nil"/>
              <w:left w:val="single" w:color="auto" w:sz="8"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color w:val="000000"/>
                <w:kern w:val="0"/>
                <w:sz w:val="22"/>
                <w:szCs w:val="22"/>
              </w:rPr>
            </w:pPr>
          </w:p>
        </w:tc>
        <w:tc>
          <w:tcPr>
            <w:tcW w:w="3023"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color w:val="000000"/>
                <w:kern w:val="0"/>
                <w:sz w:val="22"/>
                <w:szCs w:val="22"/>
              </w:rPr>
            </w:pPr>
          </w:p>
        </w:tc>
        <w:tc>
          <w:tcPr>
            <w:tcW w:w="847"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color w:val="000000"/>
                <w:kern w:val="0"/>
                <w:sz w:val="22"/>
                <w:szCs w:val="22"/>
              </w:rPr>
            </w:pPr>
          </w:p>
        </w:tc>
        <w:tc>
          <w:tcPr>
            <w:tcW w:w="1138"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color w:val="000000"/>
                <w:kern w:val="0"/>
                <w:sz w:val="22"/>
                <w:szCs w:val="22"/>
              </w:rPr>
            </w:pPr>
          </w:p>
        </w:tc>
        <w:tc>
          <w:tcPr>
            <w:tcW w:w="1984"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color w:val="000000"/>
                <w:kern w:val="0"/>
                <w:sz w:val="22"/>
                <w:szCs w:val="22"/>
              </w:rPr>
            </w:pPr>
          </w:p>
        </w:tc>
        <w:tc>
          <w:tcPr>
            <w:tcW w:w="833"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color w:val="000000"/>
                <w:kern w:val="0"/>
                <w:sz w:val="22"/>
                <w:szCs w:val="22"/>
              </w:rPr>
            </w:pPr>
          </w:p>
        </w:tc>
        <w:tc>
          <w:tcPr>
            <w:tcW w:w="1010"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color w:val="000000"/>
                <w:kern w:val="0"/>
                <w:sz w:val="22"/>
                <w:szCs w:val="22"/>
              </w:rPr>
            </w:pPr>
          </w:p>
        </w:tc>
        <w:tc>
          <w:tcPr>
            <w:tcW w:w="2551"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color w:val="000000"/>
                <w:kern w:val="0"/>
                <w:sz w:val="22"/>
                <w:szCs w:val="22"/>
              </w:rPr>
            </w:pPr>
          </w:p>
        </w:tc>
        <w:tc>
          <w:tcPr>
            <w:tcW w:w="881" w:type="dxa"/>
            <w:vMerge w:val="continue"/>
            <w:tcBorders>
              <w:top w:val="nil"/>
              <w:left w:val="single" w:color="auto" w:sz="4" w:space="0"/>
              <w:bottom w:val="single" w:color="auto" w:sz="4" w:space="0"/>
              <w:right w:val="single" w:color="auto" w:sz="8" w:space="0"/>
            </w:tcBorders>
            <w:noWrap w:val="0"/>
            <w:vAlign w:val="center"/>
          </w:tcPr>
          <w:p>
            <w:pPr>
              <w:widowControl/>
              <w:spacing w:line="300" w:lineRule="exact"/>
              <w:jc w:val="left"/>
              <w:rPr>
                <w:rFonts w:hint="eastAsia" w:ascii="仿宋_GB2312" w:hAnsi="宋体" w:eastAsia="仿宋_GB2312" w:cs="宋体"/>
                <w:color w:val="000000"/>
                <w:kern w:val="0"/>
                <w:sz w:val="22"/>
                <w:szCs w:val="22"/>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工资福利支出</w:t>
            </w:r>
          </w:p>
        </w:tc>
        <w:tc>
          <w:tcPr>
            <w:tcW w:w="847"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ascii="仿宋_GB2312" w:hAnsi="宋体" w:eastAsia="仿宋_GB2312" w:cs="宋体"/>
                <w:color w:val="000000"/>
                <w:kern w:val="0"/>
                <w:sz w:val="20"/>
                <w:szCs w:val="20"/>
              </w:rPr>
              <w:t>2139.41</w:t>
            </w: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商品和服务支出</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r>
              <w:rPr>
                <w:rFonts w:ascii="仿宋_GB2312" w:hAnsi="宋体" w:eastAsia="仿宋_GB2312" w:cs="宋体"/>
                <w:color w:val="000000"/>
                <w:kern w:val="0"/>
                <w:sz w:val="20"/>
                <w:szCs w:val="20"/>
              </w:rPr>
              <w:t>2444.99</w:t>
            </w: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债务利息及费用支出</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30101</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基本工资</w:t>
            </w:r>
          </w:p>
        </w:tc>
        <w:tc>
          <w:tcPr>
            <w:tcW w:w="847"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472.92</w:t>
            </w: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30201</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办公费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30701</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国内债务付息</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30102</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津贴补贴</w:t>
            </w:r>
          </w:p>
        </w:tc>
        <w:tc>
          <w:tcPr>
            <w:tcW w:w="847"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443.3</w:t>
            </w: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30202</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印刷费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30702</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国外债务付息</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30103</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奖金</w:t>
            </w:r>
          </w:p>
        </w:tc>
        <w:tc>
          <w:tcPr>
            <w:tcW w:w="847"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382.01</w:t>
            </w: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30203</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咨询费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30703</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国内债务发行费用</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30106</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伙食补助费</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30204</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手续费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30704</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国外债务发行费用</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30107</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绩效工资</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267.33</w:t>
            </w: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30205</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水费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资本性支出</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30108</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机关事业单位基本养老保险缴费</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158.66</w:t>
            </w: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30206</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电费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31001</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房屋建筑物购建</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30109</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职业年金缴费</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79.33</w:t>
            </w: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30207</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邮电费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31002</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办公设备购置</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30110</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职工基本医疗保险缴费</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79.33</w:t>
            </w: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30208</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取暖费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31003</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专用设备购置</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30111</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公务员医疗补助缴费</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34.71</w:t>
            </w: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30209</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物业管理费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31005</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基础设施建设</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30112</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其他社会保障缴费</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35.68</w:t>
            </w: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30211</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差旅费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31006</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大型修缮</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30113</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住房公积金</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185.28</w:t>
            </w: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30212</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因公出国（境）费用</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31007</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信息网络及软件购置更新</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30114</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医疗费</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0.85</w:t>
            </w: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30213</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维修(护)费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31008</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物资储备</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30199</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其他工资福利支出</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30214</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租赁费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31009</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土地补偿</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对个人和家庭的补助</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30215</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会议费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31010</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安置补助</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30301</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离休费</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30216</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培训费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31011</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地上附着物和青苗补偿</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30302</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退休费</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30217</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公务接待费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31012</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拆迁补偿</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30303</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退职（役）费</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30218</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专用材料费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31013</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公务用车购置</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30304</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抚恤金</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30224</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被装购置费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31019</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其他交通工具购置</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30305</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生活补助</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30225</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专用燃料费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31021</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文物和陈列品购置</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30306</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救济费</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30226</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劳务费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31022</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无形资产购置</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30307</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医疗费补助</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30227</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委托业务费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r>
              <w:rPr>
                <w:rFonts w:ascii="仿宋_GB2312" w:hAnsi="宋体" w:eastAsia="仿宋_GB2312" w:cs="宋体"/>
                <w:color w:val="000000"/>
                <w:kern w:val="0"/>
                <w:sz w:val="20"/>
                <w:szCs w:val="20"/>
              </w:rPr>
              <w:t>1841.41</w:t>
            </w: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31099</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其他资本性支出</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30308</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助学金</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30228</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工会经费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对企业补助</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30309</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奖励金</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30229</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福利费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31201</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资本金注入</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30310</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个人农业生产补贴</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30231</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公务用车运行维护费</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r>
              <w:rPr>
                <w:rFonts w:ascii="仿宋_GB2312" w:hAnsi="宋体" w:eastAsia="仿宋_GB2312" w:cs="宋体"/>
                <w:color w:val="000000"/>
                <w:kern w:val="0"/>
                <w:sz w:val="20"/>
                <w:szCs w:val="20"/>
              </w:rPr>
              <w:t>101.74</w:t>
            </w: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31203</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政府投资基金股权投资</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30311</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代缴社会保险费</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30239</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其他交通费用</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31204</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费用补贴</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30399</w:t>
            </w: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其他对个人和家庭的补助</w:t>
            </w: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30240</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税金及附加费用</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31205</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利息补贴</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30299</w:t>
            </w: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其他商品和服务支出</w:t>
            </w: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r>
              <w:rPr>
                <w:rFonts w:ascii="仿宋_GB2312" w:hAnsi="宋体" w:eastAsia="仿宋_GB2312" w:cs="宋体"/>
                <w:color w:val="000000"/>
                <w:kern w:val="0"/>
                <w:sz w:val="20"/>
                <w:szCs w:val="20"/>
              </w:rPr>
              <w:t>501.83</w:t>
            </w: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31299</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其他对企业补助</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其他支出</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3990</w:t>
            </w:r>
            <w:r>
              <w:rPr>
                <w:rFonts w:ascii="仿宋_GB2312" w:hAnsi="宋体" w:eastAsia="仿宋_GB2312" w:cs="宋体"/>
                <w:color w:val="000000"/>
                <w:kern w:val="0"/>
                <w:sz w:val="20"/>
                <w:szCs w:val="20"/>
              </w:rPr>
              <w:t>7</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xml:space="preserve">  国家赔偿费用支出</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jc w:val="righ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noWrap w:val="0"/>
            <w:vAlign w:val="center"/>
          </w:tcPr>
          <w:p>
            <w:pPr>
              <w:widowControl/>
              <w:spacing w:line="300" w:lineRule="exact"/>
              <w:jc w:val="right"/>
              <w:rPr>
                <w:rFonts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3990</w:t>
            </w:r>
            <w:r>
              <w:rPr>
                <w:rFonts w:ascii="仿宋_GB2312" w:hAnsi="宋体" w:eastAsia="仿宋_GB2312" w:cs="宋体"/>
                <w:color w:val="000000"/>
                <w:kern w:val="0"/>
                <w:sz w:val="20"/>
                <w:szCs w:val="20"/>
              </w:rPr>
              <w:t>8</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xml:space="preserve">  对民间非营利组织和群众性自治组织补贴</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jc w:val="righ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noWrap w:val="0"/>
            <w:vAlign w:val="center"/>
          </w:tcPr>
          <w:p>
            <w:pPr>
              <w:widowControl/>
              <w:spacing w:line="300" w:lineRule="exact"/>
              <w:jc w:val="right"/>
              <w:rPr>
                <w:rFonts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3990</w:t>
            </w:r>
            <w:r>
              <w:rPr>
                <w:rFonts w:ascii="仿宋_GB2312" w:hAnsi="宋体" w:eastAsia="仿宋_GB2312" w:cs="宋体"/>
                <w:color w:val="000000"/>
                <w:kern w:val="0"/>
                <w:sz w:val="20"/>
                <w:szCs w:val="20"/>
              </w:rPr>
              <w:t>9</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xml:space="preserve">  经常性赠与</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w:t>
            </w:r>
            <w:r>
              <w:rPr>
                <w:rFonts w:ascii="仿宋_GB2312" w:hAnsi="宋体" w:eastAsia="仿宋_GB2312" w:cs="宋体"/>
                <w:color w:val="000000"/>
                <w:kern w:val="0"/>
                <w:sz w:val="20"/>
                <w:szCs w:val="20"/>
              </w:rPr>
              <w:t>10</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xml:space="preserve">  资本性赠与</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847"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138"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noWrap w:val="0"/>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noWrap w:val="0"/>
            <w:vAlign w:val="center"/>
          </w:tcPr>
          <w:p>
            <w:pPr>
              <w:widowControl/>
              <w:spacing w:line="300" w:lineRule="exact"/>
              <w:jc w:val="right"/>
              <w:rPr>
                <w:rFonts w:hint="eastAsia"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w:t>
            </w:r>
            <w:r>
              <w:rPr>
                <w:rFonts w:ascii="仿宋_GB2312" w:hAnsi="宋体" w:eastAsia="仿宋_GB2312" w:cs="宋体"/>
                <w:color w:val="000000"/>
                <w:kern w:val="0"/>
                <w:sz w:val="20"/>
                <w:szCs w:val="20"/>
              </w:rPr>
              <w:t>9999</w:t>
            </w:r>
          </w:p>
        </w:tc>
        <w:tc>
          <w:tcPr>
            <w:tcW w:w="2551" w:type="dxa"/>
            <w:tcBorders>
              <w:top w:val="nil"/>
              <w:left w:val="nil"/>
              <w:bottom w:val="single" w:color="auto" w:sz="4" w:space="0"/>
              <w:right w:val="single" w:color="auto" w:sz="4" w:space="0"/>
            </w:tcBorders>
            <w:noWrap w:val="0"/>
            <w:vAlign w:val="center"/>
          </w:tcPr>
          <w:p>
            <w:pPr>
              <w:widowControl/>
              <w:spacing w:line="300" w:lineRule="exact"/>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xml:space="preserve">  其他支出</w:t>
            </w:r>
          </w:p>
        </w:tc>
        <w:tc>
          <w:tcPr>
            <w:tcW w:w="881" w:type="dxa"/>
            <w:tcBorders>
              <w:top w:val="nil"/>
              <w:left w:val="nil"/>
              <w:bottom w:val="single" w:color="auto" w:sz="4" w:space="0"/>
              <w:right w:val="single" w:color="auto" w:sz="8" w:space="0"/>
            </w:tcBorders>
            <w:noWrap w:val="0"/>
            <w:vAlign w:val="center"/>
          </w:tcPr>
          <w:p>
            <w:pPr>
              <w:widowControl/>
              <w:spacing w:line="300" w:lineRule="exact"/>
              <w:jc w:val="center"/>
              <w:rPr>
                <w:rFonts w:hint="eastAsia"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4031" w:type="dxa"/>
            <w:gridSpan w:val="2"/>
            <w:tcBorders>
              <w:top w:val="single" w:color="auto" w:sz="4" w:space="0"/>
              <w:left w:val="single" w:color="auto" w:sz="8" w:space="0"/>
              <w:bottom w:val="single" w:color="auto" w:sz="8" w:space="0"/>
              <w:right w:val="single" w:color="auto" w:sz="4" w:space="0"/>
            </w:tcBorders>
            <w:noWrap w:val="0"/>
            <w:vAlign w:val="center"/>
          </w:tcPr>
          <w:p>
            <w:pPr>
              <w:widowControl/>
              <w:spacing w:line="300" w:lineRule="exact"/>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人员经费合计</w:t>
            </w:r>
          </w:p>
        </w:tc>
        <w:tc>
          <w:tcPr>
            <w:tcW w:w="847" w:type="dxa"/>
            <w:tcBorders>
              <w:top w:val="nil"/>
              <w:left w:val="nil"/>
              <w:bottom w:val="single" w:color="auto" w:sz="8" w:space="0"/>
              <w:right w:val="single" w:color="auto" w:sz="4" w:space="0"/>
            </w:tcBorders>
            <w:noWrap w:val="0"/>
            <w:vAlign w:val="center"/>
          </w:tcPr>
          <w:p>
            <w:pPr>
              <w:widowControl/>
              <w:spacing w:line="300" w:lineRule="exact"/>
              <w:jc w:val="center"/>
              <w:rPr>
                <w:rFonts w:ascii="仿宋_GB2312" w:hAnsi="宋体" w:eastAsia="仿宋_GB2312" w:cs="宋体"/>
                <w:b/>
                <w:bCs/>
                <w:color w:val="000000"/>
                <w:kern w:val="0"/>
                <w:sz w:val="20"/>
                <w:szCs w:val="20"/>
              </w:rPr>
            </w:pPr>
            <w:r>
              <w:rPr>
                <w:rFonts w:ascii="仿宋_GB2312" w:hAnsi="宋体" w:eastAsia="仿宋_GB2312" w:cs="宋体"/>
                <w:b/>
                <w:bCs/>
                <w:color w:val="000000"/>
                <w:kern w:val="0"/>
                <w:sz w:val="20"/>
                <w:szCs w:val="20"/>
              </w:rPr>
              <w:t>2139.41</w:t>
            </w:r>
          </w:p>
        </w:tc>
        <w:tc>
          <w:tcPr>
            <w:tcW w:w="7516" w:type="dxa"/>
            <w:gridSpan w:val="5"/>
            <w:tcBorders>
              <w:top w:val="single" w:color="auto" w:sz="4" w:space="0"/>
              <w:left w:val="nil"/>
              <w:bottom w:val="single" w:color="auto" w:sz="8" w:space="0"/>
              <w:right w:val="single" w:color="auto" w:sz="4" w:space="0"/>
            </w:tcBorders>
            <w:noWrap w:val="0"/>
            <w:vAlign w:val="center"/>
          </w:tcPr>
          <w:p>
            <w:pPr>
              <w:widowControl/>
              <w:spacing w:line="300" w:lineRule="exact"/>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公用经费合计</w:t>
            </w:r>
          </w:p>
        </w:tc>
        <w:tc>
          <w:tcPr>
            <w:tcW w:w="881" w:type="dxa"/>
            <w:tcBorders>
              <w:top w:val="nil"/>
              <w:left w:val="nil"/>
              <w:bottom w:val="single" w:color="auto" w:sz="8" w:space="0"/>
              <w:right w:val="single" w:color="auto" w:sz="8" w:space="0"/>
            </w:tcBorders>
            <w:noWrap w:val="0"/>
            <w:vAlign w:val="center"/>
          </w:tcPr>
          <w:p>
            <w:pPr>
              <w:widowControl/>
              <w:spacing w:line="300" w:lineRule="exact"/>
              <w:jc w:val="center"/>
              <w:rPr>
                <w:rFonts w:ascii="仿宋_GB2312" w:hAnsi="宋体" w:eastAsia="仿宋_GB2312" w:cs="宋体"/>
                <w:b/>
                <w:bCs/>
                <w:color w:val="000000"/>
                <w:kern w:val="0"/>
                <w:sz w:val="20"/>
                <w:szCs w:val="20"/>
              </w:rPr>
            </w:pPr>
            <w:r>
              <w:rPr>
                <w:rFonts w:ascii="仿宋_GB2312" w:hAnsi="宋体" w:eastAsia="仿宋_GB2312" w:cs="宋体"/>
                <w:b/>
                <w:bCs/>
                <w:color w:val="000000"/>
                <w:kern w:val="0"/>
                <w:sz w:val="20"/>
                <w:szCs w:val="20"/>
              </w:rPr>
              <w:t>2444.99</w:t>
            </w:r>
          </w:p>
        </w:tc>
      </w:tr>
    </w:tbl>
    <w:p>
      <w:pPr>
        <w:spacing w:line="400" w:lineRule="exact"/>
        <w:ind w:firstLine="108" w:firstLineChars="50"/>
        <w:jc w:val="left"/>
        <w:rPr>
          <w:rFonts w:hint="eastAsia"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本年度一般公共预算财政拨款基本支出明细情况。</w:t>
      </w:r>
    </w:p>
    <w:p>
      <w:pPr>
        <w:rPr>
          <w:rFonts w:hint="eastAsia"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hint="eastAsia" w:ascii="方正小标宋简体" w:eastAsia="方正小标宋简体"/>
          <w:sz w:val="44"/>
          <w:szCs w:val="44"/>
        </w:rPr>
      </w:pPr>
      <w:r>
        <w:rPr>
          <w:rFonts w:hint="eastAsia" w:ascii="方正小标宋简体" w:eastAsia="方正小标宋简体"/>
          <w:sz w:val="44"/>
          <w:szCs w:val="44"/>
        </w:rPr>
        <w:t>政府性基金预算财政拨款收入支出决算表</w:t>
      </w:r>
    </w:p>
    <w:p>
      <w:pPr>
        <w:spacing w:line="400" w:lineRule="exact"/>
        <w:jc w:val="right"/>
        <w:rPr>
          <w:rFonts w:hint="eastAsia" w:ascii="楷体_GB2312" w:eastAsia="楷体_GB2312"/>
          <w:sz w:val="28"/>
          <w:szCs w:val="28"/>
        </w:rPr>
      </w:pPr>
      <w:r>
        <w:rPr>
          <w:rFonts w:hint="eastAsia" w:ascii="楷体_GB2312" w:eastAsia="楷体_GB2312"/>
          <w:sz w:val="28"/>
          <w:szCs w:val="28"/>
        </w:rPr>
        <w:t>公开07表</w:t>
      </w:r>
    </w:p>
    <w:p>
      <w:pPr>
        <w:spacing w:line="400" w:lineRule="exact"/>
        <w:ind w:firstLine="138" w:firstLineChars="50"/>
        <w:jc w:val="right"/>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：青岛市即墨区温泉街道办事处                                                金额单位：万元</w:t>
      </w:r>
    </w:p>
    <w:tbl>
      <w:tblPr>
        <w:tblStyle w:val="4"/>
        <w:tblpPr w:leftFromText="180" w:rightFromText="180" w:vertAnchor="text" w:tblpXSpec="center" w:tblpY="1"/>
        <w:tblOverlap w:val="never"/>
        <w:tblW w:w="12987" w:type="dxa"/>
        <w:tblInd w:w="0" w:type="dxa"/>
        <w:tblLayout w:type="fixed"/>
        <w:tblCellMar>
          <w:top w:w="0" w:type="dxa"/>
          <w:left w:w="108" w:type="dxa"/>
          <w:bottom w:w="0" w:type="dxa"/>
          <w:right w:w="108" w:type="dxa"/>
        </w:tblCellMar>
      </w:tblPr>
      <w:tblGrid>
        <w:gridCol w:w="1372"/>
        <w:gridCol w:w="56"/>
        <w:gridCol w:w="2791"/>
        <w:gridCol w:w="1134"/>
        <w:gridCol w:w="1707"/>
        <w:gridCol w:w="1708"/>
        <w:gridCol w:w="1404"/>
        <w:gridCol w:w="1708"/>
        <w:gridCol w:w="1107"/>
      </w:tblGrid>
      <w:tr>
        <w:tblPrEx>
          <w:tblCellMar>
            <w:top w:w="0" w:type="dxa"/>
            <w:left w:w="108" w:type="dxa"/>
            <w:bottom w:w="0" w:type="dxa"/>
            <w:right w:w="108" w:type="dxa"/>
          </w:tblCellMar>
        </w:tblPrEx>
        <w:trPr>
          <w:trHeight w:val="453" w:hRule="atLeast"/>
        </w:trPr>
        <w:tc>
          <w:tcPr>
            <w:tcW w:w="421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1134" w:type="dxa"/>
            <w:vMerge w:val="restart"/>
            <w:tcBorders>
              <w:top w:val="single" w:color="auto" w:sz="4" w:space="0"/>
              <w:left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年初结转和结余</w:t>
            </w:r>
          </w:p>
        </w:tc>
        <w:tc>
          <w:tcPr>
            <w:tcW w:w="1707" w:type="dxa"/>
            <w:vMerge w:val="restart"/>
            <w:tcBorders>
              <w:top w:val="single" w:color="auto" w:sz="4" w:space="0"/>
              <w:left w:val="nil"/>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本年收入</w:t>
            </w:r>
          </w:p>
        </w:tc>
        <w:tc>
          <w:tcPr>
            <w:tcW w:w="4820" w:type="dxa"/>
            <w:gridSpan w:val="3"/>
            <w:tcBorders>
              <w:top w:val="single" w:color="auto" w:sz="4" w:space="0"/>
              <w:left w:val="nil"/>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w:t>
            </w:r>
          </w:p>
        </w:tc>
        <w:tc>
          <w:tcPr>
            <w:tcW w:w="1107" w:type="dxa"/>
            <w:vMerge w:val="restart"/>
            <w:tcBorders>
              <w:top w:val="single" w:color="auto" w:sz="4" w:space="0"/>
              <w:left w:val="nil"/>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年末结转和结余</w:t>
            </w:r>
          </w:p>
        </w:tc>
      </w:tr>
      <w:tr>
        <w:tblPrEx>
          <w:tblCellMar>
            <w:top w:w="0" w:type="dxa"/>
            <w:left w:w="108" w:type="dxa"/>
            <w:bottom w:w="0" w:type="dxa"/>
            <w:right w:w="108" w:type="dxa"/>
          </w:tblCellMar>
        </w:tblPrEx>
        <w:trPr>
          <w:trHeight w:val="599" w:hRule="atLeast"/>
        </w:trPr>
        <w:tc>
          <w:tcPr>
            <w:tcW w:w="1428"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科目编码</w:t>
            </w:r>
          </w:p>
        </w:tc>
        <w:tc>
          <w:tcPr>
            <w:tcW w:w="2791"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1134" w:type="dxa"/>
            <w:vMerge w:val="continue"/>
            <w:tcBorders>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707" w:type="dxa"/>
            <w:vMerge w:val="continue"/>
            <w:tcBorders>
              <w:left w:val="nil"/>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p>
        </w:tc>
        <w:tc>
          <w:tcPr>
            <w:tcW w:w="1708"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140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1708"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c>
          <w:tcPr>
            <w:tcW w:w="1107" w:type="dxa"/>
            <w:vMerge w:val="continue"/>
            <w:tcBorders>
              <w:left w:val="nil"/>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atLeast"/>
        </w:trPr>
        <w:tc>
          <w:tcPr>
            <w:tcW w:w="421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1134"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707"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70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404"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70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107"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r>
      <w:tr>
        <w:tblPrEx>
          <w:tblCellMar>
            <w:top w:w="0" w:type="dxa"/>
            <w:left w:w="108" w:type="dxa"/>
            <w:bottom w:w="0" w:type="dxa"/>
            <w:right w:w="108" w:type="dxa"/>
          </w:tblCellMar>
        </w:tblPrEx>
        <w:trPr>
          <w:trHeight w:val="454" w:hRule="atLeast"/>
        </w:trPr>
        <w:tc>
          <w:tcPr>
            <w:tcW w:w="421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1134" w:type="dxa"/>
            <w:tcBorders>
              <w:top w:val="nil"/>
              <w:left w:val="nil"/>
              <w:bottom w:val="single" w:color="auto" w:sz="4" w:space="0"/>
              <w:right w:val="single" w:color="auto" w:sz="4" w:space="0"/>
            </w:tcBorders>
            <w:noWrap w:val="0"/>
            <w:vAlign w:val="center"/>
          </w:tcPr>
          <w:p>
            <w:pPr>
              <w:widowControl/>
              <w:spacing w:line="300" w:lineRule="exact"/>
              <w:ind w:left="32" w:hanging="33" w:hangingChars="15"/>
              <w:jc w:val="center"/>
              <w:rPr>
                <w:rFonts w:hint="eastAsia"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ascii="仿宋_GB2312" w:hAnsi="宋体" w:eastAsia="仿宋_GB2312" w:cs="宋体"/>
                <w:kern w:val="0"/>
                <w:sz w:val="22"/>
                <w:szCs w:val="22"/>
              </w:rPr>
              <w:t>108273.18</w:t>
            </w:r>
          </w:p>
        </w:tc>
        <w:tc>
          <w:tcPr>
            <w:tcW w:w="170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ascii="仿宋_GB2312" w:hAnsi="宋体" w:eastAsia="仿宋_GB2312" w:cs="宋体"/>
                <w:kern w:val="0"/>
                <w:sz w:val="22"/>
                <w:szCs w:val="22"/>
              </w:rPr>
              <w:t>108273.18</w:t>
            </w:r>
          </w:p>
        </w:tc>
        <w:tc>
          <w:tcPr>
            <w:tcW w:w="1404"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170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ascii="仿宋_GB2312" w:hAnsi="宋体" w:eastAsia="仿宋_GB2312" w:cs="宋体"/>
                <w:kern w:val="0"/>
                <w:sz w:val="22"/>
                <w:szCs w:val="22"/>
              </w:rPr>
              <w:t>108273.18</w:t>
            </w:r>
          </w:p>
        </w:tc>
        <w:tc>
          <w:tcPr>
            <w:tcW w:w="1107"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atLeast"/>
        </w:trPr>
        <w:tc>
          <w:tcPr>
            <w:tcW w:w="1372"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212</w:t>
            </w:r>
          </w:p>
        </w:tc>
        <w:tc>
          <w:tcPr>
            <w:tcW w:w="2847" w:type="dxa"/>
            <w:gridSpan w:val="2"/>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城乡社区支出</w:t>
            </w:r>
          </w:p>
        </w:tc>
        <w:tc>
          <w:tcPr>
            <w:tcW w:w="1134"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ascii="仿宋_GB2312" w:hAnsi="宋体" w:eastAsia="仿宋_GB2312" w:cs="宋体"/>
                <w:kern w:val="0"/>
                <w:sz w:val="22"/>
                <w:szCs w:val="22"/>
              </w:rPr>
              <w:t>108273.18</w:t>
            </w:r>
          </w:p>
        </w:tc>
        <w:tc>
          <w:tcPr>
            <w:tcW w:w="1708" w:type="dxa"/>
            <w:tcBorders>
              <w:top w:val="nil"/>
              <w:left w:val="nil"/>
              <w:bottom w:val="single" w:color="auto" w:sz="4" w:space="0"/>
              <w:right w:val="single" w:color="auto" w:sz="4" w:space="0"/>
            </w:tcBorders>
            <w:noWrap w:val="0"/>
            <w:vAlign w:val="center"/>
          </w:tcPr>
          <w:p>
            <w:pPr>
              <w:spacing w:line="300" w:lineRule="exact"/>
              <w:jc w:val="center"/>
              <w:rPr>
                <w:rFonts w:hint="eastAsia" w:ascii="仿宋_GB2312" w:hAnsi="宋体" w:eastAsia="仿宋_GB2312" w:cs="宋体"/>
                <w:kern w:val="0"/>
                <w:sz w:val="22"/>
                <w:szCs w:val="22"/>
              </w:rPr>
            </w:pPr>
            <w:r>
              <w:rPr>
                <w:rFonts w:ascii="仿宋_GB2312" w:hAnsi="宋体" w:eastAsia="仿宋_GB2312" w:cs="宋体"/>
                <w:kern w:val="0"/>
                <w:sz w:val="22"/>
                <w:szCs w:val="22"/>
              </w:rPr>
              <w:t>108273.18</w:t>
            </w:r>
            <w:r>
              <w:rPr>
                <w:rFonts w:hint="eastAsia" w:ascii="仿宋_GB2312" w:hAnsi="宋体" w:eastAsia="仿宋_GB2312" w:cs="宋体"/>
                <w:kern w:val="0"/>
                <w:sz w:val="22"/>
                <w:szCs w:val="22"/>
              </w:rPr>
              <w:t>　</w:t>
            </w:r>
          </w:p>
        </w:tc>
        <w:tc>
          <w:tcPr>
            <w:tcW w:w="1404"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0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ascii="仿宋_GB2312" w:hAnsi="宋体" w:eastAsia="仿宋_GB2312" w:cs="宋体"/>
                <w:kern w:val="0"/>
                <w:sz w:val="22"/>
                <w:szCs w:val="22"/>
              </w:rPr>
              <w:t>108273.18</w:t>
            </w:r>
          </w:p>
        </w:tc>
        <w:tc>
          <w:tcPr>
            <w:tcW w:w="1107" w:type="dxa"/>
            <w:tcBorders>
              <w:top w:val="nil"/>
              <w:left w:val="nil"/>
              <w:bottom w:val="single" w:color="auto" w:sz="4" w:space="0"/>
              <w:right w:val="single" w:color="auto" w:sz="4" w:space="0"/>
            </w:tcBorders>
            <w:noWrap w:val="0"/>
            <w:vAlign w:val="center"/>
          </w:tcPr>
          <w:p>
            <w:pPr>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atLeast"/>
        </w:trPr>
        <w:tc>
          <w:tcPr>
            <w:tcW w:w="1372"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21208</w:t>
            </w:r>
          </w:p>
        </w:tc>
        <w:tc>
          <w:tcPr>
            <w:tcW w:w="2847" w:type="dxa"/>
            <w:gridSpan w:val="2"/>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国有土地使用权出让收入安排的支出</w:t>
            </w:r>
          </w:p>
        </w:tc>
        <w:tc>
          <w:tcPr>
            <w:tcW w:w="1134"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273.18</w:t>
            </w:r>
          </w:p>
        </w:tc>
        <w:tc>
          <w:tcPr>
            <w:tcW w:w="1708"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273.18</w:t>
            </w:r>
          </w:p>
        </w:tc>
        <w:tc>
          <w:tcPr>
            <w:tcW w:w="1404"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08"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273.18</w:t>
            </w:r>
          </w:p>
        </w:tc>
        <w:tc>
          <w:tcPr>
            <w:tcW w:w="1107" w:type="dxa"/>
            <w:tcBorders>
              <w:top w:val="nil"/>
              <w:left w:val="nil"/>
              <w:bottom w:val="single" w:color="auto" w:sz="4" w:space="0"/>
              <w:right w:val="single" w:color="auto" w:sz="4" w:space="0"/>
            </w:tcBorders>
            <w:noWrap w:val="0"/>
            <w:vAlign w:val="center"/>
          </w:tcPr>
          <w:p>
            <w:pPr>
              <w:spacing w:line="300" w:lineRule="exact"/>
              <w:jc w:val="righ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atLeast"/>
        </w:trPr>
        <w:tc>
          <w:tcPr>
            <w:tcW w:w="1372"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2120803</w:t>
            </w:r>
          </w:p>
        </w:tc>
        <w:tc>
          <w:tcPr>
            <w:tcW w:w="2847" w:type="dxa"/>
            <w:gridSpan w:val="2"/>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城市建设支出</w:t>
            </w:r>
          </w:p>
        </w:tc>
        <w:tc>
          <w:tcPr>
            <w:tcW w:w="1134"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233.3</w:t>
            </w:r>
          </w:p>
        </w:tc>
        <w:tc>
          <w:tcPr>
            <w:tcW w:w="1708"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233.3</w:t>
            </w:r>
          </w:p>
        </w:tc>
        <w:tc>
          <w:tcPr>
            <w:tcW w:w="1404"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08"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233.3</w:t>
            </w:r>
          </w:p>
        </w:tc>
        <w:tc>
          <w:tcPr>
            <w:tcW w:w="1107" w:type="dxa"/>
            <w:tcBorders>
              <w:top w:val="nil"/>
              <w:left w:val="nil"/>
              <w:bottom w:val="single" w:color="auto" w:sz="4" w:space="0"/>
              <w:right w:val="single" w:color="auto" w:sz="4" w:space="0"/>
            </w:tcBorders>
            <w:noWrap w:val="0"/>
            <w:vAlign w:val="center"/>
          </w:tcPr>
          <w:p>
            <w:pPr>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atLeast"/>
        </w:trPr>
        <w:tc>
          <w:tcPr>
            <w:tcW w:w="1372"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2120804</w:t>
            </w:r>
          </w:p>
        </w:tc>
        <w:tc>
          <w:tcPr>
            <w:tcW w:w="2847" w:type="dxa"/>
            <w:gridSpan w:val="2"/>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农村基础设施建设支出</w:t>
            </w:r>
          </w:p>
        </w:tc>
        <w:tc>
          <w:tcPr>
            <w:tcW w:w="1134"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39.88</w:t>
            </w:r>
          </w:p>
        </w:tc>
        <w:tc>
          <w:tcPr>
            <w:tcW w:w="1708"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39.88</w:t>
            </w:r>
          </w:p>
        </w:tc>
        <w:tc>
          <w:tcPr>
            <w:tcW w:w="1404"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08"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39.88</w:t>
            </w:r>
          </w:p>
        </w:tc>
        <w:tc>
          <w:tcPr>
            <w:tcW w:w="1107" w:type="dxa"/>
            <w:tcBorders>
              <w:top w:val="nil"/>
              <w:left w:val="nil"/>
              <w:bottom w:val="single" w:color="auto" w:sz="4" w:space="0"/>
              <w:right w:val="single" w:color="auto" w:sz="4" w:space="0"/>
            </w:tcBorders>
            <w:noWrap w:val="0"/>
            <w:vAlign w:val="center"/>
          </w:tcPr>
          <w:p>
            <w:pPr>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atLeast"/>
        </w:trPr>
        <w:tc>
          <w:tcPr>
            <w:tcW w:w="1372"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21216</w:t>
            </w:r>
          </w:p>
        </w:tc>
        <w:tc>
          <w:tcPr>
            <w:tcW w:w="2847" w:type="dxa"/>
            <w:gridSpan w:val="2"/>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棚户区改造专项债券收入安排的支出</w:t>
            </w:r>
          </w:p>
        </w:tc>
        <w:tc>
          <w:tcPr>
            <w:tcW w:w="1134"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108,000.00</w:t>
            </w:r>
          </w:p>
        </w:tc>
        <w:tc>
          <w:tcPr>
            <w:tcW w:w="1708"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108,000.00</w:t>
            </w:r>
          </w:p>
        </w:tc>
        <w:tc>
          <w:tcPr>
            <w:tcW w:w="1404"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08"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108,000.00</w:t>
            </w:r>
          </w:p>
        </w:tc>
        <w:tc>
          <w:tcPr>
            <w:tcW w:w="1107" w:type="dxa"/>
            <w:tcBorders>
              <w:top w:val="nil"/>
              <w:left w:val="nil"/>
              <w:bottom w:val="single" w:color="auto" w:sz="4" w:space="0"/>
              <w:right w:val="single" w:color="auto" w:sz="4" w:space="0"/>
            </w:tcBorders>
            <w:noWrap w:val="0"/>
            <w:vAlign w:val="center"/>
          </w:tcPr>
          <w:p>
            <w:pPr>
              <w:spacing w:line="300" w:lineRule="exact"/>
              <w:jc w:val="righ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atLeast"/>
        </w:trPr>
        <w:tc>
          <w:tcPr>
            <w:tcW w:w="1372" w:type="dxa"/>
            <w:tcBorders>
              <w:top w:val="nil"/>
              <w:left w:val="single" w:color="auto" w:sz="4" w:space="0"/>
              <w:bottom w:val="single" w:color="auto" w:sz="4" w:space="0"/>
              <w:right w:val="single" w:color="auto" w:sz="4" w:space="0"/>
            </w:tcBorders>
            <w:noWrap w:val="0"/>
            <w:vAlign w:val="center"/>
          </w:tcPr>
          <w:p>
            <w:pPr>
              <w:rPr>
                <w:rFonts w:ascii="仿宋_GB2312" w:hAnsi="宋体" w:eastAsia="仿宋_GB2312" w:cs="宋体"/>
                <w:kern w:val="0"/>
                <w:sz w:val="22"/>
                <w:szCs w:val="22"/>
              </w:rPr>
            </w:pPr>
            <w:r>
              <w:rPr>
                <w:rFonts w:hint="eastAsia" w:ascii="仿宋_GB2312" w:hAnsi="宋体" w:eastAsia="仿宋_GB2312" w:cs="宋体"/>
                <w:kern w:val="0"/>
                <w:sz w:val="22"/>
                <w:szCs w:val="22"/>
              </w:rPr>
              <w:t>2121699</w:t>
            </w:r>
          </w:p>
        </w:tc>
        <w:tc>
          <w:tcPr>
            <w:tcW w:w="2847" w:type="dxa"/>
            <w:gridSpan w:val="2"/>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其他棚户区改造专项债券收入安排的支出</w:t>
            </w:r>
          </w:p>
        </w:tc>
        <w:tc>
          <w:tcPr>
            <w:tcW w:w="1134"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108,000.00</w:t>
            </w:r>
          </w:p>
        </w:tc>
        <w:tc>
          <w:tcPr>
            <w:tcW w:w="1708"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108,000.00</w:t>
            </w:r>
          </w:p>
        </w:tc>
        <w:tc>
          <w:tcPr>
            <w:tcW w:w="1404"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08"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108,000.00</w:t>
            </w:r>
          </w:p>
        </w:tc>
        <w:tc>
          <w:tcPr>
            <w:tcW w:w="1107" w:type="dxa"/>
            <w:tcBorders>
              <w:top w:val="nil"/>
              <w:left w:val="nil"/>
              <w:bottom w:val="single" w:color="auto" w:sz="4" w:space="0"/>
              <w:right w:val="single" w:color="auto" w:sz="4" w:space="0"/>
            </w:tcBorders>
            <w:noWrap w:val="0"/>
            <w:vAlign w:val="center"/>
          </w:tcPr>
          <w:p>
            <w:pPr>
              <w:spacing w:line="300" w:lineRule="exact"/>
              <w:jc w:val="right"/>
              <w:rPr>
                <w:rFonts w:hint="eastAsia" w:ascii="仿宋_GB2312" w:hAnsi="宋体" w:eastAsia="仿宋_GB2312" w:cs="宋体"/>
                <w:kern w:val="0"/>
                <w:sz w:val="22"/>
                <w:szCs w:val="22"/>
              </w:rPr>
            </w:pPr>
          </w:p>
        </w:tc>
      </w:tr>
    </w:tbl>
    <w:p>
      <w:pPr>
        <w:ind w:firstLine="108" w:firstLineChars="50"/>
        <w:rPr>
          <w:rFonts w:hint="eastAsia"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本年度政府性基金预算财政拨款收入、支出及结转和结余情况。</w:t>
      </w:r>
    </w:p>
    <w:p>
      <w:pPr>
        <w:rPr>
          <w:rFonts w:hint="eastAsia"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hint="eastAsia" w:ascii="方正小标宋简体" w:eastAsia="方正小标宋简体"/>
          <w:sz w:val="44"/>
          <w:szCs w:val="44"/>
        </w:rPr>
      </w:pPr>
      <w:r>
        <w:rPr>
          <w:rFonts w:hint="eastAsia" w:ascii="方正小标宋简体" w:eastAsia="方正小标宋简体"/>
          <w:sz w:val="44"/>
          <w:szCs w:val="44"/>
        </w:rPr>
        <w:t>国有资本经营预算财政拨款支出决算表</w:t>
      </w:r>
    </w:p>
    <w:p>
      <w:pPr>
        <w:spacing w:line="400" w:lineRule="exact"/>
        <w:jc w:val="right"/>
        <w:rPr>
          <w:rFonts w:hint="eastAsia" w:ascii="楷体_GB2312" w:eastAsia="楷体_GB2312"/>
          <w:sz w:val="28"/>
          <w:szCs w:val="28"/>
        </w:rPr>
      </w:pPr>
      <w:r>
        <w:rPr>
          <w:rFonts w:hint="eastAsia" w:ascii="楷体_GB2312" w:eastAsia="楷体_GB2312"/>
          <w:sz w:val="28"/>
          <w:szCs w:val="28"/>
        </w:rPr>
        <w:t>公开08表</w:t>
      </w:r>
    </w:p>
    <w:p>
      <w:pPr>
        <w:wordWrap w:val="0"/>
        <w:spacing w:line="400" w:lineRule="exact"/>
        <w:ind w:firstLine="138" w:firstLineChars="50"/>
        <w:jc w:val="right"/>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 xml:space="preserve">：青岛市即墨区温泉街道办事处                           </w:t>
      </w:r>
      <w:r>
        <w:rPr>
          <w:rFonts w:ascii="楷体_GB2312" w:eastAsia="楷体_GB2312"/>
          <w:sz w:val="28"/>
          <w:szCs w:val="28"/>
        </w:rPr>
        <w:t xml:space="preserve">  </w:t>
      </w:r>
      <w:r>
        <w:rPr>
          <w:rFonts w:hint="eastAsia" w:ascii="楷体_GB2312" w:eastAsia="楷体_GB2312"/>
          <w:sz w:val="28"/>
          <w:szCs w:val="28"/>
        </w:rPr>
        <w:t xml:space="preserve">                 金额单位：万元</w:t>
      </w:r>
    </w:p>
    <w:tbl>
      <w:tblPr>
        <w:tblStyle w:val="4"/>
        <w:tblW w:w="0" w:type="auto"/>
        <w:jc w:val="center"/>
        <w:tblLayout w:type="fixed"/>
        <w:tblCellMar>
          <w:top w:w="0" w:type="dxa"/>
          <w:left w:w="108" w:type="dxa"/>
          <w:bottom w:w="0" w:type="dxa"/>
          <w:right w:w="108" w:type="dxa"/>
        </w:tblCellMar>
      </w:tblPr>
      <w:tblGrid>
        <w:gridCol w:w="1701"/>
        <w:gridCol w:w="3170"/>
        <w:gridCol w:w="2783"/>
        <w:gridCol w:w="2978"/>
        <w:gridCol w:w="2520"/>
      </w:tblGrid>
      <w:tr>
        <w:tblPrEx>
          <w:tblCellMar>
            <w:top w:w="0" w:type="dxa"/>
            <w:left w:w="108" w:type="dxa"/>
            <w:bottom w:w="0" w:type="dxa"/>
            <w:right w:w="108" w:type="dxa"/>
          </w:tblCellMar>
        </w:tblPrEx>
        <w:trPr>
          <w:trHeight w:val="428" w:hRule="atLeast"/>
          <w:jc w:val="center"/>
        </w:trPr>
        <w:tc>
          <w:tcPr>
            <w:tcW w:w="487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8281"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本年支出</w:t>
            </w:r>
          </w:p>
        </w:tc>
      </w:tr>
      <w:tr>
        <w:tblPrEx>
          <w:tblCellMar>
            <w:top w:w="0" w:type="dxa"/>
            <w:left w:w="108" w:type="dxa"/>
            <w:bottom w:w="0" w:type="dxa"/>
            <w:right w:w="108" w:type="dxa"/>
          </w:tblCellMar>
        </w:tblPrEx>
        <w:trPr>
          <w:trHeight w:val="675" w:hRule="exact"/>
          <w:jc w:val="center"/>
        </w:trPr>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科目编码</w:t>
            </w:r>
          </w:p>
        </w:tc>
        <w:tc>
          <w:tcPr>
            <w:tcW w:w="317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278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297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252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项目支出</w:t>
            </w:r>
          </w:p>
        </w:tc>
      </w:tr>
      <w:tr>
        <w:tblPrEx>
          <w:tblCellMar>
            <w:top w:w="0" w:type="dxa"/>
            <w:left w:w="108" w:type="dxa"/>
            <w:bottom w:w="0" w:type="dxa"/>
            <w:right w:w="108" w:type="dxa"/>
          </w:tblCellMar>
        </w:tblPrEx>
        <w:trPr>
          <w:trHeight w:val="454" w:hRule="exact"/>
          <w:jc w:val="center"/>
        </w:trPr>
        <w:tc>
          <w:tcPr>
            <w:tcW w:w="487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2783"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297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r>
      <w:tr>
        <w:tblPrEx>
          <w:tblCellMar>
            <w:top w:w="0" w:type="dxa"/>
            <w:left w:w="108" w:type="dxa"/>
            <w:bottom w:w="0" w:type="dxa"/>
            <w:right w:w="108" w:type="dxa"/>
          </w:tblCellMar>
        </w:tblPrEx>
        <w:trPr>
          <w:trHeight w:val="454" w:hRule="exact"/>
          <w:jc w:val="center"/>
        </w:trPr>
        <w:tc>
          <w:tcPr>
            <w:tcW w:w="487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2783"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297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c>
          <w:tcPr>
            <w:tcW w:w="2520"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317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single" w:color="auto" w:sz="4" w:space="0"/>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317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2783"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2978"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bl>
    <w:p>
      <w:pPr>
        <w:spacing w:line="400" w:lineRule="exact"/>
        <w:ind w:firstLine="108" w:firstLineChars="50"/>
        <w:jc w:val="left"/>
        <w:rPr>
          <w:rFonts w:hint="eastAsia"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本年度国有资本经营预算财政拨款支出情况。</w:t>
      </w:r>
    </w:p>
    <w:p>
      <w:pPr>
        <w:spacing w:line="400" w:lineRule="exact"/>
        <w:jc w:val="left"/>
        <w:rPr>
          <w:rFonts w:ascii="仿宋_GB2312" w:hAnsi="宋体" w:eastAsia="仿宋_GB2312"/>
          <w:sz w:val="22"/>
          <w:szCs w:val="22"/>
        </w:rPr>
      </w:pPr>
    </w:p>
    <w:p>
      <w:pPr>
        <w:jc w:val="center"/>
        <w:rPr>
          <w:rFonts w:hint="eastAsia" w:ascii="方正小标宋简体" w:eastAsia="方正小标宋简体"/>
          <w:sz w:val="44"/>
          <w:szCs w:val="44"/>
        </w:rPr>
      </w:pPr>
      <w:r>
        <w:rPr>
          <w:rFonts w:hint="eastAsia" w:ascii="方正小标宋简体" w:eastAsia="方正小标宋简体"/>
          <w:sz w:val="44"/>
          <w:szCs w:val="44"/>
        </w:rPr>
        <w:t>财政拨款“三公”经费支出决算表</w:t>
      </w:r>
    </w:p>
    <w:p>
      <w:pPr>
        <w:wordWrap w:val="0"/>
        <w:spacing w:line="400" w:lineRule="exact"/>
        <w:jc w:val="right"/>
        <w:rPr>
          <w:rFonts w:hint="eastAsia" w:ascii="楷体_GB2312" w:eastAsia="楷体_GB2312"/>
          <w:sz w:val="28"/>
          <w:szCs w:val="28"/>
        </w:rPr>
      </w:pPr>
      <w:r>
        <w:rPr>
          <w:rFonts w:hint="eastAsia" w:ascii="方正小标宋简体" w:eastAsia="方正小标宋简体"/>
          <w:sz w:val="44"/>
          <w:szCs w:val="44"/>
        </w:rPr>
        <w:t>　</w:t>
      </w:r>
      <w:r>
        <w:rPr>
          <w:rFonts w:hint="eastAsia" w:ascii="楷体_GB2312" w:eastAsia="楷体_GB2312"/>
          <w:sz w:val="28"/>
          <w:szCs w:val="28"/>
        </w:rPr>
        <w:t xml:space="preserve">   </w:t>
      </w:r>
      <w:r>
        <w:rPr>
          <w:rFonts w:ascii="楷体_GB2312" w:eastAsia="楷体_GB2312"/>
          <w:sz w:val="28"/>
          <w:szCs w:val="28"/>
        </w:rPr>
        <w:t xml:space="preserve">          </w:t>
      </w:r>
      <w:r>
        <w:rPr>
          <w:rFonts w:hint="eastAsia" w:ascii="楷体_GB2312" w:eastAsia="楷体_GB2312"/>
          <w:sz w:val="28"/>
          <w:szCs w:val="28"/>
        </w:rPr>
        <w:t>公开09表</w:t>
      </w:r>
    </w:p>
    <w:p>
      <w:pPr>
        <w:spacing w:line="400" w:lineRule="exact"/>
        <w:ind w:firstLine="138" w:firstLineChars="50"/>
        <w:jc w:val="right"/>
        <w:rPr>
          <w:rFonts w:hint="eastAsia"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 xml:space="preserve">：青岛市即墨区温泉街道办事处                                </w:t>
      </w:r>
      <w:r>
        <w:rPr>
          <w:rFonts w:ascii="楷体_GB2312" w:eastAsia="楷体_GB2312"/>
          <w:sz w:val="28"/>
          <w:szCs w:val="28"/>
        </w:rPr>
        <w:t xml:space="preserve"> </w:t>
      </w:r>
      <w:r>
        <w:rPr>
          <w:rFonts w:hint="eastAsia" w:ascii="楷体_GB2312" w:eastAsia="楷体_GB2312"/>
          <w:sz w:val="28"/>
          <w:szCs w:val="28"/>
        </w:rPr>
        <w:t xml:space="preserve">                 金额单位：万元</w:t>
      </w:r>
    </w:p>
    <w:tbl>
      <w:tblPr>
        <w:tblStyle w:val="4"/>
        <w:tblW w:w="0" w:type="auto"/>
        <w:jc w:val="center"/>
        <w:tblLayout w:type="fixed"/>
        <w:tblCellMar>
          <w:top w:w="0" w:type="dxa"/>
          <w:left w:w="108" w:type="dxa"/>
          <w:bottom w:w="0" w:type="dxa"/>
          <w:right w:w="108" w:type="dxa"/>
        </w:tblCellMar>
      </w:tblPr>
      <w:tblGrid>
        <w:gridCol w:w="1179"/>
        <w:gridCol w:w="1195"/>
        <w:gridCol w:w="1180"/>
        <w:gridCol w:w="1180"/>
        <w:gridCol w:w="1272"/>
        <w:gridCol w:w="878"/>
        <w:gridCol w:w="1098"/>
        <w:gridCol w:w="1143"/>
        <w:gridCol w:w="851"/>
        <w:gridCol w:w="1132"/>
        <w:gridCol w:w="1164"/>
        <w:gridCol w:w="984"/>
      </w:tblGrid>
      <w:tr>
        <w:tblPrEx>
          <w:tblCellMar>
            <w:top w:w="0" w:type="dxa"/>
            <w:left w:w="108" w:type="dxa"/>
            <w:bottom w:w="0" w:type="dxa"/>
            <w:right w:w="108" w:type="dxa"/>
          </w:tblCellMar>
        </w:tblPrEx>
        <w:trPr>
          <w:trHeight w:val="862" w:hRule="atLeast"/>
          <w:jc w:val="center"/>
        </w:trPr>
        <w:tc>
          <w:tcPr>
            <w:tcW w:w="6884" w:type="dxa"/>
            <w:gridSpan w:val="6"/>
            <w:tcBorders>
              <w:top w:val="single" w:color="auto" w:sz="8" w:space="0"/>
              <w:left w:val="single" w:color="auto" w:sz="8" w:space="0"/>
              <w:bottom w:val="single" w:color="auto" w:sz="4"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预 算 数</w:t>
            </w:r>
          </w:p>
        </w:tc>
        <w:tc>
          <w:tcPr>
            <w:tcW w:w="6372" w:type="dxa"/>
            <w:gridSpan w:val="6"/>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决 算 数　</w:t>
            </w:r>
          </w:p>
        </w:tc>
      </w:tr>
      <w:tr>
        <w:tblPrEx>
          <w:tblCellMar>
            <w:top w:w="0" w:type="dxa"/>
            <w:left w:w="108" w:type="dxa"/>
            <w:bottom w:w="0" w:type="dxa"/>
            <w:right w:w="108" w:type="dxa"/>
          </w:tblCellMar>
        </w:tblPrEx>
        <w:trPr>
          <w:trHeight w:val="862" w:hRule="atLeast"/>
          <w:jc w:val="center"/>
        </w:trPr>
        <w:tc>
          <w:tcPr>
            <w:tcW w:w="1179" w:type="dxa"/>
            <w:vMerge w:val="restart"/>
            <w:tcBorders>
              <w:top w:val="nil"/>
              <w:left w:val="single" w:color="auto" w:sz="8"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合计</w:t>
            </w:r>
          </w:p>
        </w:tc>
        <w:tc>
          <w:tcPr>
            <w:tcW w:w="1195"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因公出国（境）费</w:t>
            </w:r>
          </w:p>
        </w:tc>
        <w:tc>
          <w:tcPr>
            <w:tcW w:w="3632" w:type="dxa"/>
            <w:gridSpan w:val="3"/>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公务用车购置及运行维护费</w:t>
            </w:r>
          </w:p>
        </w:tc>
        <w:tc>
          <w:tcPr>
            <w:tcW w:w="878" w:type="dxa"/>
            <w:vMerge w:val="restart"/>
            <w:tcBorders>
              <w:top w:val="nil"/>
              <w:left w:val="single" w:color="auto" w:sz="4" w:space="0"/>
              <w:bottom w:val="single" w:color="auto" w:sz="4"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w:t>
            </w:r>
          </w:p>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接待费</w:t>
            </w:r>
          </w:p>
        </w:tc>
        <w:tc>
          <w:tcPr>
            <w:tcW w:w="1098" w:type="dxa"/>
            <w:vMerge w:val="restart"/>
            <w:tcBorders>
              <w:top w:val="single" w:color="000000" w:sz="8" w:space="0"/>
              <w:left w:val="single" w:color="000000" w:sz="8" w:space="0"/>
              <w:bottom w:val="single" w:color="000000" w:sz="8" w:space="0"/>
              <w:right w:val="single" w:color="000000" w:sz="8" w:space="0"/>
            </w:tcBorders>
            <w:noWrap w:val="0"/>
            <w:vAlign w:val="center"/>
          </w:tcPr>
          <w:p>
            <w:pPr>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合计</w:t>
            </w:r>
          </w:p>
        </w:tc>
        <w:tc>
          <w:tcPr>
            <w:tcW w:w="1143" w:type="dxa"/>
            <w:vMerge w:val="restart"/>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因公出国（境）费</w:t>
            </w:r>
          </w:p>
        </w:tc>
        <w:tc>
          <w:tcPr>
            <w:tcW w:w="3147" w:type="dxa"/>
            <w:gridSpan w:val="3"/>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公务用车购置及运行维护费</w:t>
            </w:r>
          </w:p>
        </w:tc>
        <w:tc>
          <w:tcPr>
            <w:tcW w:w="984" w:type="dxa"/>
            <w:vMerge w:val="restart"/>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w:t>
            </w:r>
          </w:p>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接待费</w:t>
            </w:r>
          </w:p>
        </w:tc>
      </w:tr>
      <w:tr>
        <w:tblPrEx>
          <w:tblCellMar>
            <w:top w:w="0" w:type="dxa"/>
            <w:left w:w="108" w:type="dxa"/>
            <w:bottom w:w="0" w:type="dxa"/>
            <w:right w:w="108" w:type="dxa"/>
          </w:tblCellMar>
        </w:tblPrEx>
        <w:trPr>
          <w:trHeight w:val="862" w:hRule="atLeast"/>
          <w:jc w:val="center"/>
        </w:trPr>
        <w:tc>
          <w:tcPr>
            <w:tcW w:w="1179" w:type="dxa"/>
            <w:vMerge w:val="continue"/>
            <w:tcBorders>
              <w:top w:val="nil"/>
              <w:left w:val="single" w:color="auto" w:sz="8"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195"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180"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1180"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公务用车购置费</w:t>
            </w:r>
          </w:p>
        </w:tc>
        <w:tc>
          <w:tcPr>
            <w:tcW w:w="1272"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公务用车运行维护费</w:t>
            </w:r>
          </w:p>
        </w:tc>
        <w:tc>
          <w:tcPr>
            <w:tcW w:w="878" w:type="dxa"/>
            <w:vMerge w:val="continue"/>
            <w:tcBorders>
              <w:top w:val="nil"/>
              <w:left w:val="single" w:color="auto" w:sz="4" w:space="0"/>
              <w:bottom w:val="single" w:color="auto" w:sz="4" w:space="0"/>
              <w:right w:val="single" w:color="000000" w:sz="8"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1098" w:type="dxa"/>
            <w:vMerge w:val="continue"/>
            <w:tcBorders>
              <w:top w:val="single" w:color="000000" w:sz="8" w:space="0"/>
              <w:left w:val="single" w:color="000000" w:sz="8" w:space="0"/>
              <w:bottom w:val="single" w:color="000000" w:sz="8" w:space="0"/>
              <w:right w:val="single" w:color="000000" w:sz="8" w:space="0"/>
            </w:tcBorders>
            <w:noWrap w:val="0"/>
            <w:vAlign w:val="center"/>
          </w:tcPr>
          <w:p>
            <w:pPr>
              <w:spacing w:line="300" w:lineRule="exact"/>
              <w:jc w:val="left"/>
              <w:rPr>
                <w:rFonts w:hint="eastAsia" w:ascii="仿宋_GB2312" w:hAnsi="宋体" w:eastAsia="仿宋_GB2312" w:cs="宋体"/>
                <w:kern w:val="0"/>
                <w:sz w:val="22"/>
                <w:szCs w:val="22"/>
              </w:rPr>
            </w:pPr>
          </w:p>
        </w:tc>
        <w:tc>
          <w:tcPr>
            <w:tcW w:w="1143" w:type="dxa"/>
            <w:vMerge w:val="continue"/>
            <w:tcBorders>
              <w:top w:val="single" w:color="000000" w:sz="8" w:space="0"/>
              <w:left w:val="single" w:color="000000" w:sz="8" w:space="0"/>
              <w:bottom w:val="single" w:color="000000" w:sz="8" w:space="0"/>
              <w:right w:val="single" w:color="000000" w:sz="8" w:space="0"/>
            </w:tcBorders>
            <w:noWrap w:val="0"/>
            <w:vAlign w:val="center"/>
          </w:tcPr>
          <w:p>
            <w:pPr>
              <w:spacing w:line="300" w:lineRule="exact"/>
              <w:jc w:val="left"/>
              <w:rPr>
                <w:rFonts w:hint="eastAsia" w:ascii="仿宋_GB2312" w:hAnsi="宋体" w:eastAsia="仿宋_GB2312" w:cs="宋体"/>
                <w:kern w:val="0"/>
                <w:sz w:val="22"/>
                <w:szCs w:val="22"/>
              </w:rPr>
            </w:pPr>
          </w:p>
        </w:tc>
        <w:tc>
          <w:tcPr>
            <w:tcW w:w="851" w:type="dxa"/>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1132" w:type="dxa"/>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公务用车购置费</w:t>
            </w:r>
          </w:p>
        </w:tc>
        <w:tc>
          <w:tcPr>
            <w:tcW w:w="1164" w:type="dxa"/>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公务用车运行维护费</w:t>
            </w:r>
          </w:p>
        </w:tc>
        <w:tc>
          <w:tcPr>
            <w:tcW w:w="984" w:type="dxa"/>
            <w:vMerge w:val="continue"/>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left"/>
              <w:rPr>
                <w:rFonts w:hint="eastAsia" w:ascii="仿宋_GB2312" w:hAnsi="宋体" w:eastAsia="仿宋_GB2312" w:cs="宋体"/>
                <w:kern w:val="0"/>
                <w:sz w:val="22"/>
                <w:szCs w:val="22"/>
              </w:rPr>
            </w:pPr>
          </w:p>
        </w:tc>
      </w:tr>
      <w:tr>
        <w:tblPrEx>
          <w:tblCellMar>
            <w:top w:w="0" w:type="dxa"/>
            <w:left w:w="108" w:type="dxa"/>
            <w:bottom w:w="0" w:type="dxa"/>
            <w:right w:w="108" w:type="dxa"/>
          </w:tblCellMar>
        </w:tblPrEx>
        <w:trPr>
          <w:trHeight w:val="623" w:hRule="atLeast"/>
          <w:jc w:val="center"/>
        </w:trPr>
        <w:tc>
          <w:tcPr>
            <w:tcW w:w="1179" w:type="dxa"/>
            <w:tcBorders>
              <w:top w:val="nil"/>
              <w:left w:val="single" w:color="auto" w:sz="8" w:space="0"/>
              <w:bottom w:val="single" w:color="auto" w:sz="8"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195" w:type="dxa"/>
            <w:tcBorders>
              <w:top w:val="nil"/>
              <w:left w:val="nil"/>
              <w:bottom w:val="single" w:color="auto" w:sz="8"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180" w:type="dxa"/>
            <w:tcBorders>
              <w:top w:val="nil"/>
              <w:left w:val="nil"/>
              <w:bottom w:val="single" w:color="auto" w:sz="8"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180" w:type="dxa"/>
            <w:tcBorders>
              <w:top w:val="nil"/>
              <w:left w:val="nil"/>
              <w:bottom w:val="single" w:color="auto" w:sz="8"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272" w:type="dxa"/>
            <w:tcBorders>
              <w:top w:val="nil"/>
              <w:left w:val="nil"/>
              <w:bottom w:val="single" w:color="auto" w:sz="8" w:space="0"/>
              <w:right w:val="single" w:color="auto" w:sz="4"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878" w:type="dxa"/>
            <w:tcBorders>
              <w:top w:val="nil"/>
              <w:left w:val="nil"/>
              <w:bottom w:val="single" w:color="auto" w:sz="8"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6</w:t>
            </w:r>
          </w:p>
        </w:tc>
        <w:tc>
          <w:tcPr>
            <w:tcW w:w="1098" w:type="dxa"/>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7</w:t>
            </w:r>
          </w:p>
        </w:tc>
        <w:tc>
          <w:tcPr>
            <w:tcW w:w="1143" w:type="dxa"/>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8</w:t>
            </w:r>
          </w:p>
        </w:tc>
        <w:tc>
          <w:tcPr>
            <w:tcW w:w="851" w:type="dxa"/>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9</w:t>
            </w:r>
          </w:p>
        </w:tc>
        <w:tc>
          <w:tcPr>
            <w:tcW w:w="1132" w:type="dxa"/>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10</w:t>
            </w:r>
          </w:p>
        </w:tc>
        <w:tc>
          <w:tcPr>
            <w:tcW w:w="1164" w:type="dxa"/>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11</w:t>
            </w:r>
          </w:p>
        </w:tc>
        <w:tc>
          <w:tcPr>
            <w:tcW w:w="984" w:type="dxa"/>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center"/>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12</w:t>
            </w:r>
          </w:p>
        </w:tc>
      </w:tr>
      <w:tr>
        <w:tblPrEx>
          <w:tblCellMar>
            <w:top w:w="0" w:type="dxa"/>
            <w:left w:w="108" w:type="dxa"/>
            <w:bottom w:w="0" w:type="dxa"/>
            <w:right w:w="108" w:type="dxa"/>
          </w:tblCellMar>
        </w:tblPrEx>
        <w:trPr>
          <w:trHeight w:val="1296" w:hRule="atLeast"/>
          <w:jc w:val="center"/>
        </w:trPr>
        <w:tc>
          <w:tcPr>
            <w:tcW w:w="1179" w:type="dxa"/>
            <w:tcBorders>
              <w:top w:val="nil"/>
              <w:left w:val="single" w:color="auto" w:sz="8" w:space="0"/>
              <w:bottom w:val="single" w:color="auto" w:sz="8"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101.74</w:t>
            </w:r>
          </w:p>
        </w:tc>
        <w:tc>
          <w:tcPr>
            <w:tcW w:w="1195" w:type="dxa"/>
            <w:tcBorders>
              <w:top w:val="nil"/>
              <w:left w:val="nil"/>
              <w:bottom w:val="single" w:color="auto" w:sz="8"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180" w:type="dxa"/>
            <w:tcBorders>
              <w:top w:val="nil"/>
              <w:left w:val="nil"/>
              <w:bottom w:val="single" w:color="auto" w:sz="8"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101.74</w:t>
            </w:r>
          </w:p>
        </w:tc>
        <w:tc>
          <w:tcPr>
            <w:tcW w:w="1180" w:type="dxa"/>
            <w:tcBorders>
              <w:top w:val="nil"/>
              <w:left w:val="nil"/>
              <w:bottom w:val="single" w:color="auto" w:sz="8"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272" w:type="dxa"/>
            <w:tcBorders>
              <w:top w:val="nil"/>
              <w:left w:val="nil"/>
              <w:bottom w:val="single" w:color="auto" w:sz="8" w:space="0"/>
              <w:right w:val="single" w:color="auto" w:sz="4"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101.74</w:t>
            </w:r>
          </w:p>
        </w:tc>
        <w:tc>
          <w:tcPr>
            <w:tcW w:w="878" w:type="dxa"/>
            <w:tcBorders>
              <w:top w:val="nil"/>
              <w:left w:val="nil"/>
              <w:bottom w:val="single" w:color="auto" w:sz="8" w:space="0"/>
              <w:right w:val="single" w:color="000000" w:sz="8"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098" w:type="dxa"/>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101.74</w:t>
            </w:r>
          </w:p>
        </w:tc>
        <w:tc>
          <w:tcPr>
            <w:tcW w:w="1143" w:type="dxa"/>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left"/>
              <w:rPr>
                <w:rFonts w:hint="eastAsia" w:ascii="仿宋_GB2312" w:hAnsi="宋体" w:eastAsia="仿宋_GB2312" w:cs="宋体"/>
                <w:kern w:val="0"/>
                <w:sz w:val="22"/>
                <w:szCs w:val="22"/>
              </w:rPr>
            </w:pPr>
          </w:p>
        </w:tc>
        <w:tc>
          <w:tcPr>
            <w:tcW w:w="851" w:type="dxa"/>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101.74</w:t>
            </w:r>
          </w:p>
        </w:tc>
        <w:tc>
          <w:tcPr>
            <w:tcW w:w="1132" w:type="dxa"/>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164" w:type="dxa"/>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101.74</w:t>
            </w:r>
          </w:p>
        </w:tc>
        <w:tc>
          <w:tcPr>
            <w:tcW w:w="984" w:type="dxa"/>
            <w:tcBorders>
              <w:top w:val="single" w:color="000000" w:sz="8" w:space="0"/>
              <w:left w:val="single" w:color="000000" w:sz="8" w:space="0"/>
              <w:bottom w:val="single" w:color="000000" w:sz="8" w:space="0"/>
              <w:right w:val="single" w:color="000000" w:sz="8" w:space="0"/>
            </w:tcBorders>
            <w:noWrap w:val="0"/>
            <w:vAlign w:val="center"/>
          </w:tcPr>
          <w:p>
            <w:pPr>
              <w:widowControl/>
              <w:spacing w:line="300" w:lineRule="exact"/>
              <w:jc w:val="left"/>
              <w:rPr>
                <w:rFonts w:hint="eastAsia" w:ascii="仿宋_GB2312" w:hAnsi="宋体" w:eastAsia="仿宋_GB2312" w:cs="宋体"/>
                <w:kern w:val="0"/>
                <w:sz w:val="22"/>
                <w:szCs w:val="22"/>
              </w:rPr>
            </w:pPr>
            <w:r>
              <w:rPr>
                <w:rFonts w:hint="eastAsia" w:ascii="仿宋_GB2312" w:hAnsi="宋体" w:eastAsia="仿宋_GB2312" w:cs="宋体"/>
                <w:kern w:val="0"/>
                <w:sz w:val="22"/>
                <w:szCs w:val="22"/>
              </w:rPr>
              <w:t>　</w:t>
            </w:r>
          </w:p>
        </w:tc>
      </w:tr>
    </w:tbl>
    <w:p>
      <w:pPr>
        <w:spacing w:line="440" w:lineRule="exact"/>
        <w:ind w:firstLine="108" w:firstLineChars="50"/>
        <w:rPr>
          <w:rFonts w:hint="eastAsia"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本年度财政拨款“三公”经费支出预决算情况。其中，预算数为“三公”经费全年预算数，反映按规定程序调整后的预算数；决算数是包括当年财政拨款和以前年度结转资金安排的实际支出。</w:t>
      </w:r>
      <w:r>
        <w:rPr>
          <w:rFonts w:hint="eastAsia" w:ascii="仿宋_GB2312" w:hAnsi="宋体" w:eastAsia="仿宋_GB2312"/>
          <w:sz w:val="22"/>
          <w:szCs w:val="22"/>
        </w:rPr>
        <w:tab/>
      </w:r>
    </w:p>
    <w:p>
      <w:pPr>
        <w:spacing w:line="400" w:lineRule="exact"/>
        <w:jc w:val="left"/>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hint="eastAsia" w:ascii="方正小标宋简体" w:eastAsia="方正小标宋简体"/>
          <w:sz w:val="42"/>
        </w:rPr>
      </w:pPr>
    </w:p>
    <w:p>
      <w:pPr>
        <w:jc w:val="center"/>
        <w:rPr>
          <w:rFonts w:hint="eastAsia" w:ascii="方正小标宋简体" w:eastAsia="方正小标宋简体"/>
          <w:sz w:val="42"/>
        </w:rPr>
      </w:pPr>
    </w:p>
    <w:p>
      <w:pPr>
        <w:jc w:val="center"/>
        <w:rPr>
          <w:rFonts w:hint="eastAsia" w:ascii="方正小标宋简体" w:eastAsia="方正小标宋简体"/>
          <w:sz w:val="42"/>
        </w:rPr>
      </w:pPr>
    </w:p>
    <w:p>
      <w:pPr>
        <w:ind w:firstLine="536" w:firstLineChars="100"/>
        <w:rPr>
          <w:rFonts w:hint="eastAsia" w:ascii="方正小标宋简体" w:eastAsia="方正小标宋简体"/>
          <w:spacing w:val="60"/>
          <w:sz w:val="42"/>
        </w:rPr>
      </w:pPr>
      <w:r>
        <w:rPr>
          <w:rFonts w:hint="eastAsia" w:ascii="方正小标宋简体" w:eastAsia="方正小标宋简体"/>
          <w:spacing w:val="60"/>
          <w:sz w:val="42"/>
        </w:rPr>
        <w:t>第三部分</w:t>
      </w:r>
    </w:p>
    <w:p>
      <w:pPr>
        <w:spacing w:line="800" w:lineRule="exact"/>
        <w:jc w:val="center"/>
        <w:rPr>
          <w:rFonts w:hint="eastAsia" w:ascii="方正小标宋简体" w:eastAsia="方正小标宋简体"/>
          <w:spacing w:val="60"/>
          <w:sz w:val="48"/>
        </w:rPr>
      </w:pPr>
    </w:p>
    <w:p>
      <w:pPr>
        <w:spacing w:line="800" w:lineRule="exact"/>
        <w:jc w:val="center"/>
        <w:rPr>
          <w:rFonts w:hint="eastAsia" w:ascii="方正小标宋简体" w:eastAsia="方正小标宋简体"/>
          <w:spacing w:val="60"/>
          <w:sz w:val="48"/>
        </w:rPr>
      </w:pPr>
    </w:p>
    <w:p>
      <w:pPr>
        <w:spacing w:line="800" w:lineRule="exact"/>
        <w:jc w:val="center"/>
        <w:rPr>
          <w:rFonts w:ascii="方正小标宋简体" w:eastAsia="方正小标宋简体"/>
          <w:spacing w:val="60"/>
          <w:sz w:val="48"/>
        </w:rPr>
        <w:sectPr>
          <w:pgSz w:w="11906" w:h="16838"/>
          <w:pgMar w:top="1701" w:right="1531" w:bottom="1701" w:left="1531" w:header="0" w:footer="1418" w:gutter="0"/>
          <w:cols w:space="720" w:num="1"/>
          <w:docGrid w:type="linesAndChars" w:linePitch="610" w:charSpace="-849"/>
        </w:sectPr>
      </w:pPr>
      <w:r>
        <w:rPr>
          <w:rFonts w:hint="eastAsia" w:ascii="方正小标宋简体" w:eastAsia="方正小标宋简体"/>
          <w:spacing w:val="60"/>
          <w:sz w:val="48"/>
        </w:rPr>
        <w:t>2022年度</w:t>
      </w:r>
      <w:r>
        <w:rPr>
          <w:rFonts w:hint="eastAsia" w:ascii="方正小标宋简体" w:eastAsia="方正小标宋简体"/>
          <w:spacing w:val="60"/>
          <w:sz w:val="48"/>
          <w:lang w:eastAsia="zh-CN"/>
        </w:rPr>
        <w:t>单位</w:t>
      </w:r>
      <w:r>
        <w:rPr>
          <w:rFonts w:hint="eastAsia" w:ascii="方正小标宋简体" w:eastAsia="方正小标宋简体"/>
          <w:spacing w:val="60"/>
          <w:sz w:val="48"/>
        </w:rPr>
        <w:t>决算情况说明</w:t>
      </w:r>
    </w:p>
    <w:p>
      <w:pPr>
        <w:spacing w:line="580" w:lineRule="exact"/>
        <w:ind w:firstLine="640" w:firstLineChars="200"/>
        <w:rPr>
          <w:rFonts w:hint="eastAsia" w:ascii="黑体" w:hAnsi="黑体" w:eastAsia="黑体"/>
          <w:szCs w:val="32"/>
        </w:rPr>
      </w:pPr>
      <w:r>
        <w:rPr>
          <w:rFonts w:hint="eastAsia" w:ascii="黑体" w:hAnsi="黑体" w:eastAsia="黑体"/>
          <w:szCs w:val="32"/>
        </w:rPr>
        <w:t>一、收入支出决算总体情况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2022年度收、支总计112857.58万元。与2021年度相比，收、支总计各增加84885.73万元，增长303.47 %。主要是2022年发行棚户区棚户区改造专项债券108000万元。</w:t>
      </w:r>
    </w:p>
    <w:p>
      <w:pPr>
        <w:spacing w:line="580" w:lineRule="exact"/>
        <w:ind w:firstLine="640" w:firstLineChars="200"/>
        <w:rPr>
          <w:rFonts w:hint="eastAsia" w:ascii="黑体" w:hAnsi="黑体" w:eastAsia="黑体"/>
          <w:szCs w:val="32"/>
        </w:rPr>
      </w:pPr>
      <w:r>
        <w:drawing>
          <wp:anchor distT="0" distB="0" distL="114300" distR="114300" simplePos="0" relativeHeight="251659264" behindDoc="1" locked="0" layoutInCell="1" allowOverlap="1">
            <wp:simplePos x="0" y="0"/>
            <wp:positionH relativeFrom="column">
              <wp:posOffset>448945</wp:posOffset>
            </wp:positionH>
            <wp:positionV relativeFrom="paragraph">
              <wp:posOffset>139065</wp:posOffset>
            </wp:positionV>
            <wp:extent cx="4831080" cy="2743200"/>
            <wp:effectExtent l="4445" t="4445" r="10795" b="10795"/>
            <wp:wrapTight wrapText="bothSides">
              <wp:wrapPolygon>
                <wp:start x="-20" y="-35"/>
                <wp:lineTo x="-20" y="21565"/>
                <wp:lineTo x="21580" y="21565"/>
                <wp:lineTo x="21580" y="-35"/>
                <wp:lineTo x="-20" y="-35"/>
              </wp:wrapPolygon>
            </wp:wrapTight>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hint="eastAsia" w:ascii="黑体" w:hAnsi="黑体" w:eastAsia="黑体"/>
          <w:szCs w:val="32"/>
        </w:rPr>
        <w:t>二、收入决算情况</w:t>
      </w:r>
    </w:p>
    <w:p>
      <w:pPr>
        <w:spacing w:line="580" w:lineRule="exact"/>
        <w:ind w:firstLine="640" w:firstLineChars="200"/>
        <w:rPr>
          <w:rFonts w:ascii="仿宋_GB2312" w:eastAsia="仿宋_GB2312"/>
          <w:szCs w:val="32"/>
        </w:rPr>
      </w:pPr>
      <w:r>
        <w:rPr>
          <w:rFonts w:hint="eastAsia" w:ascii="仿宋_GB2312" w:eastAsia="仿宋_GB2312"/>
          <w:szCs w:val="32"/>
        </w:rPr>
        <w:t>本年收入合计112857.58万元，其中：财政拨款收入    112857.58万元，占100%；上级补助收入0万元，占0%；事业收入0万元，占0%；经营收入0万元，占0%；附属单位上缴0万元，占0%；其他收入0万元，占0%。</w:t>
      </w:r>
    </w:p>
    <w:p>
      <w:pPr>
        <w:spacing w:line="580" w:lineRule="exact"/>
        <w:ind w:firstLine="640" w:firstLineChars="200"/>
        <w:rPr>
          <w:rFonts w:hint="eastAsia" w:ascii="仿宋_GB2312" w:eastAsia="仿宋_GB2312"/>
          <w:szCs w:val="32"/>
        </w:rPr>
      </w:pPr>
      <w:r>
        <w:drawing>
          <wp:anchor distT="0" distB="0" distL="114300" distR="114300" simplePos="0" relativeHeight="251660288" behindDoc="1" locked="0" layoutInCell="1" allowOverlap="1">
            <wp:simplePos x="0" y="0"/>
            <wp:positionH relativeFrom="column">
              <wp:posOffset>563245</wp:posOffset>
            </wp:positionH>
            <wp:positionV relativeFrom="paragraph">
              <wp:posOffset>13970</wp:posOffset>
            </wp:positionV>
            <wp:extent cx="4603115" cy="2479040"/>
            <wp:effectExtent l="4445" t="4445" r="10160" b="15875"/>
            <wp:wrapTight wrapText="bothSides">
              <wp:wrapPolygon>
                <wp:start x="-21" y="-39"/>
                <wp:lineTo x="-21" y="21473"/>
                <wp:lineTo x="21576" y="21473"/>
                <wp:lineTo x="21576" y="-39"/>
                <wp:lineTo x="-21" y="-39"/>
              </wp:wrapPolygon>
            </wp:wrapTight>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spacing w:line="580" w:lineRule="exact"/>
        <w:ind w:firstLine="643" w:firstLineChars="200"/>
        <w:rPr>
          <w:rFonts w:hint="eastAsia" w:ascii="仿宋_GB2312" w:eastAsia="仿宋_GB2312"/>
          <w:b/>
          <w:szCs w:val="32"/>
        </w:rPr>
      </w:pPr>
    </w:p>
    <w:p>
      <w:pPr>
        <w:spacing w:line="580" w:lineRule="exact"/>
        <w:ind w:firstLine="643" w:firstLineChars="200"/>
        <w:rPr>
          <w:rFonts w:hint="eastAsia" w:ascii="仿宋_GB2312" w:eastAsia="仿宋_GB2312"/>
          <w:b/>
          <w:szCs w:val="32"/>
        </w:rPr>
      </w:pPr>
    </w:p>
    <w:p>
      <w:pPr>
        <w:spacing w:line="580" w:lineRule="exact"/>
        <w:ind w:firstLine="643" w:firstLineChars="200"/>
        <w:rPr>
          <w:rFonts w:hint="eastAsia" w:ascii="仿宋_GB2312" w:eastAsia="仿宋_GB2312"/>
          <w:b/>
          <w:szCs w:val="32"/>
        </w:rPr>
      </w:pPr>
    </w:p>
    <w:p>
      <w:pPr>
        <w:spacing w:line="580" w:lineRule="exact"/>
        <w:ind w:firstLine="640" w:firstLineChars="200"/>
        <w:rPr>
          <w:rFonts w:hint="eastAsia" w:ascii="黑体" w:hAnsi="黑体" w:eastAsia="黑体"/>
          <w:szCs w:val="32"/>
        </w:rPr>
      </w:pPr>
      <w:r>
        <w:rPr>
          <w:rFonts w:hint="eastAsia" w:ascii="黑体" w:hAnsi="黑体" w:eastAsia="黑体"/>
          <w:szCs w:val="32"/>
        </w:rPr>
        <w:t>三、支出决算情况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本年支出合计112857.58万元，其中：基本支出4584.4万元，占4.06%；项目支出108273.18万元，占95.94%；对附属单位补助支出0万元，占0%。</w:t>
      </w:r>
    </w:p>
    <w:p>
      <w:pPr>
        <w:spacing w:line="580" w:lineRule="exact"/>
        <w:ind w:firstLine="640" w:firstLineChars="200"/>
        <w:rPr>
          <w:rFonts w:hint="eastAsia" w:ascii="仿宋_GB2312" w:eastAsia="仿宋_GB2312"/>
          <w:b/>
          <w:szCs w:val="32"/>
        </w:rPr>
      </w:pPr>
      <w:r>
        <w:drawing>
          <wp:anchor distT="0" distB="0" distL="114300" distR="114300" simplePos="0" relativeHeight="251661312" behindDoc="1" locked="0" layoutInCell="1" allowOverlap="1">
            <wp:simplePos x="0" y="0"/>
            <wp:positionH relativeFrom="column">
              <wp:posOffset>296545</wp:posOffset>
            </wp:positionH>
            <wp:positionV relativeFrom="paragraph">
              <wp:posOffset>149225</wp:posOffset>
            </wp:positionV>
            <wp:extent cx="4831080" cy="2743200"/>
            <wp:effectExtent l="4445" t="4445" r="10795" b="10795"/>
            <wp:wrapTight wrapText="bothSides">
              <wp:wrapPolygon>
                <wp:start x="-20" y="-35"/>
                <wp:lineTo x="-20" y="21565"/>
                <wp:lineTo x="21580" y="21565"/>
                <wp:lineTo x="21580" y="-35"/>
                <wp:lineTo x="-20" y="-35"/>
              </wp:wrapPolygon>
            </wp:wrapTight>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hint="eastAsia" w:ascii="仿宋_GB2312" w:eastAsia="仿宋_GB2312"/>
          <w:b/>
          <w:szCs w:val="32"/>
        </w:rPr>
        <w:t xml:space="preserve"> </w:t>
      </w:r>
    </w:p>
    <w:p>
      <w:pPr>
        <w:spacing w:line="580" w:lineRule="exact"/>
        <w:ind w:firstLine="643" w:firstLineChars="200"/>
        <w:rPr>
          <w:rFonts w:hint="eastAsia" w:ascii="仿宋_GB2312" w:eastAsia="仿宋_GB2312"/>
          <w:b/>
          <w:szCs w:val="32"/>
        </w:rPr>
      </w:pPr>
    </w:p>
    <w:p>
      <w:pPr>
        <w:spacing w:line="580" w:lineRule="exact"/>
        <w:ind w:firstLine="643" w:firstLineChars="200"/>
        <w:rPr>
          <w:rFonts w:hint="eastAsia" w:ascii="仿宋_GB2312" w:eastAsia="仿宋_GB2312"/>
          <w:b/>
          <w:szCs w:val="32"/>
        </w:rPr>
      </w:pPr>
    </w:p>
    <w:p>
      <w:pPr>
        <w:spacing w:line="580" w:lineRule="exact"/>
        <w:ind w:firstLine="643" w:firstLineChars="200"/>
        <w:rPr>
          <w:rFonts w:hint="eastAsia" w:ascii="仿宋_GB2312" w:eastAsia="仿宋_GB2312"/>
          <w:b/>
          <w:szCs w:val="32"/>
        </w:rPr>
      </w:pPr>
    </w:p>
    <w:p>
      <w:pPr>
        <w:spacing w:line="580" w:lineRule="exact"/>
        <w:ind w:firstLine="643" w:firstLineChars="200"/>
        <w:rPr>
          <w:rFonts w:hint="eastAsia" w:ascii="仿宋_GB2312" w:eastAsia="仿宋_GB2312"/>
          <w:b/>
          <w:szCs w:val="32"/>
        </w:rPr>
      </w:pPr>
    </w:p>
    <w:p>
      <w:pPr>
        <w:spacing w:line="580" w:lineRule="exact"/>
        <w:ind w:firstLine="643" w:firstLineChars="200"/>
        <w:rPr>
          <w:rFonts w:hint="eastAsia" w:ascii="仿宋_GB2312" w:eastAsia="仿宋_GB2312"/>
          <w:b/>
          <w:szCs w:val="32"/>
        </w:rPr>
      </w:pPr>
    </w:p>
    <w:p>
      <w:pPr>
        <w:spacing w:line="580" w:lineRule="exact"/>
        <w:ind w:firstLine="643" w:firstLineChars="200"/>
        <w:rPr>
          <w:rFonts w:hint="eastAsia" w:ascii="仿宋_GB2312" w:eastAsia="仿宋_GB2312"/>
          <w:b/>
          <w:szCs w:val="32"/>
        </w:rPr>
      </w:pPr>
    </w:p>
    <w:p>
      <w:pPr>
        <w:spacing w:line="580" w:lineRule="exact"/>
        <w:ind w:firstLine="643" w:firstLineChars="200"/>
        <w:rPr>
          <w:rFonts w:hint="eastAsia" w:ascii="仿宋_GB2312" w:eastAsia="仿宋_GB2312"/>
          <w:b/>
          <w:szCs w:val="32"/>
        </w:rPr>
      </w:pPr>
    </w:p>
    <w:p>
      <w:pPr>
        <w:spacing w:line="580" w:lineRule="exact"/>
        <w:ind w:firstLine="640" w:firstLineChars="200"/>
        <w:rPr>
          <w:rFonts w:hint="eastAsia" w:ascii="黑体" w:hAnsi="黑体" w:eastAsia="黑体"/>
          <w:szCs w:val="32"/>
        </w:rPr>
      </w:pPr>
      <w:r>
        <w:rPr>
          <w:rFonts w:hint="eastAsia" w:ascii="黑体" w:hAnsi="黑体" w:eastAsia="黑体"/>
          <w:szCs w:val="32"/>
        </w:rPr>
        <w:t>四、财政拨款收入支出决算总体情况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2022年度财政拨款收、支总计112857.58万元。与2021年度相比，财政拨款收、支总计各增加84885.73万元，增长303.47 %。主要是2022年发行棚户区棚户区改造专项债券108000万元。</w:t>
      </w:r>
    </w:p>
    <w:p>
      <w:pPr>
        <w:spacing w:line="580" w:lineRule="exact"/>
        <w:ind w:firstLine="200"/>
        <w:rPr>
          <w:rFonts w:hint="eastAsia" w:ascii="仿宋_GB2312" w:eastAsia="仿宋_GB2312"/>
          <w:b/>
          <w:szCs w:val="32"/>
        </w:rPr>
      </w:pPr>
      <w:r>
        <w:drawing>
          <wp:anchor distT="0" distB="0" distL="114300" distR="114300" simplePos="0" relativeHeight="251662336" behindDoc="1" locked="0" layoutInCell="1" allowOverlap="1">
            <wp:simplePos x="0" y="0"/>
            <wp:positionH relativeFrom="column">
              <wp:posOffset>375285</wp:posOffset>
            </wp:positionH>
            <wp:positionV relativeFrom="paragraph">
              <wp:posOffset>65405</wp:posOffset>
            </wp:positionV>
            <wp:extent cx="4489450" cy="2568575"/>
            <wp:effectExtent l="4445" t="4445" r="17145" b="17780"/>
            <wp:wrapTight wrapText="bothSides">
              <wp:wrapPolygon>
                <wp:start x="-21" y="-37"/>
                <wp:lineTo x="-21" y="21493"/>
                <wp:lineTo x="21536" y="21493"/>
                <wp:lineTo x="21536" y="-37"/>
                <wp:lineTo x="-21" y="-37"/>
              </wp:wrapPolygon>
            </wp:wrapTight>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spacing w:line="580" w:lineRule="exact"/>
        <w:ind w:firstLine="200"/>
        <w:rPr>
          <w:rFonts w:hint="eastAsia" w:ascii="仿宋_GB2312" w:eastAsia="仿宋_GB2312"/>
          <w:b/>
          <w:szCs w:val="32"/>
        </w:rPr>
      </w:pPr>
    </w:p>
    <w:p>
      <w:pPr>
        <w:spacing w:line="580" w:lineRule="exact"/>
        <w:ind w:firstLine="200"/>
        <w:rPr>
          <w:rFonts w:hint="eastAsia" w:ascii="仿宋_GB2312" w:eastAsia="仿宋_GB2312"/>
          <w:b/>
          <w:szCs w:val="32"/>
        </w:rPr>
      </w:pPr>
    </w:p>
    <w:p>
      <w:pPr>
        <w:spacing w:line="580" w:lineRule="exact"/>
        <w:ind w:firstLine="200"/>
        <w:rPr>
          <w:rFonts w:hint="eastAsia" w:ascii="仿宋_GB2312" w:eastAsia="仿宋_GB2312"/>
          <w:b/>
          <w:szCs w:val="32"/>
        </w:rPr>
      </w:pPr>
    </w:p>
    <w:p>
      <w:pPr>
        <w:spacing w:line="580" w:lineRule="exact"/>
        <w:ind w:firstLine="640" w:firstLineChars="200"/>
        <w:rPr>
          <w:rFonts w:hint="eastAsia" w:ascii="黑体" w:hAnsi="黑体" w:eastAsia="黑体"/>
          <w:szCs w:val="32"/>
        </w:rPr>
      </w:pPr>
      <w:r>
        <w:rPr>
          <w:rFonts w:hint="eastAsia" w:ascii="黑体" w:hAnsi="黑体" w:eastAsia="黑体"/>
          <w:szCs w:val="32"/>
        </w:rPr>
        <w:t>五、一般公共预算财政拨款支出决算情况</w:t>
      </w:r>
    </w:p>
    <w:p>
      <w:pPr>
        <w:spacing w:line="580" w:lineRule="exact"/>
        <w:ind w:firstLine="640" w:firstLineChars="200"/>
        <w:rPr>
          <w:rFonts w:hint="eastAsia" w:ascii="楷体_GB2312" w:eastAsia="楷体_GB2312"/>
          <w:szCs w:val="32"/>
        </w:rPr>
      </w:pPr>
      <w:r>
        <w:rPr>
          <w:rFonts w:hint="eastAsia" w:ascii="楷体_GB2312" w:eastAsia="楷体_GB2312"/>
          <w:szCs w:val="32"/>
        </w:rPr>
        <w:t>（一）一般公共预算财政拨款支出决算总体情况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2022年度一般公共预算财政拨款支出4584.4万元，占本年支出合计的4.06%。与2021年度相比，一般公共预算财政拨款支出减少15947.49万元，下降77.67%。主要是城乡社区支出、教育支出等减少。</w:t>
      </w:r>
    </w:p>
    <w:p>
      <w:pPr>
        <w:spacing w:line="580" w:lineRule="exact"/>
        <w:ind w:firstLine="640" w:firstLineChars="200"/>
        <w:rPr>
          <w:rFonts w:hint="eastAsia" w:ascii="楷体_GB2312" w:eastAsia="楷体_GB2312"/>
          <w:szCs w:val="32"/>
        </w:rPr>
      </w:pPr>
      <w:r>
        <w:drawing>
          <wp:anchor distT="0" distB="0" distL="114300" distR="114300" simplePos="0" relativeHeight="251663360" behindDoc="1" locked="0" layoutInCell="1" allowOverlap="1">
            <wp:simplePos x="0" y="0"/>
            <wp:positionH relativeFrom="column">
              <wp:posOffset>258445</wp:posOffset>
            </wp:positionH>
            <wp:positionV relativeFrom="paragraph">
              <wp:posOffset>73025</wp:posOffset>
            </wp:positionV>
            <wp:extent cx="4831080" cy="2743200"/>
            <wp:effectExtent l="4445" t="4445" r="10795" b="10795"/>
            <wp:wrapTight wrapText="bothSides">
              <wp:wrapPolygon>
                <wp:start x="-20" y="-35"/>
                <wp:lineTo x="-20" y="21565"/>
                <wp:lineTo x="21580" y="21565"/>
                <wp:lineTo x="21580" y="-35"/>
                <wp:lineTo x="-20" y="-35"/>
              </wp:wrapPolygon>
            </wp:wrapTight>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r>
        <w:rPr>
          <w:rFonts w:hint="eastAsia" w:ascii="楷体_GB2312" w:eastAsia="楷体_GB2312"/>
          <w:szCs w:val="32"/>
        </w:rPr>
        <w:t>（二）一般公共预算财政拨款支出决算结构情况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2022年度一般公共预算财政拨款支出4584.4万元，主要用于以下方面：一般公共服务（类）支出2292.99万元，占50.02 %；教育支出（类）支出507.05万元，占11.06%；社会保障和就业支出（类）支出14万元，占0.31%；农林水支出（类）支出976.21万元，占21.29%；商业服务业等支出（类）支出20.15万元，占0.44%；住房保障支出（类）支出774万元，占16.88%。</w:t>
      </w:r>
    </w:p>
    <w:p>
      <w:pPr>
        <w:spacing w:line="580" w:lineRule="exact"/>
        <w:ind w:firstLine="640" w:firstLineChars="200"/>
        <w:rPr>
          <w:rFonts w:hint="eastAsia" w:ascii="楷体_GB2312" w:eastAsia="楷体_GB2312"/>
          <w:szCs w:val="32"/>
        </w:rPr>
      </w:pPr>
      <w:r>
        <w:drawing>
          <wp:anchor distT="0" distB="0" distL="114300" distR="114300" simplePos="0" relativeHeight="251664384" behindDoc="1" locked="0" layoutInCell="1" allowOverlap="1">
            <wp:simplePos x="0" y="0"/>
            <wp:positionH relativeFrom="column">
              <wp:posOffset>60960</wp:posOffset>
            </wp:positionH>
            <wp:positionV relativeFrom="paragraph">
              <wp:posOffset>170180</wp:posOffset>
            </wp:positionV>
            <wp:extent cx="5226685" cy="2977515"/>
            <wp:effectExtent l="4445" t="4445" r="11430" b="5080"/>
            <wp:wrapTight wrapText="bothSides">
              <wp:wrapPolygon>
                <wp:start x="-18" y="-32"/>
                <wp:lineTo x="-18" y="21526"/>
                <wp:lineTo x="21584" y="21526"/>
                <wp:lineTo x="21584" y="-32"/>
                <wp:lineTo x="-18" y="-32"/>
              </wp:wrapPolygon>
            </wp:wrapTight>
            <wp:docPr id="5" name="图表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hint="eastAsia" w:ascii="楷体_GB2312" w:eastAsia="楷体_GB2312"/>
          <w:szCs w:val="32"/>
        </w:rPr>
        <w:t>（三）一般公共预算财政拨款支出决算具体情况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2022年度一般公共预算财政拨款支出年初预算为11748.31万元，支出决算为4584.4万元，完成年初预算的39.02%。决算数小于年初预算数的主要原因是城乡社区支出减少。其中：</w:t>
      </w:r>
    </w:p>
    <w:p>
      <w:pPr>
        <w:spacing w:line="580" w:lineRule="exact"/>
        <w:ind w:firstLine="640" w:firstLineChars="200"/>
        <w:rPr>
          <w:rFonts w:hint="eastAsia" w:ascii="仿宋_GB2312" w:eastAsia="仿宋_GB2312"/>
          <w:szCs w:val="32"/>
        </w:rPr>
      </w:pPr>
      <w:r>
        <w:rPr>
          <w:rFonts w:hint="eastAsia" w:ascii="仿宋_GB2312" w:eastAsia="仿宋_GB2312"/>
          <w:szCs w:val="32"/>
        </w:rPr>
        <w:t>1.一般公共服务支出（类）政府办公厅（室）及相关机构事务（款）行政运行（项）。年初预算为4536.08万元，支出决算为2269.99万元，完成年初预算的50.04%。决算数小于年初预算数的主要原因是项目支出类减少。</w:t>
      </w:r>
    </w:p>
    <w:p>
      <w:pPr>
        <w:numPr>
          <w:ilvl w:val="0"/>
          <w:numId w:val="0"/>
        </w:numPr>
        <w:spacing w:line="580" w:lineRule="exact"/>
        <w:ind w:firstLine="640" w:firstLineChars="200"/>
        <w:rPr>
          <w:rFonts w:hint="eastAsia" w:ascii="仿宋_GB2312" w:eastAsia="仿宋_GB2312"/>
          <w:szCs w:val="32"/>
          <w:lang w:eastAsia="zh-CN"/>
        </w:rPr>
      </w:pPr>
      <w:r>
        <w:rPr>
          <w:rFonts w:hint="eastAsia" w:ascii="仿宋_GB2312" w:eastAsia="仿宋_GB2312"/>
          <w:szCs w:val="32"/>
        </w:rPr>
        <w:t>2.一般公共服务支出（类）组织事务（款）其他组织事务（项）。年初预算为0万元，支出决算为23万元。决算数大于年初预算数的主要原因是</w:t>
      </w:r>
      <w:r>
        <w:rPr>
          <w:rFonts w:hint="eastAsia" w:ascii="仿宋_GB2312" w:eastAsia="仿宋_GB2312"/>
          <w:szCs w:val="32"/>
          <w:lang w:eastAsia="zh-CN"/>
        </w:rPr>
        <w:t>此项目为临时追加项目，未做年初预算。</w:t>
      </w:r>
    </w:p>
    <w:p>
      <w:pPr>
        <w:numPr>
          <w:ilvl w:val="0"/>
          <w:numId w:val="0"/>
        </w:numPr>
        <w:spacing w:line="580" w:lineRule="exact"/>
        <w:ind w:firstLine="640" w:firstLineChars="200"/>
        <w:rPr>
          <w:rFonts w:hint="eastAsia" w:ascii="仿宋_GB2312" w:eastAsia="仿宋_GB2312"/>
          <w:szCs w:val="32"/>
          <w:lang w:eastAsia="zh-CN"/>
        </w:rPr>
      </w:pPr>
      <w:r>
        <w:rPr>
          <w:rFonts w:hint="eastAsia" w:ascii="仿宋_GB2312" w:eastAsia="仿宋_GB2312"/>
          <w:szCs w:val="32"/>
        </w:rPr>
        <w:t>3.教育支出（类）教育管理事务（款）行政运行（项）。年初预算为0万元，支出决算为193.49万元。决算数大于年初预算数的主要原因是</w:t>
      </w:r>
      <w:r>
        <w:rPr>
          <w:rFonts w:hint="eastAsia" w:ascii="仿宋_GB2312" w:eastAsia="仿宋_GB2312"/>
          <w:szCs w:val="32"/>
          <w:lang w:eastAsia="zh-CN"/>
        </w:rPr>
        <w:t>此项目为临时追加项目，未做年初预算。</w:t>
      </w:r>
    </w:p>
    <w:p>
      <w:pPr>
        <w:spacing w:line="580" w:lineRule="exact"/>
        <w:ind w:firstLine="640" w:firstLineChars="200"/>
        <w:rPr>
          <w:rFonts w:hint="eastAsia" w:ascii="仿宋_GB2312" w:eastAsia="仿宋_GB2312"/>
          <w:szCs w:val="32"/>
        </w:rPr>
      </w:pPr>
      <w:r>
        <w:rPr>
          <w:rFonts w:hint="eastAsia" w:ascii="仿宋_GB2312" w:eastAsia="仿宋_GB2312"/>
          <w:szCs w:val="32"/>
        </w:rPr>
        <w:t>4.教育支出（类）普通教育（款）学前教育（项）。年初预算为108.4万元，支出决算为104.66万元。完成年初预算的96.55%，决算数与年初预算数基本持平。</w:t>
      </w:r>
    </w:p>
    <w:p>
      <w:pPr>
        <w:spacing w:line="580" w:lineRule="exact"/>
        <w:ind w:firstLine="640" w:firstLineChars="200"/>
        <w:rPr>
          <w:rFonts w:hint="eastAsia" w:ascii="仿宋_GB2312" w:eastAsia="仿宋_GB2312"/>
          <w:szCs w:val="32"/>
        </w:rPr>
      </w:pPr>
      <w:r>
        <w:rPr>
          <w:rFonts w:hint="eastAsia" w:ascii="仿宋_GB2312" w:eastAsia="仿宋_GB2312"/>
          <w:szCs w:val="32"/>
        </w:rPr>
        <w:t>5.教育支出（类）普通教育（款）小学教育（项）。年初预算为0万元，支出决算为129.5万元。决算数大于年初预算数的主要原因是工程项目款项支付。</w:t>
      </w:r>
    </w:p>
    <w:p>
      <w:pPr>
        <w:spacing w:line="580" w:lineRule="exact"/>
        <w:ind w:firstLine="640" w:firstLineChars="200"/>
        <w:rPr>
          <w:rFonts w:hint="eastAsia" w:ascii="仿宋_GB2312" w:eastAsia="仿宋_GB2312"/>
          <w:szCs w:val="32"/>
        </w:rPr>
      </w:pPr>
      <w:r>
        <w:rPr>
          <w:rFonts w:hint="eastAsia" w:ascii="仿宋_GB2312" w:eastAsia="仿宋_GB2312"/>
          <w:szCs w:val="32"/>
        </w:rPr>
        <w:t>6.教育支出（类）普通教育（款）初中教育（项）。年初预算为0万元，支出决算为34.03万元。决算数大于年初预算数的主要原因是工程项目款项支付。</w:t>
      </w:r>
    </w:p>
    <w:p>
      <w:pPr>
        <w:spacing w:line="580" w:lineRule="exact"/>
        <w:ind w:firstLine="640" w:firstLineChars="200"/>
        <w:rPr>
          <w:rFonts w:hint="eastAsia" w:ascii="仿宋_GB2312" w:eastAsia="仿宋_GB2312"/>
          <w:szCs w:val="32"/>
        </w:rPr>
      </w:pPr>
      <w:r>
        <w:rPr>
          <w:rFonts w:hint="eastAsia" w:ascii="仿宋_GB2312" w:eastAsia="仿宋_GB2312"/>
          <w:szCs w:val="32"/>
        </w:rPr>
        <w:t>7.教育支出（类）普通教育（款）其他普通教育支出（项）。年初预算为0万元，支出决算为45.37万元。决算数大于年初预算数的主要原因是年底调账产生。</w:t>
      </w:r>
    </w:p>
    <w:p>
      <w:pPr>
        <w:numPr>
          <w:ilvl w:val="0"/>
          <w:numId w:val="0"/>
        </w:numPr>
        <w:spacing w:line="580" w:lineRule="exact"/>
        <w:ind w:firstLine="640" w:firstLineChars="200"/>
        <w:rPr>
          <w:rFonts w:hint="eastAsia" w:ascii="仿宋_GB2312" w:eastAsia="仿宋_GB2312"/>
          <w:szCs w:val="32"/>
          <w:lang w:eastAsia="zh-CN"/>
        </w:rPr>
      </w:pPr>
      <w:r>
        <w:rPr>
          <w:rFonts w:hint="eastAsia" w:ascii="仿宋_GB2312" w:eastAsia="仿宋_GB2312"/>
          <w:szCs w:val="32"/>
        </w:rPr>
        <w:t>8.社会保障和就业支出（类）民政管理事务（款）基层政权建设和社区治理（项）。年初预算为0万元，支出决算为14万元。决算数大于年初预算数的主要原因是该款项为</w:t>
      </w:r>
      <w:r>
        <w:rPr>
          <w:rFonts w:hint="eastAsia" w:ascii="仿宋_GB2312" w:eastAsia="仿宋_GB2312"/>
          <w:szCs w:val="32"/>
          <w:lang w:eastAsia="zh-CN"/>
        </w:rPr>
        <w:t>此项目为临时追加项目，未做年初预算。</w:t>
      </w:r>
    </w:p>
    <w:p>
      <w:pPr>
        <w:numPr>
          <w:ilvl w:val="0"/>
          <w:numId w:val="0"/>
        </w:numPr>
        <w:spacing w:line="580" w:lineRule="exact"/>
        <w:ind w:firstLine="640" w:firstLineChars="200"/>
        <w:rPr>
          <w:rFonts w:hint="eastAsia" w:ascii="仿宋_GB2312" w:eastAsia="仿宋_GB2312"/>
          <w:szCs w:val="32"/>
          <w:lang w:eastAsia="zh-CN"/>
        </w:rPr>
      </w:pPr>
      <w:r>
        <w:rPr>
          <w:rFonts w:hint="eastAsia" w:ascii="仿宋_GB2312" w:eastAsia="仿宋_GB2312"/>
          <w:szCs w:val="32"/>
        </w:rPr>
        <w:t>9.农林水支出（类）林业和草原（款）森林资源培育（项）。年初预算为0万元，支出决算为12.15万元。决算数大于年初预算数的主要原因是</w:t>
      </w:r>
      <w:r>
        <w:rPr>
          <w:rFonts w:hint="eastAsia" w:ascii="仿宋_GB2312" w:eastAsia="仿宋_GB2312"/>
          <w:szCs w:val="32"/>
          <w:lang w:eastAsia="zh-CN"/>
        </w:rPr>
        <w:t>此项目为临时追加项目，未做年初预算。</w:t>
      </w:r>
    </w:p>
    <w:p>
      <w:pPr>
        <w:numPr>
          <w:ilvl w:val="0"/>
          <w:numId w:val="0"/>
        </w:numPr>
        <w:spacing w:line="580" w:lineRule="exact"/>
        <w:ind w:firstLine="640" w:firstLineChars="200"/>
        <w:rPr>
          <w:rFonts w:hint="eastAsia" w:ascii="仿宋_GB2312" w:eastAsia="仿宋_GB2312"/>
          <w:szCs w:val="32"/>
          <w:lang w:eastAsia="zh-CN"/>
        </w:rPr>
      </w:pPr>
      <w:r>
        <w:rPr>
          <w:rFonts w:hint="eastAsia" w:ascii="仿宋_GB2312" w:eastAsia="仿宋_GB2312"/>
          <w:szCs w:val="32"/>
        </w:rPr>
        <w:t>10.农林水支出（类）林业和草原（款）森林生态效益补偿（项）。年初预算为0万元，支出决算为12.44万元。决算数大于年初预算数的主要原因是</w:t>
      </w:r>
      <w:r>
        <w:rPr>
          <w:rFonts w:hint="eastAsia" w:ascii="仿宋_GB2312" w:eastAsia="仿宋_GB2312"/>
          <w:szCs w:val="32"/>
          <w:lang w:eastAsia="zh-CN"/>
        </w:rPr>
        <w:t>此项目为临时追加项目，未做年初预算。</w:t>
      </w:r>
    </w:p>
    <w:p>
      <w:pPr>
        <w:numPr>
          <w:ilvl w:val="0"/>
          <w:numId w:val="0"/>
        </w:numPr>
        <w:spacing w:line="580" w:lineRule="exact"/>
        <w:ind w:firstLine="640" w:firstLineChars="200"/>
        <w:rPr>
          <w:rFonts w:hint="eastAsia" w:ascii="仿宋_GB2312" w:eastAsia="仿宋_GB2312"/>
          <w:szCs w:val="32"/>
          <w:lang w:eastAsia="zh-CN"/>
        </w:rPr>
      </w:pPr>
      <w:r>
        <w:rPr>
          <w:rFonts w:hint="eastAsia" w:ascii="仿宋_GB2312" w:eastAsia="仿宋_GB2312"/>
          <w:szCs w:val="32"/>
        </w:rPr>
        <w:t>11.农林水支出（类）林业和草原（款）林业草原防灾减灾（项）。年初预算为0万元，支出决算为58.03万元。决算数大于年初预算数的主要原因是该款项为</w:t>
      </w:r>
      <w:r>
        <w:rPr>
          <w:rFonts w:hint="eastAsia" w:ascii="仿宋_GB2312" w:eastAsia="仿宋_GB2312"/>
          <w:szCs w:val="32"/>
          <w:lang w:eastAsia="zh-CN"/>
        </w:rPr>
        <w:t>此项目为临时追加项目，未做年初预算。</w:t>
      </w:r>
    </w:p>
    <w:p>
      <w:pPr>
        <w:numPr>
          <w:ilvl w:val="0"/>
          <w:numId w:val="0"/>
        </w:numPr>
        <w:spacing w:line="580" w:lineRule="exact"/>
        <w:ind w:firstLine="640" w:firstLineChars="200"/>
        <w:rPr>
          <w:rFonts w:hint="eastAsia" w:ascii="仿宋_GB2312" w:eastAsia="仿宋_GB2312"/>
          <w:szCs w:val="32"/>
          <w:lang w:eastAsia="zh-CN"/>
        </w:rPr>
      </w:pPr>
      <w:r>
        <w:rPr>
          <w:rFonts w:hint="eastAsia" w:ascii="仿宋_GB2312" w:eastAsia="仿宋_GB2312"/>
          <w:szCs w:val="32"/>
        </w:rPr>
        <w:t>12.农林水支出（类）水利（款）防汛（项）。年初预算为0万元，支出决算为12.58万元。决算数大于年初预算数的主要原因是该款项为</w:t>
      </w:r>
      <w:r>
        <w:rPr>
          <w:rFonts w:hint="eastAsia" w:ascii="仿宋_GB2312" w:eastAsia="仿宋_GB2312"/>
          <w:szCs w:val="32"/>
          <w:lang w:eastAsia="zh-CN"/>
        </w:rPr>
        <w:t>此项目为临时追加项目，未做年初预算。</w:t>
      </w:r>
    </w:p>
    <w:p>
      <w:pPr>
        <w:spacing w:line="580" w:lineRule="exact"/>
        <w:ind w:firstLine="640" w:firstLineChars="200"/>
        <w:rPr>
          <w:rFonts w:hint="eastAsia" w:ascii="仿宋_GB2312" w:eastAsia="仿宋_GB2312"/>
          <w:szCs w:val="32"/>
        </w:rPr>
      </w:pPr>
      <w:r>
        <w:rPr>
          <w:rFonts w:hint="eastAsia" w:ascii="仿宋_GB2312" w:eastAsia="仿宋_GB2312"/>
          <w:szCs w:val="32"/>
        </w:rPr>
        <w:t>13.农林水支出（类）巩固脱贫衔接乡村振兴（款）其他巩固脱贫衔接乡村振兴支出（项）。年初预算为298.01万元，支出决算为298.01万元。完成年初预算的100%，决算数与年初预算持平。</w:t>
      </w:r>
    </w:p>
    <w:p>
      <w:pPr>
        <w:numPr>
          <w:ilvl w:val="0"/>
          <w:numId w:val="0"/>
        </w:numPr>
        <w:spacing w:line="580" w:lineRule="exact"/>
        <w:ind w:firstLine="640" w:firstLineChars="200"/>
        <w:rPr>
          <w:rFonts w:hint="eastAsia" w:ascii="仿宋_GB2312" w:eastAsia="仿宋_GB2312"/>
          <w:szCs w:val="32"/>
          <w:lang w:eastAsia="zh-CN"/>
        </w:rPr>
      </w:pPr>
      <w:r>
        <w:rPr>
          <w:rFonts w:hint="eastAsia" w:ascii="仿宋_GB2312" w:eastAsia="仿宋_GB2312"/>
          <w:szCs w:val="32"/>
        </w:rPr>
        <w:t>14.农林水支出（类）农村综合改革（款）对村民委员会和村党支部的补助（项）。年初预算为0万元，支出决算为583万元。决算数大于年初预算的原因是该项资金为专项资金，年初</w:t>
      </w:r>
      <w:r>
        <w:rPr>
          <w:rFonts w:hint="eastAsia" w:ascii="仿宋_GB2312" w:eastAsia="仿宋_GB2312"/>
          <w:szCs w:val="32"/>
          <w:lang w:eastAsia="zh-CN"/>
        </w:rPr>
        <w:t>此项目为临时追加项目，未做年初预算。</w:t>
      </w:r>
    </w:p>
    <w:p>
      <w:pPr>
        <w:numPr>
          <w:ilvl w:val="0"/>
          <w:numId w:val="0"/>
        </w:numPr>
        <w:spacing w:line="580" w:lineRule="exact"/>
        <w:ind w:firstLine="640" w:firstLineChars="200"/>
        <w:rPr>
          <w:rFonts w:hint="eastAsia" w:ascii="仿宋_GB2312" w:eastAsia="仿宋_GB2312"/>
          <w:szCs w:val="32"/>
          <w:lang w:eastAsia="zh-CN"/>
        </w:rPr>
      </w:pPr>
      <w:r>
        <w:rPr>
          <w:rFonts w:hint="eastAsia" w:ascii="仿宋_GB2312" w:eastAsia="仿宋_GB2312"/>
          <w:szCs w:val="32"/>
        </w:rPr>
        <w:t>15.商业服务业等支出（类）涉外发展服务支出（款）其他涉外发展服务支出（项）。年初预算为0万元，支出决算为20.15万元。决算数大于年初预算的原因是</w:t>
      </w:r>
      <w:r>
        <w:rPr>
          <w:rFonts w:hint="eastAsia" w:ascii="仿宋_GB2312" w:eastAsia="仿宋_GB2312"/>
          <w:szCs w:val="32"/>
          <w:lang w:eastAsia="zh-CN"/>
        </w:rPr>
        <w:t>此项目为临时追加项目，未做年初预算。</w:t>
      </w:r>
    </w:p>
    <w:p>
      <w:pPr>
        <w:numPr>
          <w:ilvl w:val="0"/>
          <w:numId w:val="0"/>
        </w:numPr>
        <w:spacing w:line="580" w:lineRule="exact"/>
        <w:ind w:firstLine="640" w:firstLineChars="200"/>
        <w:rPr>
          <w:rFonts w:hint="eastAsia" w:ascii="仿宋_GB2312" w:eastAsia="仿宋_GB2312"/>
          <w:szCs w:val="32"/>
          <w:lang w:eastAsia="zh-CN"/>
        </w:rPr>
      </w:pPr>
      <w:r>
        <w:rPr>
          <w:rFonts w:hint="eastAsia" w:ascii="仿宋_GB2312" w:eastAsia="仿宋_GB2312"/>
          <w:szCs w:val="32"/>
        </w:rPr>
        <w:t>16.住房保障支出（类）保障性安居工程支出（款）其他保障性安居工程支出（项）。年初预算为0万元，支出决算为774万元。决算数大于年初预算的原因是</w:t>
      </w:r>
      <w:r>
        <w:rPr>
          <w:rFonts w:hint="eastAsia" w:ascii="仿宋_GB2312" w:eastAsia="仿宋_GB2312"/>
          <w:szCs w:val="32"/>
          <w:lang w:eastAsia="zh-CN"/>
        </w:rPr>
        <w:t>此项目为临时追加项目，未做年初预算。</w:t>
      </w:r>
    </w:p>
    <w:p>
      <w:pPr>
        <w:spacing w:line="580" w:lineRule="exact"/>
        <w:ind w:firstLine="640" w:firstLineChars="200"/>
        <w:rPr>
          <w:rFonts w:hint="eastAsia" w:ascii="黑体" w:hAnsi="黑体" w:eastAsia="黑体"/>
          <w:szCs w:val="32"/>
        </w:rPr>
      </w:pPr>
      <w:r>
        <w:rPr>
          <w:rFonts w:hint="eastAsia" w:ascii="黑体" w:hAnsi="黑体" w:eastAsia="黑体"/>
          <w:szCs w:val="32"/>
        </w:rPr>
        <w:t>六、一般公共预算财政拨款基本支出决算情况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2022年度一般公共预算财政拨款基本支出决算4584.4万元，包括人员经费和公用经费，支出具体情况如下：</w:t>
      </w:r>
    </w:p>
    <w:p>
      <w:pPr>
        <w:spacing w:line="580" w:lineRule="exact"/>
        <w:ind w:firstLine="640" w:firstLineChars="200"/>
        <w:rPr>
          <w:rFonts w:hint="eastAsia" w:ascii="仿宋_GB2312" w:eastAsia="仿宋_GB2312"/>
          <w:szCs w:val="32"/>
        </w:rPr>
      </w:pPr>
      <w:r>
        <w:rPr>
          <w:rFonts w:hint="eastAsia" w:ascii="仿宋_GB2312" w:eastAsia="仿宋_GB2312"/>
          <w:szCs w:val="32"/>
        </w:rPr>
        <w:t>人员经费2139.41万元，主要包括：基本工资、津贴补贴、奖金、绩效工资、机关事业单位基本养老保险缴费、职业年金缴费、职工基本医疗保险缴费、公务员医疗补助缴费、其他社会保障缴费、住房公积金、医疗费等。</w:t>
      </w:r>
    </w:p>
    <w:p>
      <w:pPr>
        <w:spacing w:line="580" w:lineRule="exact"/>
        <w:ind w:firstLine="640" w:firstLineChars="200"/>
        <w:rPr>
          <w:rFonts w:hint="eastAsia" w:ascii="仿宋_GB2312" w:eastAsia="仿宋_GB2312"/>
          <w:szCs w:val="32"/>
        </w:rPr>
      </w:pPr>
      <w:r>
        <w:rPr>
          <w:rFonts w:hint="eastAsia" w:ascii="仿宋_GB2312" w:eastAsia="仿宋_GB2312"/>
          <w:szCs w:val="32"/>
        </w:rPr>
        <w:t>公用经费2444.99万元，主要包括：委托业务费、公务用车运行维护费、其他商品和服务支出等。</w:t>
      </w:r>
    </w:p>
    <w:p>
      <w:pPr>
        <w:spacing w:line="580" w:lineRule="exact"/>
        <w:ind w:firstLine="640" w:firstLineChars="200"/>
        <w:rPr>
          <w:rFonts w:hint="eastAsia" w:ascii="黑体" w:hAnsi="黑体" w:eastAsia="黑体"/>
          <w:szCs w:val="32"/>
        </w:rPr>
      </w:pPr>
      <w:r>
        <w:rPr>
          <w:rFonts w:hint="eastAsia" w:ascii="黑体" w:hAnsi="黑体" w:eastAsia="黑体"/>
          <w:szCs w:val="32"/>
        </w:rPr>
        <w:t>七、政府性基金预算财政拨款收入支出决算情况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2022年度政府性基金预算财政拨款年初结转和结余    0万元，本年收入108273.18万元，本年支出108273.18万元，年末结转和结余0万元。支出具体情况如下：</w:t>
      </w:r>
    </w:p>
    <w:p>
      <w:pPr>
        <w:spacing w:line="580" w:lineRule="exact"/>
        <w:ind w:firstLine="640" w:firstLineChars="200"/>
        <w:rPr>
          <w:rFonts w:hint="eastAsia" w:ascii="仿宋_GB2312" w:eastAsia="仿宋_GB2312"/>
          <w:szCs w:val="32"/>
        </w:rPr>
      </w:pPr>
      <w:r>
        <w:rPr>
          <w:rFonts w:hint="eastAsia" w:ascii="仿宋_GB2312" w:eastAsia="仿宋_GB2312"/>
          <w:szCs w:val="32"/>
        </w:rPr>
        <w:t>（一）</w:t>
      </w:r>
      <w:r>
        <w:rPr>
          <w:rFonts w:hint="eastAsia" w:ascii="仿宋_GB2312" w:hAnsi="宋体" w:eastAsia="仿宋_GB2312" w:cs="Courier New"/>
          <w:szCs w:val="32"/>
        </w:rPr>
        <w:t>城乡社区支出（类）国有土地使用权出让收入安排的支出（款）城市建设支出（项）。</w:t>
      </w:r>
      <w:r>
        <w:rPr>
          <w:rFonts w:hint="eastAsia" w:ascii="仿宋_GB2312" w:eastAsia="仿宋_GB2312"/>
          <w:szCs w:val="32"/>
        </w:rPr>
        <w:t>年初预算为233.3万元，支出决算为233.3万元，完成年初预算的100%。决算数与年初预算基本持平。</w:t>
      </w:r>
    </w:p>
    <w:p>
      <w:pPr>
        <w:spacing w:line="580" w:lineRule="exact"/>
        <w:ind w:firstLine="640" w:firstLineChars="200"/>
        <w:rPr>
          <w:rFonts w:hint="eastAsia" w:ascii="仿宋_GB2312" w:eastAsia="仿宋_GB2312"/>
          <w:szCs w:val="32"/>
        </w:rPr>
      </w:pPr>
      <w:r>
        <w:rPr>
          <w:rFonts w:hint="eastAsia" w:ascii="仿宋_GB2312" w:eastAsia="仿宋_GB2312"/>
          <w:szCs w:val="32"/>
        </w:rPr>
        <w:t>（二）</w:t>
      </w:r>
      <w:r>
        <w:rPr>
          <w:rFonts w:hint="eastAsia" w:ascii="仿宋_GB2312" w:hAnsi="宋体" w:eastAsia="仿宋_GB2312" w:cs="Courier New"/>
          <w:szCs w:val="32"/>
        </w:rPr>
        <w:t>城乡社区支出（类）国有土地使用权出让收入安排的支出（款）农村基础设施建设支出（项）。</w:t>
      </w:r>
      <w:r>
        <w:rPr>
          <w:rFonts w:hint="eastAsia" w:ascii="仿宋_GB2312" w:eastAsia="仿宋_GB2312"/>
          <w:szCs w:val="32"/>
        </w:rPr>
        <w:t>年初预算为39.88万元，支出决算为39.88万元，完成年初预算的100%。决算数与年初预算基本持平。</w:t>
      </w:r>
    </w:p>
    <w:p>
      <w:pPr>
        <w:spacing w:line="580" w:lineRule="exact"/>
        <w:ind w:firstLine="640" w:firstLineChars="200"/>
        <w:rPr>
          <w:rFonts w:hint="eastAsia" w:ascii="仿宋_GB2312" w:eastAsia="仿宋_GB2312"/>
          <w:szCs w:val="32"/>
        </w:rPr>
      </w:pPr>
      <w:r>
        <w:rPr>
          <w:rFonts w:hint="eastAsia" w:ascii="仿宋_GB2312" w:eastAsia="仿宋_GB2312"/>
          <w:szCs w:val="32"/>
        </w:rPr>
        <w:t>（三）</w:t>
      </w:r>
      <w:r>
        <w:rPr>
          <w:rFonts w:hint="eastAsia" w:ascii="仿宋_GB2312" w:hAnsi="宋体" w:eastAsia="仿宋_GB2312" w:cs="Courier New"/>
          <w:szCs w:val="32"/>
        </w:rPr>
        <w:t>城乡社区支出（类）棚户区改造专项债券收入安排的支出（款）其他棚户区改造专项债券收入安排的支出（项）。</w:t>
      </w:r>
      <w:r>
        <w:rPr>
          <w:rFonts w:hint="eastAsia" w:ascii="仿宋_GB2312" w:eastAsia="仿宋_GB2312"/>
          <w:szCs w:val="32"/>
        </w:rPr>
        <w:t>年初预算为100000万元，支出决算为108000万元，完成年初预算的108%。决算数大于年初预算的主要原因是22年又发行西温棚户区改造专项债券8000万元。</w:t>
      </w:r>
    </w:p>
    <w:p>
      <w:pPr>
        <w:spacing w:line="580" w:lineRule="exact"/>
        <w:ind w:firstLine="640" w:firstLineChars="200"/>
        <w:rPr>
          <w:rFonts w:hint="eastAsia" w:ascii="黑体" w:hAnsi="黑体" w:eastAsia="黑体"/>
          <w:szCs w:val="32"/>
        </w:rPr>
      </w:pPr>
      <w:r>
        <w:rPr>
          <w:rFonts w:hint="eastAsia" w:ascii="黑体" w:hAnsi="黑体" w:eastAsia="黑体"/>
          <w:szCs w:val="32"/>
        </w:rPr>
        <w:t>八、国有资本经营预算财政拨款支出决算情况</w:t>
      </w:r>
    </w:p>
    <w:p>
      <w:pPr>
        <w:spacing w:line="580" w:lineRule="exact"/>
        <w:ind w:firstLine="640" w:firstLineChars="200"/>
        <w:rPr>
          <w:rFonts w:hint="eastAsia" w:ascii="仿宋_GB2312" w:eastAsia="仿宋_GB2312"/>
          <w:b/>
          <w:szCs w:val="32"/>
        </w:rPr>
      </w:pPr>
      <w:r>
        <w:rPr>
          <w:rFonts w:hint="eastAsia" w:ascii="仿宋_GB2312" w:eastAsia="仿宋_GB2312"/>
          <w:szCs w:val="32"/>
        </w:rPr>
        <w:t>本</w:t>
      </w:r>
      <w:r>
        <w:rPr>
          <w:rFonts w:hint="eastAsia" w:ascii="仿宋_GB2312" w:eastAsia="仿宋_GB2312"/>
          <w:szCs w:val="32"/>
          <w:lang w:eastAsia="zh-CN"/>
        </w:rPr>
        <w:t>单位</w:t>
      </w:r>
      <w:r>
        <w:rPr>
          <w:rFonts w:hint="eastAsia" w:ascii="仿宋_GB2312" w:eastAsia="仿宋_GB2312"/>
          <w:szCs w:val="32"/>
        </w:rPr>
        <w:t>没有国有资本经营预算财政拨款支出。</w:t>
      </w:r>
    </w:p>
    <w:p>
      <w:pPr>
        <w:spacing w:line="580" w:lineRule="exact"/>
        <w:ind w:firstLine="640" w:firstLineChars="200"/>
        <w:rPr>
          <w:rFonts w:hint="eastAsia" w:ascii="黑体" w:hAnsi="黑体" w:eastAsia="黑体"/>
          <w:szCs w:val="32"/>
        </w:rPr>
      </w:pPr>
      <w:r>
        <w:rPr>
          <w:rFonts w:hint="eastAsia" w:ascii="黑体" w:hAnsi="黑体" w:eastAsia="黑体"/>
          <w:szCs w:val="32"/>
        </w:rPr>
        <w:t>九、财政拨款“三公”经费支出决算情况</w:t>
      </w:r>
    </w:p>
    <w:p>
      <w:pPr>
        <w:spacing w:line="580" w:lineRule="exact"/>
        <w:ind w:firstLine="640" w:firstLineChars="200"/>
        <w:rPr>
          <w:rFonts w:hint="eastAsia" w:ascii="楷体_GB2312" w:eastAsia="楷体_GB2312"/>
          <w:szCs w:val="32"/>
        </w:rPr>
      </w:pPr>
      <w:r>
        <w:rPr>
          <w:rFonts w:hint="eastAsia" w:ascii="楷体_GB2312" w:eastAsia="楷体_GB2312"/>
          <w:szCs w:val="32"/>
        </w:rPr>
        <w:t>（一）“三公”经费支出决算总体情况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2022年度财政拨款“三公”经费支出全年预算为101.74万元，支出决算为101.74万元，与2022年全年预算基本持平，完成全年预算的100%。</w:t>
      </w:r>
    </w:p>
    <w:p>
      <w:pPr>
        <w:spacing w:line="580" w:lineRule="exact"/>
        <w:ind w:firstLine="640" w:firstLineChars="200"/>
        <w:rPr>
          <w:rFonts w:hint="eastAsia" w:ascii="楷体_GB2312" w:eastAsia="楷体_GB2312"/>
          <w:szCs w:val="32"/>
        </w:rPr>
      </w:pPr>
      <w:r>
        <w:rPr>
          <w:rFonts w:hint="eastAsia" w:ascii="楷体_GB2312" w:eastAsia="楷体_GB2312"/>
          <w:szCs w:val="32"/>
        </w:rPr>
        <w:t>（二）“三公”经费支出决算具体情况</w:t>
      </w:r>
    </w:p>
    <w:p>
      <w:pPr>
        <w:spacing w:line="580" w:lineRule="exact"/>
        <w:ind w:firstLine="640" w:firstLineChars="200"/>
        <w:rPr>
          <w:rFonts w:hint="eastAsia" w:ascii="仿宋_GB2312" w:eastAsia="仿宋_GB2312"/>
          <w:szCs w:val="32"/>
        </w:rPr>
      </w:pPr>
      <w:r>
        <w:rPr>
          <w:rFonts w:hint="eastAsia" w:ascii="仿宋_GB2312" w:eastAsia="仿宋_GB2312"/>
          <w:szCs w:val="32"/>
        </w:rPr>
        <w:t>1.因公出国（境）费全年预算为0万元，支出决算为0万元，与2022年全年预算基本持平，完成全年预算的100%。</w:t>
      </w:r>
    </w:p>
    <w:p>
      <w:pPr>
        <w:spacing w:line="580" w:lineRule="exact"/>
        <w:ind w:firstLine="640" w:firstLineChars="200"/>
        <w:rPr>
          <w:rFonts w:hint="eastAsia" w:ascii="仿宋_GB2312" w:eastAsia="仿宋_GB2312"/>
          <w:szCs w:val="32"/>
        </w:rPr>
      </w:pPr>
      <w:r>
        <w:rPr>
          <w:rFonts w:hint="eastAsia" w:ascii="仿宋_GB2312" w:eastAsia="仿宋_GB2312"/>
          <w:szCs w:val="32"/>
        </w:rPr>
        <w:t>全年支出涉及因公出国（境）团组0个,累计0人次。</w:t>
      </w:r>
    </w:p>
    <w:p>
      <w:pPr>
        <w:spacing w:line="580" w:lineRule="exact"/>
        <w:ind w:firstLine="640" w:firstLineChars="200"/>
        <w:rPr>
          <w:rFonts w:hint="eastAsia" w:ascii="仿宋_GB2312" w:eastAsia="仿宋_GB2312"/>
          <w:szCs w:val="32"/>
        </w:rPr>
      </w:pPr>
      <w:r>
        <w:rPr>
          <w:rFonts w:hint="eastAsia" w:ascii="仿宋_GB2312" w:eastAsia="仿宋_GB2312"/>
          <w:szCs w:val="32"/>
        </w:rPr>
        <w:t>2.公务用车购置及运行维护费全年预算为101.74万元，支出决算为101.74万元，与2022年全年预算基本持平，完成全年预算的100%。</w:t>
      </w:r>
    </w:p>
    <w:p>
      <w:pPr>
        <w:spacing w:line="580" w:lineRule="exact"/>
        <w:ind w:firstLine="640" w:firstLineChars="200"/>
        <w:rPr>
          <w:rFonts w:hint="eastAsia" w:ascii="仿宋_GB2312" w:eastAsia="仿宋_GB2312"/>
          <w:szCs w:val="32"/>
        </w:rPr>
      </w:pPr>
      <w:r>
        <w:rPr>
          <w:rFonts w:hint="eastAsia" w:ascii="仿宋_GB2312" w:eastAsia="仿宋_GB2312"/>
          <w:szCs w:val="32"/>
        </w:rPr>
        <w:t>其中：公务用车购置费支出0万元，2022年青岛市即墨区温泉街道办事处使用财政拨款购置公务用车0辆。公务用车运行维护费101.74万元，主要是按规定保留的公务用车的燃料费、维修费、保险费等支出。截至2022年12月31日，青岛市即墨区温泉街道办事处财政拨款开支运行维护费的公务用车保有量为13辆。</w:t>
      </w:r>
    </w:p>
    <w:p>
      <w:pPr>
        <w:spacing w:line="580" w:lineRule="exact"/>
        <w:ind w:firstLine="640" w:firstLineChars="200"/>
        <w:rPr>
          <w:rFonts w:hint="eastAsia" w:ascii="仿宋_GB2312" w:eastAsia="仿宋_GB2312"/>
          <w:szCs w:val="32"/>
        </w:rPr>
      </w:pPr>
      <w:r>
        <w:rPr>
          <w:rFonts w:hint="eastAsia" w:ascii="仿宋_GB2312" w:eastAsia="仿宋_GB2312"/>
          <w:szCs w:val="32"/>
        </w:rPr>
        <w:t>3.公务接待费全年预算为0万元，支出决算为0万元，比全年预算基本持平，完成全年预算的100%。</w:t>
      </w:r>
    </w:p>
    <w:p>
      <w:pPr>
        <w:spacing w:line="580" w:lineRule="exact"/>
        <w:ind w:firstLine="640" w:firstLineChars="200"/>
        <w:rPr>
          <w:rFonts w:hint="eastAsia" w:ascii="仿宋_GB2312" w:eastAsia="仿宋_GB2312"/>
          <w:szCs w:val="32"/>
        </w:rPr>
      </w:pPr>
      <w:r>
        <w:rPr>
          <w:rFonts w:hint="eastAsia" w:ascii="仿宋_GB2312" w:eastAsia="仿宋_GB2312"/>
          <w:szCs w:val="32"/>
        </w:rPr>
        <w:t>其中：国内接待费0万元，共计接待0批次、0人次（含外事接待0批次、0人次）；国（境）外接待费0万元，共计接待0批次、0人次。</w:t>
      </w:r>
    </w:p>
    <w:p>
      <w:pPr>
        <w:spacing w:line="580" w:lineRule="exact"/>
        <w:ind w:firstLine="640" w:firstLineChars="200"/>
        <w:rPr>
          <w:rFonts w:hint="eastAsia" w:ascii="黑体" w:hAnsi="黑体" w:eastAsia="黑体"/>
          <w:szCs w:val="32"/>
        </w:rPr>
      </w:pPr>
      <w:r>
        <w:rPr>
          <w:rFonts w:hint="eastAsia" w:ascii="黑体" w:hAnsi="黑体" w:eastAsia="黑体"/>
          <w:szCs w:val="32"/>
        </w:rPr>
        <w:t xml:space="preserve">十、其他重要事项情况说明 </w:t>
      </w:r>
    </w:p>
    <w:p>
      <w:pPr>
        <w:spacing w:line="580" w:lineRule="exact"/>
        <w:ind w:firstLine="640" w:firstLineChars="200"/>
        <w:rPr>
          <w:rFonts w:hint="eastAsia" w:ascii="楷体_GB2312" w:eastAsia="楷体_GB2312"/>
          <w:szCs w:val="32"/>
        </w:rPr>
      </w:pPr>
      <w:r>
        <w:rPr>
          <w:rFonts w:hint="eastAsia" w:ascii="楷体_GB2312" w:eastAsia="楷体_GB2312"/>
          <w:szCs w:val="32"/>
        </w:rPr>
        <w:t>（一）机关运行经费支出情况</w:t>
      </w:r>
    </w:p>
    <w:p>
      <w:pPr>
        <w:spacing w:line="580" w:lineRule="exact"/>
        <w:ind w:firstLine="640" w:firstLineChars="200"/>
        <w:rPr>
          <w:rFonts w:hint="eastAsia" w:ascii="仿宋_GB2312" w:eastAsia="仿宋_GB2312"/>
          <w:b/>
          <w:szCs w:val="32"/>
        </w:rPr>
      </w:pPr>
      <w:r>
        <w:rPr>
          <w:rFonts w:hint="eastAsia" w:ascii="仿宋_GB2312" w:eastAsia="仿宋_GB2312"/>
          <w:szCs w:val="32"/>
        </w:rPr>
        <w:t>2022年度机关运行经费支出2269.99万元</w:t>
      </w:r>
      <w:r>
        <w:rPr>
          <w:rFonts w:hint="eastAsia" w:ascii="仿宋_GB2312" w:hAnsi="宋体" w:eastAsia="仿宋_GB2312" w:cs="Courier New"/>
          <w:szCs w:val="32"/>
        </w:rPr>
        <w:t>，比上年决算数减少1165.07万元，</w:t>
      </w:r>
      <w:r>
        <w:rPr>
          <w:rFonts w:hint="eastAsia" w:ascii="仿宋_GB2312" w:eastAsia="仿宋_GB2312"/>
          <w:szCs w:val="32"/>
        </w:rPr>
        <w:t>下降</w:t>
      </w:r>
      <w:r>
        <w:rPr>
          <w:rFonts w:hint="eastAsia" w:ascii="仿宋_GB2312" w:hAnsi="宋体" w:eastAsia="仿宋_GB2312" w:cs="Courier New"/>
          <w:szCs w:val="32"/>
        </w:rPr>
        <w:t>33.92%，主要</w:t>
      </w:r>
      <w:r>
        <w:rPr>
          <w:rFonts w:hint="eastAsia" w:ascii="仿宋_GB2312" w:eastAsia="仿宋_GB2312"/>
          <w:szCs w:val="32"/>
        </w:rPr>
        <w:t>原因是2022年疫情原因，经济收入减少，减压行政运行。</w:t>
      </w:r>
    </w:p>
    <w:p>
      <w:pPr>
        <w:spacing w:line="580" w:lineRule="exact"/>
        <w:ind w:firstLine="640" w:firstLineChars="200"/>
        <w:rPr>
          <w:rFonts w:hint="eastAsia" w:ascii="楷体_GB2312" w:eastAsia="楷体_GB2312"/>
          <w:szCs w:val="32"/>
        </w:rPr>
      </w:pPr>
      <w:r>
        <w:rPr>
          <w:rFonts w:hint="eastAsia" w:ascii="楷体_GB2312" w:eastAsia="楷体_GB2312"/>
          <w:szCs w:val="32"/>
        </w:rPr>
        <w:t>（二）政府采购支出情况</w:t>
      </w:r>
    </w:p>
    <w:p>
      <w:pPr>
        <w:autoSpaceDE w:val="0"/>
        <w:autoSpaceDN w:val="0"/>
        <w:adjustRightInd w:val="0"/>
        <w:spacing w:line="580" w:lineRule="exact"/>
        <w:ind w:firstLine="640" w:firstLineChars="200"/>
        <w:jc w:val="left"/>
        <w:rPr>
          <w:rFonts w:hint="eastAsia" w:ascii="仿宋_GB2312" w:hAnsi="宋体" w:eastAsia="仿宋_GB2312" w:cs="Courier New"/>
          <w:szCs w:val="32"/>
        </w:rPr>
      </w:pPr>
      <w:r>
        <w:rPr>
          <w:rFonts w:hint="eastAsia" w:ascii="仿宋_GB2312" w:hAnsi="宋体" w:eastAsia="仿宋_GB2312" w:cs="Courier New"/>
          <w:szCs w:val="32"/>
        </w:rPr>
        <w:t>2022年度政府采购支出总额3041万元，其中：政府采购货物支出243万元、政府采购工程支出616万元、政府采购服务支出2182万元。授予中小企业合同金额2621万元，占政府采购支出总额的86%，其中：授予小微企业合同金额2096万元，占政府采购支出总额的69%。货物采购授予中小企业合同金额占货物支出金额的79%，工程采购授予中小企业合同金额占工程支出金额的100%，服务采购授予中小企业合同金额占服务支出金额的84%。</w:t>
      </w:r>
    </w:p>
    <w:p>
      <w:pPr>
        <w:spacing w:line="580" w:lineRule="exact"/>
        <w:ind w:firstLine="640" w:firstLineChars="200"/>
        <w:rPr>
          <w:rFonts w:hint="eastAsia" w:ascii="楷体_GB2312" w:eastAsia="楷体_GB2312"/>
          <w:szCs w:val="32"/>
        </w:rPr>
      </w:pPr>
      <w:r>
        <w:rPr>
          <w:rFonts w:hint="eastAsia" w:ascii="楷体_GB2312" w:eastAsia="楷体_GB2312"/>
          <w:szCs w:val="32"/>
        </w:rPr>
        <w:t>（三）国有资产占用情况</w:t>
      </w:r>
    </w:p>
    <w:p>
      <w:pPr>
        <w:spacing w:line="580" w:lineRule="exact"/>
        <w:ind w:firstLine="640" w:firstLineChars="200"/>
        <w:rPr>
          <w:rFonts w:hint="eastAsia" w:ascii="仿宋_GB2312" w:hAnsi="宋体" w:eastAsia="仿宋_GB2312" w:cs="Courier New"/>
          <w:szCs w:val="32"/>
        </w:rPr>
      </w:pPr>
      <w:r>
        <w:rPr>
          <w:rFonts w:hint="eastAsia" w:ascii="仿宋_GB2312" w:hAnsi="宋体" w:eastAsia="仿宋_GB2312" w:cs="Courier New"/>
          <w:szCs w:val="32"/>
        </w:rPr>
        <w:t>截至 2022年 12 月 31 日，本</w:t>
      </w:r>
      <w:r>
        <w:rPr>
          <w:rFonts w:hint="eastAsia" w:ascii="仿宋_GB2312" w:hAnsi="宋体" w:eastAsia="仿宋_GB2312" w:cs="Courier New"/>
          <w:szCs w:val="32"/>
          <w:lang w:eastAsia="zh-CN"/>
        </w:rPr>
        <w:t>单位</w:t>
      </w:r>
      <w:r>
        <w:rPr>
          <w:rFonts w:hint="eastAsia" w:ascii="仿宋_GB2312" w:hAnsi="宋体" w:eastAsia="仿宋_GB2312" w:cs="Courier New"/>
          <w:szCs w:val="32"/>
        </w:rPr>
        <w:t>共有车辆13辆，其中，符合规定领导干部用车0辆、机要通信用车1辆、应急保障用车2辆、执法执勤用车0辆、特种专业技术用车1辆、离退休干部用车0 辆、其他用车9辆，其他用车主要是用于文件报送、安全生产、护林防火等；单位价值 100 万元（含）以上设备（不含车辆）1台（套）。</w:t>
      </w:r>
    </w:p>
    <w:p>
      <w:pPr>
        <w:spacing w:line="580" w:lineRule="exact"/>
        <w:ind w:firstLine="640" w:firstLineChars="200"/>
        <w:rPr>
          <w:rFonts w:ascii="黑体" w:hAnsi="黑体" w:eastAsia="黑体"/>
          <w:szCs w:val="32"/>
        </w:rPr>
      </w:pPr>
      <w:r>
        <w:rPr>
          <w:rFonts w:hint="eastAsia" w:ascii="黑体" w:hAnsi="黑体" w:eastAsia="黑体"/>
          <w:szCs w:val="32"/>
        </w:rPr>
        <w:t>十一、预算绩效情况说明</w:t>
      </w:r>
    </w:p>
    <w:p>
      <w:pPr>
        <w:pStyle w:val="6"/>
        <w:spacing w:line="580" w:lineRule="exact"/>
        <w:ind w:firstLine="515" w:firstLineChars="161"/>
        <w:jc w:val="both"/>
        <w:rPr>
          <w:rFonts w:hint="eastAsia" w:ascii="楷体_GB2312" w:eastAsia="楷体_GB2312"/>
          <w:bCs/>
          <w:kern w:val="0"/>
          <w:szCs w:val="32"/>
        </w:rPr>
      </w:pPr>
      <w:r>
        <w:rPr>
          <w:rFonts w:hint="eastAsia" w:ascii="楷体_GB2312" w:eastAsia="楷体_GB2312"/>
          <w:bCs/>
          <w:kern w:val="0"/>
          <w:szCs w:val="32"/>
        </w:rPr>
        <w:t>（一）预算绩效管理工作开展情况</w:t>
      </w:r>
    </w:p>
    <w:p>
      <w:pPr>
        <w:pStyle w:val="6"/>
        <w:spacing w:line="580" w:lineRule="exact"/>
        <w:ind w:firstLine="515" w:firstLineChars="161"/>
        <w:jc w:val="both"/>
        <w:rPr>
          <w:rFonts w:ascii="仿宋_GB2312" w:eastAsia="仿宋_GB2312"/>
          <w:color w:val="000000"/>
          <w:kern w:val="0"/>
          <w:szCs w:val="32"/>
        </w:rPr>
      </w:pPr>
      <w:r>
        <w:rPr>
          <w:rFonts w:hint="eastAsia" w:ascii="仿宋_GB2312" w:eastAsia="仿宋_GB2312"/>
          <w:kern w:val="0"/>
          <w:szCs w:val="32"/>
        </w:rPr>
        <w:t>根据预算绩效管理要求，青岛市即墨区温泉街道办事处组织对2022年度区级预算项目和中央对地方转移支付、省对地方转移支付、市对地方转移支付项目全面开展绩效自评，其中，区级预算项目8个，涉及预算资金148</w:t>
      </w:r>
      <w:r>
        <w:rPr>
          <w:rFonts w:hint="eastAsia" w:ascii="仿宋_GB2312" w:eastAsia="仿宋_GB2312"/>
          <w:kern w:val="0"/>
          <w:szCs w:val="32"/>
          <w:lang w:val="en-US" w:eastAsia="zh-CN"/>
        </w:rPr>
        <w:t>18.16</w:t>
      </w:r>
      <w:r>
        <w:rPr>
          <w:rFonts w:hint="eastAsia" w:ascii="仿宋_GB2312" w:eastAsia="仿宋_GB2312"/>
          <w:kern w:val="0"/>
          <w:szCs w:val="32"/>
        </w:rPr>
        <w:t>万元，占</w:t>
      </w:r>
      <w:r>
        <w:rPr>
          <w:rFonts w:hint="eastAsia" w:ascii="仿宋_GB2312" w:eastAsia="仿宋_GB2312"/>
          <w:kern w:val="0"/>
          <w:szCs w:val="32"/>
          <w:lang w:eastAsia="zh-CN"/>
        </w:rPr>
        <w:t>单位</w:t>
      </w:r>
      <w:r>
        <w:rPr>
          <w:rFonts w:hint="eastAsia" w:ascii="仿宋_GB2312" w:eastAsia="仿宋_GB2312"/>
          <w:kern w:val="0"/>
          <w:szCs w:val="32"/>
        </w:rPr>
        <w:t>区级预算项目支出总额的</w:t>
      </w:r>
      <w:r>
        <w:rPr>
          <w:rFonts w:hint="eastAsia" w:ascii="仿宋_GB2312" w:eastAsia="仿宋_GB2312"/>
          <w:kern w:val="0"/>
          <w:szCs w:val="32"/>
          <w:lang w:val="en-US" w:eastAsia="zh-CN"/>
        </w:rPr>
        <w:t>13.5</w:t>
      </w:r>
      <w:r>
        <w:rPr>
          <w:rFonts w:hint="eastAsia" w:ascii="仿宋_GB2312" w:eastAsia="仿宋_GB2312"/>
          <w:kern w:val="0"/>
          <w:szCs w:val="32"/>
        </w:rPr>
        <w:t>%；中央对地方转移支付项目</w:t>
      </w:r>
      <w:r>
        <w:rPr>
          <w:rFonts w:hint="eastAsia" w:ascii="仿宋_GB2312" w:eastAsia="仿宋_GB2312"/>
          <w:kern w:val="0"/>
          <w:szCs w:val="32"/>
          <w:lang w:val="en-US" w:eastAsia="zh-CN"/>
        </w:rPr>
        <w:t>3</w:t>
      </w:r>
      <w:r>
        <w:rPr>
          <w:rFonts w:hint="eastAsia" w:ascii="仿宋_GB2312" w:eastAsia="仿宋_GB2312"/>
          <w:kern w:val="0"/>
          <w:szCs w:val="32"/>
        </w:rPr>
        <w:t>个，涉及预算资金288.15万元；</w:t>
      </w:r>
      <w:r>
        <w:rPr>
          <w:rFonts w:hint="eastAsia" w:ascii="仿宋_GB2312" w:eastAsia="仿宋_GB2312"/>
          <w:color w:val="000000"/>
          <w:kern w:val="0"/>
          <w:szCs w:val="32"/>
        </w:rPr>
        <w:t>省对地方转移支付项目0个，涉及预算资金0万元</w:t>
      </w:r>
      <w:r>
        <w:rPr>
          <w:rFonts w:hint="eastAsia" w:ascii="仿宋_GB2312" w:eastAsia="仿宋_GB2312"/>
          <w:kern w:val="0"/>
          <w:szCs w:val="32"/>
        </w:rPr>
        <w:t>；市对地方转移支付项目3个，涉及预算资金310.6万元</w:t>
      </w:r>
      <w:r>
        <w:rPr>
          <w:rFonts w:hint="eastAsia" w:ascii="仿宋_GB2312" w:eastAsia="仿宋_GB2312"/>
          <w:color w:val="000000"/>
          <w:kern w:val="0"/>
          <w:szCs w:val="32"/>
        </w:rPr>
        <w:t>。</w:t>
      </w:r>
    </w:p>
    <w:p>
      <w:pPr>
        <w:spacing w:line="580" w:lineRule="exact"/>
        <w:ind w:firstLine="640" w:firstLineChars="200"/>
        <w:rPr>
          <w:rFonts w:ascii="仿宋_GB2312" w:eastAsia="仿宋_GB2312"/>
          <w:szCs w:val="32"/>
        </w:rPr>
      </w:pPr>
      <w:r>
        <w:rPr>
          <w:rFonts w:hint="eastAsia" w:ascii="仿宋_GB2312" w:eastAsia="仿宋_GB2312"/>
          <w:szCs w:val="32"/>
        </w:rPr>
        <w:t>组织对“石泉庄路大中修项目”</w:t>
      </w:r>
      <w:r>
        <w:rPr>
          <w:rFonts w:hint="eastAsia" w:ascii="仿宋_GB2312" w:eastAsia="仿宋_GB2312"/>
          <w:szCs w:val="32"/>
          <w:lang w:val="en-US" w:eastAsia="zh-CN"/>
        </w:rPr>
        <w:t>1个项目</w:t>
      </w:r>
      <w:r>
        <w:rPr>
          <w:rFonts w:hint="eastAsia" w:ascii="仿宋_GB2312" w:eastAsia="仿宋_GB2312"/>
          <w:szCs w:val="32"/>
        </w:rPr>
        <w:t>开展了</w:t>
      </w:r>
      <w:r>
        <w:rPr>
          <w:rFonts w:hint="eastAsia" w:ascii="仿宋_GB2312" w:eastAsia="仿宋_GB2312"/>
          <w:szCs w:val="32"/>
          <w:lang w:val="en-US" w:eastAsia="zh-CN"/>
        </w:rPr>
        <w:t>重点绩效</w:t>
      </w:r>
      <w:bookmarkStart w:id="0" w:name="_GoBack"/>
      <w:bookmarkEnd w:id="0"/>
      <w:r>
        <w:rPr>
          <w:rFonts w:hint="eastAsia" w:ascii="仿宋_GB2312" w:eastAsia="仿宋_GB2312"/>
          <w:szCs w:val="32"/>
        </w:rPr>
        <w:t>评价，涉及预算资金233.3万元。</w:t>
      </w:r>
    </w:p>
    <w:p>
      <w:pPr>
        <w:spacing w:line="580" w:lineRule="exact"/>
        <w:ind w:firstLine="640" w:firstLineChars="200"/>
        <w:rPr>
          <w:rFonts w:hint="eastAsia" w:ascii="楷体_GB2312" w:eastAsia="楷体_GB2312"/>
          <w:bCs/>
          <w:kern w:val="0"/>
          <w:szCs w:val="32"/>
        </w:rPr>
      </w:pPr>
      <w:r>
        <w:rPr>
          <w:rFonts w:hint="eastAsia" w:ascii="楷体_GB2312" w:eastAsia="楷体_GB2312"/>
          <w:bCs/>
          <w:kern w:val="0"/>
          <w:szCs w:val="32"/>
        </w:rPr>
        <w:t>（二）区级预算项目绩效自评结果</w:t>
      </w:r>
    </w:p>
    <w:p>
      <w:pPr>
        <w:spacing w:line="580" w:lineRule="exact"/>
        <w:ind w:firstLine="640" w:firstLineChars="200"/>
        <w:rPr>
          <w:rFonts w:ascii="仿宋_GB2312" w:eastAsia="仿宋_GB2312" w:cs="仿宋_GB2312"/>
          <w:szCs w:val="32"/>
        </w:rPr>
      </w:pPr>
      <w:r>
        <w:rPr>
          <w:rFonts w:hint="eastAsia" w:ascii="仿宋_GB2312" w:eastAsia="仿宋_GB2312"/>
          <w:szCs w:val="32"/>
        </w:rPr>
        <w:t>青岛市即墨区温泉街道办事处2022年度区级预算绩效自评的8个项目中，5个项目自评等级为优，3个项目自评等级为差。</w:t>
      </w:r>
      <w:r>
        <w:rPr>
          <w:rFonts w:hint="eastAsia" w:ascii="仿宋_GB2312" w:eastAsia="仿宋_GB2312" w:cs="仿宋_GB2312"/>
          <w:szCs w:val="32"/>
        </w:rPr>
        <w:t>从自评情况看，项目支出绩效管理的重视程度进一步提升，大部分项目有序开展，大部分项目有序开展，执行和完成情况较好，资金使用比较规范，但也存在部分项目产出指标低于预期、项目实施进展慢等问题。</w:t>
      </w:r>
    </w:p>
    <w:p>
      <w:pPr>
        <w:spacing w:line="580" w:lineRule="exact"/>
        <w:ind w:firstLine="640" w:firstLineChars="200"/>
        <w:rPr>
          <w:rFonts w:hint="eastAsia" w:ascii="仿宋_GB2312" w:eastAsia="仿宋_GB2312"/>
          <w:szCs w:val="32"/>
        </w:rPr>
      </w:pPr>
      <w:r>
        <w:rPr>
          <w:rFonts w:hint="eastAsia" w:ascii="仿宋_GB2312" w:eastAsia="仿宋_GB2312"/>
          <w:szCs w:val="32"/>
        </w:rPr>
        <w:t>今年在</w:t>
      </w:r>
      <w:r>
        <w:rPr>
          <w:rFonts w:hint="eastAsia" w:ascii="仿宋_GB2312" w:eastAsia="仿宋_GB2312"/>
          <w:szCs w:val="32"/>
          <w:lang w:eastAsia="zh-CN"/>
        </w:rPr>
        <w:t>单位</w:t>
      </w:r>
      <w:r>
        <w:rPr>
          <w:rFonts w:hint="eastAsia" w:ascii="仿宋_GB2312" w:eastAsia="仿宋_GB2312"/>
          <w:szCs w:val="32"/>
        </w:rPr>
        <w:t>决算中反映了2022年度全部区级预算项目绩效自评结果，以及“西温社区安置区建设项目二期（C地块）”“石泉庄路大中修”等</w:t>
      </w:r>
      <w:r>
        <w:rPr>
          <w:rFonts w:hint="eastAsia" w:ascii="仿宋_GB2312" w:eastAsia="仿宋_GB2312"/>
          <w:szCs w:val="32"/>
          <w:lang w:val="en-US" w:eastAsia="zh-CN"/>
        </w:rPr>
        <w:t>8</w:t>
      </w:r>
      <w:r>
        <w:rPr>
          <w:rFonts w:hint="eastAsia" w:ascii="仿宋_GB2312" w:eastAsia="仿宋_GB2312"/>
          <w:szCs w:val="32"/>
        </w:rPr>
        <w:t>个项目的绩效自评表。</w:t>
      </w:r>
    </w:p>
    <w:p>
      <w:pPr>
        <w:spacing w:line="580" w:lineRule="exact"/>
        <w:ind w:firstLine="640" w:firstLineChars="200"/>
        <w:rPr>
          <w:rFonts w:ascii="仿宋_GB2312" w:eastAsia="仿宋_GB2312"/>
          <w:szCs w:val="32"/>
        </w:rPr>
      </w:pPr>
      <w:r>
        <w:rPr>
          <w:rFonts w:hint="eastAsia" w:ascii="仿宋_GB2312" w:eastAsia="仿宋_GB2312"/>
          <w:szCs w:val="32"/>
        </w:rPr>
        <w:t>1.西温社区安置区建设项目二期（C地块）项目绩效自评综述：根据年初设定的绩效目标，项目自评得分为100分。全年预算数为8000万元，执行数为8000万元，完成预算的100%。项目绩效目标完成情况：及时足额拨付安置区建设资金，加快建设进度，带动经济发展，改善村庄人居环境。</w:t>
      </w:r>
    </w:p>
    <w:p>
      <w:pPr>
        <w:spacing w:line="560" w:lineRule="exact"/>
        <w:ind w:firstLine="640" w:firstLineChars="200"/>
        <w:rPr>
          <w:rFonts w:ascii="仿宋_GB2312" w:eastAsia="仿宋_GB2312"/>
          <w:szCs w:val="32"/>
        </w:rPr>
      </w:pPr>
      <w:r>
        <w:rPr>
          <w:rFonts w:hint="eastAsia" w:ascii="仿宋_GB2312" w:eastAsia="仿宋_GB2312"/>
          <w:szCs w:val="32"/>
        </w:rPr>
        <w:t>2.落实公办及集体幼儿园非公办教职工待遇项目绩效自评综述：根据年初设定的绩效目标，全年预算数为10</w:t>
      </w:r>
      <w:r>
        <w:rPr>
          <w:rFonts w:hint="eastAsia" w:ascii="仿宋_GB2312" w:eastAsia="仿宋_GB2312"/>
          <w:szCs w:val="32"/>
          <w:lang w:val="en-US" w:eastAsia="zh-CN"/>
        </w:rPr>
        <w:t>6</w:t>
      </w:r>
      <w:r>
        <w:rPr>
          <w:rFonts w:hint="eastAsia" w:ascii="仿宋_GB2312" w:eastAsia="仿宋_GB2312"/>
          <w:szCs w:val="32"/>
        </w:rPr>
        <w:t>.</w:t>
      </w:r>
      <w:r>
        <w:rPr>
          <w:rFonts w:hint="eastAsia" w:ascii="仿宋_GB2312" w:eastAsia="仿宋_GB2312"/>
          <w:szCs w:val="32"/>
          <w:lang w:val="en-US" w:eastAsia="zh-CN"/>
        </w:rPr>
        <w:t>4</w:t>
      </w:r>
      <w:r>
        <w:rPr>
          <w:rFonts w:hint="eastAsia" w:ascii="仿宋_GB2312" w:eastAsia="仿宋_GB2312"/>
          <w:szCs w:val="32"/>
        </w:rPr>
        <w:t>4万元，执行数为106.44万元，完成预算的</w:t>
      </w:r>
      <w:r>
        <w:rPr>
          <w:rFonts w:hint="eastAsia" w:ascii="仿宋_GB2312" w:eastAsia="仿宋_GB2312"/>
          <w:szCs w:val="32"/>
          <w:lang w:val="en-US" w:eastAsia="zh-CN"/>
        </w:rPr>
        <w:t>100</w:t>
      </w:r>
      <w:r>
        <w:rPr>
          <w:rFonts w:hint="eastAsia" w:ascii="仿宋_GB2312" w:eastAsia="仿宋_GB2312"/>
          <w:szCs w:val="32"/>
        </w:rPr>
        <w:t>%。</w:t>
      </w:r>
      <w:r>
        <w:rPr>
          <w:rFonts w:hint="eastAsia" w:ascii="仿宋_GB2312" w:eastAsia="仿宋_GB2312"/>
          <w:color w:val="000000"/>
          <w:szCs w:val="32"/>
        </w:rPr>
        <w:t>项目绩效目标完成情况：落实公办及集体办幼儿园老师待遇，促进我街道幼儿园事业发展。</w:t>
      </w:r>
    </w:p>
    <w:p>
      <w:pPr>
        <w:spacing w:line="580" w:lineRule="exact"/>
        <w:ind w:firstLine="640" w:firstLineChars="200"/>
        <w:rPr>
          <w:rFonts w:hint="eastAsia" w:ascii="仿宋_GB2312" w:eastAsia="仿宋_GB2312"/>
          <w:szCs w:val="32"/>
        </w:rPr>
      </w:pPr>
      <w:r>
        <w:rPr>
          <w:rFonts w:hint="eastAsia" w:ascii="仿宋_GB2312" w:eastAsia="仿宋_GB2312"/>
          <w:szCs w:val="32"/>
        </w:rPr>
        <w:t>3.城市社区党组织服务群众专项经费项目绩效自评综述：根据年初设定的绩效目标，项目自评得分为0分。全年预算数为20万元，执行数为0万元，完成预算的0%。项目绩效目标完成情况：提高城市党组织社区工作效率，提升服务质量，城市社区工作服务群众满意。发现的主要问题及原因：资金拨付不及时，原因是资金下达时间晚，年底系统关闭未能及时拨付。下一步改进措施：将于2023年按计划支付。</w:t>
      </w:r>
    </w:p>
    <w:p>
      <w:pPr>
        <w:spacing w:line="580" w:lineRule="exact"/>
        <w:ind w:firstLine="640" w:firstLineChars="200"/>
        <w:rPr>
          <w:rFonts w:ascii="仿宋_GB2312" w:eastAsia="仿宋_GB2312"/>
          <w:szCs w:val="32"/>
        </w:rPr>
      </w:pPr>
      <w:r>
        <w:rPr>
          <w:rFonts w:hint="eastAsia" w:ascii="仿宋_GB2312" w:eastAsia="仿宋_GB2312"/>
          <w:szCs w:val="32"/>
        </w:rPr>
        <w:t>4.2021年城市社区办公经费项目绩效自评综述：根据年初设定的绩效目标，项目自评得分为100分。全年预算数为7万元，执行数为7万元，完成预算的100%。项目绩效目标完成情况：保障城市社区各项工作正常运转，办公经费拨付及时，办公成本节约，保障城市社区各项工作高效开展，进一步提高工作效率，提升服务质量，社区居民满意。</w:t>
      </w:r>
    </w:p>
    <w:p>
      <w:pPr>
        <w:spacing w:line="580" w:lineRule="exact"/>
        <w:ind w:firstLine="640" w:firstLineChars="200"/>
        <w:rPr>
          <w:rFonts w:hint="eastAsia" w:ascii="仿宋_GB2312" w:eastAsia="仿宋_GB2312"/>
          <w:szCs w:val="32"/>
        </w:rPr>
      </w:pPr>
      <w:r>
        <w:rPr>
          <w:rFonts w:hint="eastAsia" w:ascii="仿宋_GB2312" w:eastAsia="仿宋_GB2312"/>
          <w:szCs w:val="32"/>
        </w:rPr>
        <w:t>5.2022年城市社区办公经费项目绩效自评综述：根据年初设定的绩效目标，项目自评得分为0分。全年预算数为7万元，执行数为0万元，完成预算的0%。项目绩效目标完成情况：保障城市社区各项工作正常运转，办公成本节约，保障城市社区各项工作高效开展，进一步提高工作效率，提升服务质量，社区居民满意。发现的主要问题及原因：资金拨付不及时，原因是资金下达时间晚，年底系统关闭未能及时拨付。下一步改进措施：将于2023年按计划支付。</w:t>
      </w:r>
    </w:p>
    <w:p>
      <w:pPr>
        <w:spacing w:line="580" w:lineRule="exact"/>
        <w:ind w:firstLine="640" w:firstLineChars="200"/>
        <w:rPr>
          <w:rFonts w:hint="eastAsia" w:ascii="仿宋_GB2312" w:eastAsia="仿宋_GB2312"/>
          <w:szCs w:val="32"/>
        </w:rPr>
      </w:pPr>
      <w:r>
        <w:rPr>
          <w:rFonts w:hint="eastAsia" w:ascii="仿宋_GB2312" w:eastAsia="仿宋_GB2312"/>
          <w:szCs w:val="32"/>
        </w:rPr>
        <w:t>6.非公党建工作经费项目绩效自评综述：根据年初设定的绩效目标，项目自评得分为0分。全年预算数为3万元，执行数为0万元，完成预算的0%。项目绩效目标完成情况：提高社会组织党建工作效率，确保完成相关工作，群众满意。发现的主要问题及原因：资金拨付不及时，原因是资金下达时间晚，年底系统关闭未能及时拨付。下一步改进措施：将于2023年按计划支付。</w:t>
      </w:r>
    </w:p>
    <w:p>
      <w:pPr>
        <w:spacing w:line="580" w:lineRule="exact"/>
        <w:ind w:firstLine="640" w:firstLineChars="200"/>
        <w:rPr>
          <w:rFonts w:hint="eastAsia" w:ascii="仿宋_GB2312" w:eastAsia="仿宋_GB2312"/>
          <w:szCs w:val="32"/>
        </w:rPr>
      </w:pPr>
      <w:r>
        <w:rPr>
          <w:rFonts w:hint="eastAsia" w:ascii="仿宋_GB2312" w:eastAsia="仿宋_GB2312"/>
          <w:szCs w:val="32"/>
        </w:rPr>
        <w:t>7.石泉庄路大中修项目绩效自评综述：根据年初设定的绩效目标，项目自评得分为100分。全年预算数为233.3万元，执行数为233.3万元，完成预算的100%。项目绩效目标完成情况：改造提升村庄道路，促进环境改善，全面提升居民生活环境质量。</w:t>
      </w:r>
    </w:p>
    <w:p>
      <w:pPr>
        <w:spacing w:line="580" w:lineRule="exact"/>
        <w:ind w:firstLine="640" w:firstLineChars="200"/>
        <w:rPr>
          <w:rFonts w:hint="eastAsia" w:ascii="仿宋_GB2312" w:eastAsia="仿宋_GB2312"/>
          <w:szCs w:val="32"/>
        </w:rPr>
      </w:pPr>
      <w:r>
        <w:rPr>
          <w:rFonts w:hint="eastAsia" w:ascii="仿宋_GB2312" w:eastAsia="仿宋_GB2312"/>
          <w:szCs w:val="32"/>
        </w:rPr>
        <w:t>8.农村街巷硬化项目绩效自评综述：根据年初设定的绩效目标，项目自评得分为100分。全年预算数为39.88万元，执行数为39.88万元，完成预算的100%。项目绩效目标完成情况：提高社会组织党建工作效率，确保完成相关工作，群众满意。发现的主要问题及原因：改造提升村庄道路，促进环境改善，全面提升居民生活环境质量。</w:t>
      </w:r>
    </w:p>
    <w:p>
      <w:pPr>
        <w:spacing w:line="580" w:lineRule="exact"/>
        <w:ind w:firstLine="640" w:firstLineChars="200"/>
        <w:rPr>
          <w:rFonts w:ascii="仿宋_GB2312" w:eastAsia="仿宋_GB2312"/>
          <w:szCs w:val="32"/>
        </w:rPr>
      </w:pPr>
      <w:r>
        <w:rPr>
          <w:rFonts w:hint="eastAsia" w:ascii="仿宋_GB2312" w:eastAsia="仿宋_GB2312"/>
          <w:kern w:val="0"/>
          <w:szCs w:val="32"/>
        </w:rPr>
        <w:t>2022年度区级预算项目绩效自评情况汇总表和</w:t>
      </w:r>
      <w:r>
        <w:rPr>
          <w:rFonts w:hint="eastAsia" w:ascii="仿宋_GB2312" w:eastAsia="仿宋_GB2312"/>
          <w:kern w:val="0"/>
          <w:szCs w:val="32"/>
          <w:lang w:bidi="ar"/>
        </w:rPr>
        <w:t>区级预算项目绩效自评表</w:t>
      </w:r>
      <w:r>
        <w:rPr>
          <w:rFonts w:hint="eastAsia" w:ascii="仿宋_GB2312" w:eastAsia="仿宋_GB2312"/>
          <w:szCs w:val="32"/>
        </w:rPr>
        <w:t>详见</w:t>
      </w:r>
      <w:r>
        <w:rPr>
          <w:rFonts w:hint="eastAsia" w:ascii="仿宋_GB2312" w:eastAsia="仿宋_GB2312"/>
          <w:kern w:val="0"/>
          <w:szCs w:val="32"/>
        </w:rPr>
        <w:t>“第五部分 附件”</w:t>
      </w:r>
      <w:r>
        <w:rPr>
          <w:rFonts w:hint="eastAsia" w:ascii="仿宋_GB2312" w:eastAsia="仿宋_GB2312"/>
          <w:szCs w:val="32"/>
        </w:rPr>
        <w:t>。</w:t>
      </w:r>
    </w:p>
    <w:p>
      <w:pPr>
        <w:spacing w:line="580" w:lineRule="exact"/>
        <w:ind w:firstLine="640" w:firstLineChars="200"/>
        <w:rPr>
          <w:rFonts w:hint="eastAsia" w:ascii="楷体_GB2312" w:hAnsi="楷体_GB2312" w:eastAsia="楷体_GB2312" w:cs="楷体_GB2312"/>
          <w:bCs/>
          <w:szCs w:val="32"/>
        </w:rPr>
      </w:pPr>
      <w:r>
        <w:rPr>
          <w:rFonts w:hint="eastAsia" w:ascii="楷体_GB2312" w:hAnsi="楷体_GB2312" w:eastAsia="楷体_GB2312" w:cs="楷体_GB2312"/>
          <w:bCs/>
          <w:szCs w:val="32"/>
        </w:rPr>
        <w:t>（三）中央对地方转移支付项目绩效自评结果</w:t>
      </w:r>
    </w:p>
    <w:p>
      <w:pPr>
        <w:spacing w:line="580" w:lineRule="exact"/>
        <w:ind w:firstLine="640" w:firstLineChars="200"/>
        <w:rPr>
          <w:rFonts w:ascii="仿宋_GB2312" w:eastAsia="仿宋_GB2312"/>
          <w:b/>
          <w:szCs w:val="32"/>
        </w:rPr>
      </w:pPr>
      <w:r>
        <w:rPr>
          <w:rFonts w:hint="eastAsia" w:ascii="仿宋_GB2312" w:eastAsia="仿宋_GB2312"/>
          <w:szCs w:val="32"/>
        </w:rPr>
        <w:t>青岛市即墨区温泉街道办事处对“2022年保障性安居工程中央基建投资资金”“公益林生态绩效补偿资金”等2022年度中央对地方转移支付项目开展绩效自评。</w:t>
      </w:r>
      <w:r>
        <w:rPr>
          <w:rFonts w:hint="eastAsia" w:ascii="仿宋_GB2312" w:eastAsia="仿宋_GB2312" w:cs="仿宋_GB2312"/>
          <w:szCs w:val="32"/>
        </w:rPr>
        <w:t>从自评情况看，项目支出绩效管理的重视程度进一步提升，大部分项目有序开展，执行和完成情况较好，资金使用比较规范，但也存在部分项目产出指标低于预期、项目实施进展慢等问题。</w:t>
      </w:r>
    </w:p>
    <w:p>
      <w:pPr>
        <w:spacing w:line="560" w:lineRule="exact"/>
        <w:ind w:firstLine="640" w:firstLineChars="200"/>
        <w:rPr>
          <w:rFonts w:ascii="仿宋_GB2312" w:eastAsia="仿宋_GB2312"/>
          <w:szCs w:val="32"/>
        </w:rPr>
      </w:pPr>
      <w:r>
        <w:rPr>
          <w:rFonts w:hint="eastAsia" w:ascii="仿宋_GB2312" w:eastAsia="仿宋_GB2312"/>
          <w:szCs w:val="32"/>
        </w:rPr>
        <w:t>1.2022年保障性安居工程中央基建投资资金项目绩效自评综述：根据年初设定的绩效目标，项目自评得分为100分。全年预算数为256万元，执行数为256万元，完成预算的100%。项目绩效目标完成情况：带动周边经济增长，改善居民居住生活条件，提高生活质量。</w:t>
      </w:r>
    </w:p>
    <w:p>
      <w:pPr>
        <w:spacing w:line="560" w:lineRule="exact"/>
        <w:ind w:firstLine="640" w:firstLineChars="200"/>
        <w:rPr>
          <w:rFonts w:hint="eastAsia" w:ascii="仿宋_GB2312" w:eastAsia="仿宋_GB2312"/>
          <w:szCs w:val="32"/>
        </w:rPr>
      </w:pPr>
      <w:r>
        <w:rPr>
          <w:rFonts w:hint="eastAsia" w:ascii="仿宋_GB2312" w:eastAsia="仿宋_GB2312"/>
          <w:szCs w:val="32"/>
        </w:rPr>
        <w:t>2.公益林生态绩效补偿资金项目绩效自评综述：根据年初设定的绩效目标，项目自评得分为100分。全年预算数为12.15万元，执行数为12.15万元，完成预算的100%。项目绩效目标完成情况：保护森林资源，有效改善生态环境。</w:t>
      </w:r>
    </w:p>
    <w:p>
      <w:pPr>
        <w:spacing w:line="560" w:lineRule="exact"/>
        <w:ind w:firstLine="640" w:firstLineChars="200"/>
        <w:rPr>
          <w:rFonts w:ascii="仿宋_GB2312" w:eastAsia="仿宋_GB2312"/>
          <w:szCs w:val="32"/>
        </w:rPr>
      </w:pPr>
      <w:r>
        <w:rPr>
          <w:rFonts w:hint="eastAsia" w:ascii="仿宋_GB2312" w:eastAsia="仿宋_GB2312"/>
          <w:szCs w:val="32"/>
        </w:rPr>
        <w:t>3.第一书记和乡村振兴工作队项目资金项目绩效自评综述：根据年初设定的绩效目标，项目自评得分为100分。全年预算数为20万元，执行数为20万元，完成预算的100%。项目绩效目标完成情况：支持村庄发展，加强村庄队伍建设，提升村庄干部服务群众的能力。</w:t>
      </w:r>
    </w:p>
    <w:p>
      <w:pPr>
        <w:spacing w:line="580" w:lineRule="exact"/>
        <w:ind w:firstLine="640" w:firstLineChars="200"/>
        <w:rPr>
          <w:rFonts w:ascii="仿宋_GB2312" w:eastAsia="仿宋_GB2312"/>
          <w:szCs w:val="32"/>
        </w:rPr>
      </w:pPr>
      <w:r>
        <w:rPr>
          <w:rFonts w:hint="eastAsia" w:ascii="仿宋_GB2312" w:eastAsia="仿宋_GB2312"/>
          <w:kern w:val="0"/>
          <w:szCs w:val="32"/>
        </w:rPr>
        <w:t>2022年度中央对地方转移支付项目绩效自评报告和</w:t>
      </w:r>
      <w:r>
        <w:rPr>
          <w:rFonts w:hint="eastAsia" w:ascii="仿宋_GB2312" w:eastAsia="仿宋_GB2312"/>
          <w:kern w:val="0"/>
          <w:szCs w:val="32"/>
          <w:lang w:bidi="ar"/>
        </w:rPr>
        <w:t>自评表</w:t>
      </w:r>
      <w:r>
        <w:rPr>
          <w:rFonts w:hint="eastAsia" w:ascii="仿宋_GB2312" w:eastAsia="仿宋_GB2312"/>
          <w:szCs w:val="32"/>
        </w:rPr>
        <w:t>详见</w:t>
      </w:r>
      <w:r>
        <w:rPr>
          <w:rFonts w:hint="eastAsia" w:ascii="仿宋_GB2312" w:eastAsia="仿宋_GB2312"/>
          <w:kern w:val="0"/>
          <w:szCs w:val="32"/>
        </w:rPr>
        <w:t>“第五部分 附件”</w:t>
      </w:r>
      <w:r>
        <w:rPr>
          <w:rFonts w:hint="eastAsia" w:ascii="仿宋_GB2312" w:eastAsia="仿宋_GB2312"/>
          <w:szCs w:val="32"/>
        </w:rPr>
        <w:t>。</w:t>
      </w:r>
    </w:p>
    <w:p>
      <w:pPr>
        <w:spacing w:line="580" w:lineRule="exact"/>
        <w:ind w:firstLine="640" w:firstLineChars="200"/>
        <w:rPr>
          <w:rFonts w:hint="eastAsia" w:ascii="楷体_GB2312" w:hAnsi="楷体_GB2312" w:eastAsia="楷体_GB2312" w:cs="楷体_GB2312"/>
          <w:bCs/>
          <w:szCs w:val="32"/>
        </w:rPr>
      </w:pPr>
      <w:r>
        <w:rPr>
          <w:rFonts w:hint="eastAsia" w:ascii="楷体_GB2312" w:eastAsia="楷体_GB2312"/>
          <w:bCs/>
          <w:kern w:val="0"/>
          <w:szCs w:val="32"/>
        </w:rPr>
        <w:t>（四）</w:t>
      </w:r>
      <w:r>
        <w:rPr>
          <w:rFonts w:hint="eastAsia" w:ascii="楷体_GB2312" w:hAnsi="楷体_GB2312" w:eastAsia="楷体_GB2312" w:cs="楷体_GB2312"/>
          <w:bCs/>
          <w:szCs w:val="32"/>
        </w:rPr>
        <w:t>省对地方转移支付项目绩效自评结果</w:t>
      </w:r>
    </w:p>
    <w:p>
      <w:pPr>
        <w:spacing w:line="580" w:lineRule="exact"/>
        <w:ind w:firstLine="640" w:firstLineChars="200"/>
        <w:rPr>
          <w:rFonts w:ascii="仿宋_GB2312" w:eastAsia="仿宋_GB2312"/>
          <w:b/>
          <w:szCs w:val="32"/>
        </w:rPr>
      </w:pPr>
      <w:r>
        <w:rPr>
          <w:rFonts w:hint="eastAsia" w:ascii="仿宋_GB2312" w:eastAsia="仿宋_GB2312"/>
          <w:szCs w:val="32"/>
        </w:rPr>
        <w:t>本</w:t>
      </w:r>
      <w:r>
        <w:rPr>
          <w:rFonts w:hint="eastAsia" w:ascii="仿宋_GB2312" w:eastAsia="仿宋_GB2312"/>
          <w:szCs w:val="32"/>
          <w:lang w:eastAsia="zh-CN"/>
        </w:rPr>
        <w:t>单位</w:t>
      </w:r>
      <w:r>
        <w:rPr>
          <w:rFonts w:hint="eastAsia" w:ascii="仿宋_GB2312" w:eastAsia="仿宋_GB2312"/>
          <w:szCs w:val="32"/>
        </w:rPr>
        <w:t>无省对地方转移支付绩效自评项目。</w:t>
      </w:r>
    </w:p>
    <w:p>
      <w:pPr>
        <w:spacing w:line="580" w:lineRule="exact"/>
        <w:ind w:firstLine="640" w:firstLineChars="200"/>
        <w:rPr>
          <w:rFonts w:hint="eastAsia" w:ascii="楷体_GB2312" w:hAnsi="楷体_GB2312" w:eastAsia="楷体_GB2312" w:cs="楷体_GB2312"/>
          <w:bCs/>
          <w:szCs w:val="32"/>
        </w:rPr>
      </w:pPr>
      <w:r>
        <w:rPr>
          <w:rFonts w:hint="eastAsia" w:ascii="楷体_GB2312" w:eastAsia="楷体_GB2312"/>
          <w:bCs/>
          <w:kern w:val="0"/>
          <w:szCs w:val="32"/>
        </w:rPr>
        <w:t>（五）</w:t>
      </w:r>
      <w:r>
        <w:rPr>
          <w:rFonts w:hint="eastAsia" w:ascii="楷体_GB2312" w:hAnsi="楷体_GB2312" w:eastAsia="楷体_GB2312" w:cs="楷体_GB2312"/>
          <w:bCs/>
          <w:szCs w:val="32"/>
        </w:rPr>
        <w:t>市对地方转移支付项目绩效自评结果</w:t>
      </w:r>
    </w:p>
    <w:p>
      <w:pPr>
        <w:spacing w:line="580" w:lineRule="exact"/>
        <w:ind w:firstLine="640" w:firstLineChars="200"/>
        <w:rPr>
          <w:rFonts w:ascii="仿宋_GB2312" w:eastAsia="仿宋_GB2312"/>
          <w:b/>
          <w:szCs w:val="32"/>
        </w:rPr>
      </w:pPr>
      <w:r>
        <w:rPr>
          <w:rFonts w:hint="eastAsia" w:ascii="仿宋_GB2312" w:eastAsia="仿宋_GB2312"/>
          <w:szCs w:val="32"/>
        </w:rPr>
        <w:t>青岛市即墨区温泉街道办事处对“公益林生态绩效补偿资金”“恒温库和温室大棚建设项目”等2022年度市对地方转移支付项目开展绩效自评。</w:t>
      </w:r>
      <w:r>
        <w:rPr>
          <w:rFonts w:hint="eastAsia" w:ascii="仿宋_GB2312" w:eastAsia="仿宋_GB2312" w:cs="仿宋_GB2312"/>
          <w:szCs w:val="32"/>
        </w:rPr>
        <w:t>从自评情况看，项目支出绩效管理的重视程度进一步提升，大部分项目有序开展，执行和完成情况较好，资金使用比较规范，但也存在部分项目产出指标低于预期、项目实施进展慢等问题。</w:t>
      </w:r>
    </w:p>
    <w:p>
      <w:pPr>
        <w:spacing w:line="560" w:lineRule="exact"/>
        <w:ind w:firstLine="640" w:firstLineChars="200"/>
        <w:rPr>
          <w:rFonts w:hint="eastAsia" w:ascii="仿宋_GB2312" w:eastAsia="仿宋_GB2312"/>
          <w:szCs w:val="32"/>
        </w:rPr>
      </w:pPr>
      <w:r>
        <w:rPr>
          <w:rFonts w:hint="eastAsia" w:ascii="仿宋_GB2312" w:eastAsia="仿宋_GB2312"/>
          <w:szCs w:val="32"/>
        </w:rPr>
        <w:t>1.公益林生态绩效补偿资金项目绩效自评综述：根据年初设定的绩效目标，项目自评得分为100分。全年预算数为12.44万元，执行数为12.44万元，完成预算的100%。项目绩效目标完成情况：保护森林资源，有效改善生态环境。</w:t>
      </w:r>
    </w:p>
    <w:p>
      <w:pPr>
        <w:spacing w:line="560" w:lineRule="exact"/>
        <w:ind w:firstLine="640" w:firstLineChars="200"/>
        <w:rPr>
          <w:rFonts w:ascii="仿宋_GB2312" w:eastAsia="仿宋_GB2312"/>
          <w:szCs w:val="32"/>
        </w:rPr>
      </w:pPr>
      <w:r>
        <w:rPr>
          <w:rFonts w:hint="eastAsia" w:ascii="仿宋_GB2312" w:eastAsia="仿宋_GB2312"/>
          <w:szCs w:val="32"/>
        </w:rPr>
        <w:t>2.恒温库和温室大棚建设项目绩效自评综述：根据年初设定的绩效目标，项目自评得分为96分。全年预算数为278.01万元，执行数为</w:t>
      </w:r>
      <w:r>
        <w:rPr>
          <w:rFonts w:hint="eastAsia" w:ascii="仿宋_GB2312" w:eastAsia="仿宋_GB2312"/>
          <w:szCs w:val="32"/>
          <w:lang w:val="en-US" w:eastAsia="zh-CN"/>
        </w:rPr>
        <w:t>278.01</w:t>
      </w:r>
      <w:r>
        <w:rPr>
          <w:rFonts w:hint="eastAsia" w:ascii="仿宋_GB2312" w:eastAsia="仿宋_GB2312"/>
          <w:szCs w:val="32"/>
        </w:rPr>
        <w:t>万元，完成预算的</w:t>
      </w:r>
      <w:r>
        <w:rPr>
          <w:rFonts w:hint="eastAsia" w:ascii="仿宋_GB2312" w:eastAsia="仿宋_GB2312"/>
          <w:szCs w:val="32"/>
          <w:lang w:val="en-US" w:eastAsia="zh-CN"/>
        </w:rPr>
        <w:t>100</w:t>
      </w:r>
      <w:r>
        <w:rPr>
          <w:rFonts w:hint="eastAsia" w:ascii="仿宋_GB2312" w:eastAsia="仿宋_GB2312"/>
          <w:szCs w:val="32"/>
        </w:rPr>
        <w:t>%。项目绩效目标完成情况：解决农村剩余劳动力，带动就业；高标准发展生态农业，促进生态发展；提高农业经济效益，促进经济发展。</w:t>
      </w:r>
    </w:p>
    <w:p>
      <w:pPr>
        <w:spacing w:line="580" w:lineRule="exact"/>
        <w:ind w:firstLine="640" w:firstLineChars="200"/>
        <w:rPr>
          <w:rFonts w:hint="eastAsia" w:ascii="仿宋_GB2312" w:eastAsia="仿宋_GB2312"/>
          <w:szCs w:val="32"/>
        </w:rPr>
      </w:pPr>
      <w:r>
        <w:rPr>
          <w:rFonts w:hint="eastAsia" w:ascii="仿宋_GB2312" w:eastAsia="仿宋_GB2312"/>
          <w:szCs w:val="32"/>
        </w:rPr>
        <w:t>3.2022年外贸发展（进口贴息项目）资金项目绩效自评综述：根据年初设定的绩效目标，项目自评得分为0分。全年预算数为20.15万元，执行数为0万元，完成预算的0%。项目绩效目标完成情况：支持企业发展，促进地方经济增长。发现的主要问题及原因：资金拨付不及时，原因是资金下达时间晚，年底系统关闭未能及时拨付。下一步改进措施：将于2023年按计划支付。</w:t>
      </w:r>
    </w:p>
    <w:p>
      <w:pPr>
        <w:spacing w:line="580" w:lineRule="exact"/>
        <w:ind w:firstLine="640" w:firstLineChars="200"/>
        <w:rPr>
          <w:rFonts w:ascii="仿宋_GB2312" w:eastAsia="仿宋_GB2312"/>
          <w:szCs w:val="32"/>
        </w:rPr>
      </w:pPr>
      <w:r>
        <w:rPr>
          <w:rFonts w:hint="eastAsia" w:ascii="仿宋_GB2312" w:eastAsia="仿宋_GB2312"/>
          <w:kern w:val="0"/>
          <w:szCs w:val="32"/>
        </w:rPr>
        <w:t>2022年度</w:t>
      </w:r>
      <w:r>
        <w:rPr>
          <w:rFonts w:hint="eastAsia" w:ascii="仿宋_GB2312" w:eastAsia="仿宋_GB2312"/>
          <w:szCs w:val="32"/>
        </w:rPr>
        <w:t>市</w:t>
      </w:r>
      <w:r>
        <w:rPr>
          <w:rFonts w:hint="eastAsia" w:ascii="仿宋_GB2312" w:eastAsia="仿宋_GB2312"/>
          <w:kern w:val="0"/>
          <w:szCs w:val="32"/>
        </w:rPr>
        <w:t>对地方转移支付项目绩效</w:t>
      </w:r>
      <w:r>
        <w:rPr>
          <w:rFonts w:hint="eastAsia" w:ascii="仿宋_GB2312" w:eastAsia="仿宋_GB2312"/>
          <w:kern w:val="0"/>
          <w:szCs w:val="32"/>
          <w:lang w:bidi="ar"/>
        </w:rPr>
        <w:t>自评表</w:t>
      </w:r>
      <w:r>
        <w:rPr>
          <w:rFonts w:hint="eastAsia" w:ascii="仿宋_GB2312" w:eastAsia="仿宋_GB2312"/>
          <w:szCs w:val="32"/>
        </w:rPr>
        <w:t>详见</w:t>
      </w:r>
      <w:r>
        <w:rPr>
          <w:rFonts w:hint="eastAsia" w:ascii="仿宋_GB2312" w:eastAsia="仿宋_GB2312"/>
          <w:kern w:val="0"/>
          <w:szCs w:val="32"/>
        </w:rPr>
        <w:t>“第五部分 附件”</w:t>
      </w:r>
      <w:r>
        <w:rPr>
          <w:rFonts w:hint="eastAsia" w:ascii="仿宋_GB2312" w:eastAsia="仿宋_GB2312"/>
          <w:szCs w:val="32"/>
        </w:rPr>
        <w:t>。</w:t>
      </w:r>
    </w:p>
    <w:p>
      <w:pPr>
        <w:widowControl/>
        <w:spacing w:line="580" w:lineRule="exact"/>
        <w:ind w:firstLine="640" w:firstLineChars="200"/>
        <w:rPr>
          <w:rFonts w:hint="eastAsia" w:ascii="楷体_GB2312" w:eastAsia="楷体_GB2312"/>
          <w:bCs/>
          <w:kern w:val="0"/>
          <w:szCs w:val="32"/>
        </w:rPr>
      </w:pPr>
      <w:r>
        <w:rPr>
          <w:rFonts w:hint="eastAsia" w:ascii="楷体_GB2312" w:eastAsia="楷体_GB2312"/>
          <w:bCs/>
          <w:kern w:val="0"/>
          <w:szCs w:val="32"/>
        </w:rPr>
        <w:t>（六</w:t>
      </w:r>
      <w:r>
        <w:rPr>
          <w:rFonts w:ascii="楷体_GB2312" w:eastAsia="楷体_GB2312"/>
          <w:bCs/>
          <w:kern w:val="0"/>
          <w:szCs w:val="32"/>
        </w:rPr>
        <w:t>）</w:t>
      </w:r>
      <w:r>
        <w:rPr>
          <w:rFonts w:hint="eastAsia" w:ascii="楷体_GB2312" w:eastAsia="楷体_GB2312"/>
          <w:bCs/>
          <w:kern w:val="0"/>
          <w:szCs w:val="32"/>
          <w:lang w:eastAsia="zh-CN"/>
        </w:rPr>
        <w:t>单位</w:t>
      </w:r>
      <w:r>
        <w:rPr>
          <w:rFonts w:hint="eastAsia" w:ascii="楷体_GB2312" w:eastAsia="楷体_GB2312"/>
          <w:bCs/>
          <w:kern w:val="0"/>
          <w:szCs w:val="32"/>
        </w:rPr>
        <w:t>评价结果</w:t>
      </w:r>
    </w:p>
    <w:p>
      <w:pPr>
        <w:widowControl/>
        <w:spacing w:line="580" w:lineRule="exact"/>
        <w:ind w:firstLine="640" w:firstLineChars="200"/>
        <w:rPr>
          <w:rFonts w:hint="eastAsia" w:ascii="仿宋_GB2312" w:eastAsia="仿宋_GB2312"/>
          <w:kern w:val="0"/>
          <w:szCs w:val="32"/>
        </w:rPr>
      </w:pPr>
      <w:r>
        <w:rPr>
          <w:rFonts w:hint="eastAsia" w:ascii="仿宋_GB2312" w:eastAsia="仿宋_GB2312"/>
          <w:kern w:val="0"/>
          <w:szCs w:val="32"/>
        </w:rPr>
        <w:t>1.“石泉庄路大中修”项目，绩效评价得分为89分，等级为良。</w:t>
      </w:r>
    </w:p>
    <w:p>
      <w:pPr>
        <w:widowControl/>
        <w:spacing w:line="580" w:lineRule="exact"/>
        <w:ind w:firstLine="640" w:firstLineChars="200"/>
        <w:rPr>
          <w:rFonts w:ascii="仿宋_GB2312" w:eastAsia="仿宋_GB2312"/>
          <w:kern w:val="0"/>
          <w:szCs w:val="32"/>
        </w:rPr>
      </w:pPr>
      <w:r>
        <w:rPr>
          <w:rFonts w:hint="eastAsia" w:ascii="仿宋_GB2312" w:eastAsia="仿宋_GB2312"/>
          <w:kern w:val="0"/>
          <w:szCs w:val="32"/>
          <w:lang w:eastAsia="zh-CN"/>
        </w:rPr>
        <w:t>单位</w:t>
      </w:r>
      <w:r>
        <w:rPr>
          <w:rFonts w:hint="eastAsia" w:ascii="仿宋_GB2312" w:eastAsia="仿宋_GB2312"/>
          <w:kern w:val="0"/>
          <w:szCs w:val="32"/>
        </w:rPr>
        <w:t>评价报告详见“第五部分 附件”。</w:t>
      </w:r>
    </w:p>
    <w:p>
      <w:pPr>
        <w:spacing w:line="580" w:lineRule="exact"/>
        <w:ind w:firstLine="640" w:firstLineChars="200"/>
        <w:rPr>
          <w:rFonts w:hint="eastAsia" w:ascii="楷体_GB2312" w:eastAsia="楷体_GB2312"/>
          <w:szCs w:val="32"/>
        </w:rPr>
      </w:pPr>
      <w:r>
        <w:rPr>
          <w:rFonts w:hint="eastAsia" w:ascii="楷体_GB2312" w:eastAsia="楷体_GB2312"/>
          <w:bCs/>
          <w:kern w:val="0"/>
          <w:szCs w:val="32"/>
        </w:rPr>
        <w:t>（七）</w:t>
      </w:r>
      <w:r>
        <w:rPr>
          <w:rFonts w:hint="eastAsia" w:ascii="楷体_GB2312" w:eastAsia="楷体_GB2312"/>
          <w:szCs w:val="32"/>
        </w:rPr>
        <w:t>财政评价结果</w:t>
      </w:r>
    </w:p>
    <w:p>
      <w:pPr>
        <w:spacing w:line="580" w:lineRule="exact"/>
        <w:ind w:firstLine="640" w:firstLineChars="200"/>
        <w:rPr>
          <w:rFonts w:hint="eastAsia" w:ascii="仿宋_GB2312" w:eastAsia="仿宋_GB2312"/>
          <w:bCs/>
          <w:szCs w:val="32"/>
        </w:rPr>
      </w:pPr>
      <w:r>
        <w:rPr>
          <w:rFonts w:hint="eastAsia" w:ascii="仿宋_GB2312" w:eastAsia="仿宋_GB2312"/>
          <w:bCs/>
          <w:szCs w:val="32"/>
        </w:rPr>
        <w:t>本</w:t>
      </w:r>
      <w:r>
        <w:rPr>
          <w:rFonts w:hint="eastAsia" w:ascii="仿宋_GB2312" w:eastAsia="仿宋_GB2312"/>
          <w:bCs/>
          <w:szCs w:val="32"/>
          <w:lang w:eastAsia="zh-CN"/>
        </w:rPr>
        <w:t>单位</w:t>
      </w:r>
      <w:r>
        <w:rPr>
          <w:rFonts w:hint="eastAsia" w:ascii="仿宋_GB2312" w:eastAsia="仿宋_GB2312"/>
          <w:bCs/>
          <w:szCs w:val="32"/>
        </w:rPr>
        <w:t>未有向区人大常委会报告的财政评价项目。</w:t>
      </w:r>
    </w:p>
    <w:p>
      <w:pPr>
        <w:spacing w:line="560" w:lineRule="exact"/>
        <w:ind w:firstLine="200"/>
      </w:pPr>
    </w:p>
    <w:p>
      <w:pPr>
        <w:spacing w:line="560" w:lineRule="exact"/>
        <w:ind w:firstLine="200"/>
      </w:pPr>
    </w:p>
    <w:p>
      <w:pPr>
        <w:spacing w:line="580" w:lineRule="exact"/>
        <w:ind w:firstLine="200"/>
      </w:pPr>
    </w:p>
    <w:p>
      <w:pPr>
        <w:spacing w:line="580" w:lineRule="exact"/>
        <w:ind w:firstLine="200"/>
        <w:rPr>
          <w:rFonts w:hint="eastAsia" w:ascii="方正小标宋简体" w:eastAsia="方正小标宋简体"/>
          <w:sz w:val="42"/>
        </w:rPr>
      </w:pPr>
    </w:p>
    <w:p>
      <w:pPr>
        <w:rPr>
          <w:rFonts w:hint="eastAsia" w:ascii="方正小标宋简体" w:eastAsia="方正小标宋简体"/>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r>
        <w:rPr>
          <w:rFonts w:hint="eastAsia" w:ascii="方正小标宋简体" w:eastAsia="方正小标宋简体"/>
          <w:spacing w:val="60"/>
          <w:sz w:val="42"/>
        </w:rPr>
        <w:t>第四部分</w:t>
      </w: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8"/>
        </w:rPr>
      </w:pPr>
      <w:r>
        <w:rPr>
          <w:rFonts w:hint="eastAsia" w:ascii="方正小标宋简体" w:eastAsia="方正小标宋简体"/>
          <w:spacing w:val="60"/>
          <w:sz w:val="48"/>
        </w:rPr>
        <w:t>名词解释</w:t>
      </w: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p>
    <w:p>
      <w:pPr>
        <w:jc w:val="center"/>
        <w:rPr>
          <w:rFonts w:hint="eastAsia" w:ascii="方正小标宋简体" w:eastAsia="方正小标宋简体"/>
          <w:spacing w:val="60"/>
          <w:sz w:val="48"/>
        </w:rPr>
      </w:pPr>
    </w:p>
    <w:p>
      <w:pPr>
        <w:spacing w:line="580" w:lineRule="exact"/>
        <w:ind w:firstLine="640" w:firstLineChars="200"/>
        <w:rPr>
          <w:rFonts w:ascii="黑体" w:hAnsi="黑体" w:eastAsia="黑体"/>
          <w:color w:val="000000"/>
          <w:szCs w:val="32"/>
        </w:rPr>
        <w:sectPr>
          <w:pgSz w:w="11906" w:h="16838"/>
          <w:pgMar w:top="2041" w:right="1701" w:bottom="2041" w:left="1701" w:header="851" w:footer="992" w:gutter="0"/>
          <w:cols w:space="720" w:num="1"/>
          <w:docGrid w:type="lines" w:linePitch="312" w:charSpace="0"/>
        </w:sectPr>
      </w:pPr>
    </w:p>
    <w:p>
      <w:pPr>
        <w:spacing w:line="580" w:lineRule="exact"/>
        <w:ind w:firstLine="640" w:firstLineChars="200"/>
        <w:rPr>
          <w:rFonts w:hint="eastAsia" w:ascii="仿宋_GB2312" w:eastAsia="仿宋_GB2312"/>
          <w:szCs w:val="32"/>
        </w:rPr>
      </w:pPr>
      <w:r>
        <w:rPr>
          <w:rFonts w:hint="eastAsia" w:ascii="黑体" w:hAnsi="黑体" w:eastAsia="黑体"/>
          <w:color w:val="000000"/>
          <w:szCs w:val="32"/>
        </w:rPr>
        <w:t>一、财政拨款收入：</w:t>
      </w:r>
      <w:r>
        <w:rPr>
          <w:rFonts w:hint="eastAsia" w:ascii="仿宋_GB2312" w:eastAsia="仿宋_GB2312"/>
          <w:szCs w:val="32"/>
        </w:rPr>
        <w:t>指单位本年度从本级财政</w:t>
      </w:r>
      <w:r>
        <w:rPr>
          <w:rFonts w:hint="eastAsia" w:ascii="仿宋_GB2312" w:eastAsia="仿宋_GB2312"/>
          <w:szCs w:val="32"/>
          <w:lang w:eastAsia="zh-CN"/>
        </w:rPr>
        <w:t>单位</w:t>
      </w:r>
      <w:r>
        <w:rPr>
          <w:rFonts w:hint="eastAsia" w:ascii="仿宋_GB2312" w:eastAsia="仿宋_GB2312"/>
          <w:szCs w:val="32"/>
        </w:rPr>
        <w:t>取得的财政拨款，包括一般公共预算财政拨款、政府性基金预算财政拨款和国有资本经营预算财政拨款。</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二、上级补助收入：</w:t>
      </w:r>
      <w:r>
        <w:rPr>
          <w:rFonts w:hint="eastAsia" w:ascii="仿宋_GB2312" w:hAnsi="仿宋" w:eastAsia="仿宋_GB2312"/>
          <w:szCs w:val="32"/>
        </w:rPr>
        <w:t>指事业单位从主管</w:t>
      </w:r>
      <w:r>
        <w:rPr>
          <w:rFonts w:hint="eastAsia" w:ascii="仿宋_GB2312" w:hAnsi="仿宋" w:eastAsia="仿宋_GB2312"/>
          <w:szCs w:val="32"/>
          <w:lang w:eastAsia="zh-CN"/>
        </w:rPr>
        <w:t>单位</w:t>
      </w:r>
      <w:r>
        <w:rPr>
          <w:rFonts w:hint="eastAsia" w:ascii="仿宋_GB2312" w:hAnsi="仿宋" w:eastAsia="仿宋_GB2312"/>
          <w:szCs w:val="32"/>
        </w:rPr>
        <w:t>和上级单位取得的非财政补助收入。</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三、事业收入：</w:t>
      </w:r>
      <w:r>
        <w:rPr>
          <w:rFonts w:hint="eastAsia" w:ascii="仿宋_GB2312" w:hAnsi="仿宋" w:eastAsia="仿宋_GB2312"/>
          <w:szCs w:val="32"/>
        </w:rPr>
        <w:t>指事业单位开展专业业务活动及其辅助活动取得的收入；包括事业单位收到的财政专户实际核拨的教育收费等。</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四、经营收入：</w:t>
      </w:r>
      <w:r>
        <w:rPr>
          <w:rFonts w:hint="eastAsia" w:ascii="仿宋_GB2312" w:hAnsi="仿宋" w:eastAsia="仿宋_GB2312"/>
          <w:szCs w:val="32"/>
        </w:rPr>
        <w:t>指事业单位在专业业务活动及其辅助活动之外开展非独立核算经营活动取得的收入。</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五、附属单位上缴收入：</w:t>
      </w:r>
      <w:r>
        <w:rPr>
          <w:rFonts w:hint="eastAsia" w:ascii="仿宋_GB2312" w:hAnsi="仿宋" w:eastAsia="仿宋_GB2312"/>
          <w:szCs w:val="32"/>
        </w:rPr>
        <w:t>指事业单位附属独立核算单位按照有关规定上缴的收入。</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六、其他收入：</w:t>
      </w:r>
      <w:r>
        <w:rPr>
          <w:rFonts w:hint="eastAsia" w:ascii="仿宋_GB2312" w:hAnsi="仿宋" w:eastAsia="仿宋_GB2312"/>
          <w:szCs w:val="32"/>
        </w:rPr>
        <w:t>指单位取得的除上述“</w:t>
      </w:r>
      <w:r>
        <w:rPr>
          <w:rFonts w:hint="eastAsia" w:ascii="仿宋_GB2312" w:eastAsia="仿宋_GB2312"/>
          <w:szCs w:val="32"/>
        </w:rPr>
        <w:t>财政拨款收入</w:t>
      </w:r>
      <w:r>
        <w:rPr>
          <w:rFonts w:hint="eastAsia" w:ascii="仿宋_GB2312" w:hAnsi="仿宋" w:eastAsia="仿宋_GB2312"/>
          <w:szCs w:val="32"/>
        </w:rPr>
        <w:t>”“上级补助收入”“事业收入”“经营收入”“附属单位上缴收入”等以外的各项收入。</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七、使用非财政拨款结余：</w:t>
      </w:r>
      <w:r>
        <w:rPr>
          <w:rFonts w:hint="eastAsia" w:ascii="仿宋_GB2312" w:hAnsi="仿宋" w:eastAsia="仿宋_GB2312"/>
          <w:szCs w:val="32"/>
        </w:rPr>
        <w:t>指事业单位按照预算管理要求使用非财政拨款结余弥补收支差额的金额。</w:t>
      </w:r>
    </w:p>
    <w:p>
      <w:pPr>
        <w:spacing w:line="580" w:lineRule="exact"/>
        <w:ind w:firstLine="640" w:firstLineChars="200"/>
        <w:rPr>
          <w:rFonts w:hint="eastAsia" w:ascii="仿宋_GB2312" w:eastAsia="仿宋_GB2312"/>
          <w:szCs w:val="32"/>
        </w:rPr>
      </w:pPr>
      <w:r>
        <w:rPr>
          <w:rFonts w:hint="eastAsia" w:ascii="黑体" w:hAnsi="黑体" w:eastAsia="黑体"/>
          <w:szCs w:val="32"/>
        </w:rPr>
        <w:t>八、年初结转和结余：</w:t>
      </w:r>
      <w:r>
        <w:rPr>
          <w:rFonts w:hint="eastAsia" w:ascii="仿宋_GB2312" w:eastAsia="仿宋_GB2312"/>
          <w:szCs w:val="32"/>
        </w:rPr>
        <w:t>指单位以前年度尚未完成、结转到本年仍按原规定用途继续使用的资金，或项目已完成等产生的结余资金。</w:t>
      </w:r>
    </w:p>
    <w:p>
      <w:pPr>
        <w:spacing w:line="580" w:lineRule="exact"/>
        <w:ind w:firstLine="640" w:firstLineChars="200"/>
        <w:rPr>
          <w:rFonts w:hint="eastAsia" w:ascii="仿宋_GB2312" w:eastAsia="仿宋_GB2312"/>
          <w:szCs w:val="32"/>
        </w:rPr>
      </w:pPr>
      <w:r>
        <w:rPr>
          <w:rFonts w:hint="eastAsia" w:ascii="黑体" w:hAnsi="黑体" w:eastAsia="黑体"/>
          <w:szCs w:val="32"/>
        </w:rPr>
        <w:t>九、结余分配：</w:t>
      </w:r>
      <w:r>
        <w:rPr>
          <w:rFonts w:hint="eastAsia" w:ascii="仿宋_GB2312" w:eastAsia="仿宋_GB2312"/>
          <w:szCs w:val="32"/>
        </w:rPr>
        <w:t>指事业单位缴纳的所得税以及从非财政拨款结余或经营结余中提取的各类结余。</w:t>
      </w:r>
    </w:p>
    <w:p>
      <w:pPr>
        <w:spacing w:line="580" w:lineRule="exact"/>
        <w:ind w:firstLine="640" w:firstLineChars="200"/>
        <w:rPr>
          <w:rFonts w:hint="eastAsia" w:ascii="仿宋_GB2312" w:hAnsi="仿宋" w:eastAsia="仿宋_GB2312"/>
          <w:szCs w:val="32"/>
        </w:rPr>
      </w:pPr>
      <w:r>
        <w:rPr>
          <w:rFonts w:hint="eastAsia" w:ascii="黑体" w:hAnsi="黑体" w:eastAsia="黑体"/>
          <w:szCs w:val="32"/>
        </w:rPr>
        <w:t>十、年末结转和结余：</w:t>
      </w:r>
      <w:r>
        <w:rPr>
          <w:rFonts w:hint="eastAsia" w:ascii="仿宋_GB2312" w:hAnsi="仿宋" w:eastAsia="仿宋_GB2312"/>
          <w:szCs w:val="32"/>
        </w:rPr>
        <w:t>指单位本年度或以前年度预算安排、因客观条件发生变化未全部执行或未执行，结转到以后年度继续使用的资金，或项目已完成等产生的结余资金。</w:t>
      </w:r>
    </w:p>
    <w:p>
      <w:pPr>
        <w:spacing w:line="580" w:lineRule="exact"/>
        <w:ind w:firstLine="640" w:firstLineChars="200"/>
        <w:rPr>
          <w:rFonts w:hint="eastAsia" w:ascii="仿宋_GB2312" w:eastAsia="仿宋_GB2312"/>
          <w:szCs w:val="32"/>
        </w:rPr>
      </w:pPr>
      <w:r>
        <w:rPr>
          <w:rFonts w:hint="eastAsia" w:ascii="黑体" w:hAnsi="黑体" w:eastAsia="黑体"/>
          <w:szCs w:val="32"/>
        </w:rPr>
        <w:t>十一、基本支出：</w:t>
      </w:r>
      <w:r>
        <w:rPr>
          <w:rFonts w:hint="eastAsia" w:ascii="仿宋_GB2312" w:eastAsia="仿宋_GB2312"/>
          <w:szCs w:val="32"/>
        </w:rPr>
        <w:t>指单位为保障机构正常运转、完成日常工作任务而发生的各项支出。</w:t>
      </w:r>
    </w:p>
    <w:p>
      <w:pPr>
        <w:spacing w:line="580" w:lineRule="exact"/>
        <w:ind w:firstLine="640" w:firstLineChars="200"/>
        <w:rPr>
          <w:rFonts w:hint="eastAsia" w:ascii="仿宋_GB2312" w:eastAsia="仿宋_GB2312"/>
          <w:szCs w:val="32"/>
        </w:rPr>
      </w:pPr>
      <w:r>
        <w:rPr>
          <w:rFonts w:hint="eastAsia" w:ascii="黑体" w:hAnsi="黑体" w:eastAsia="黑体"/>
          <w:szCs w:val="32"/>
        </w:rPr>
        <w:t>十二、项目支出：</w:t>
      </w:r>
      <w:r>
        <w:rPr>
          <w:rFonts w:hint="eastAsia" w:ascii="仿宋_GB2312" w:eastAsia="仿宋_GB2312"/>
          <w:szCs w:val="32"/>
        </w:rPr>
        <w:t>指单位为完成特定的行政工作任务或事业发展目标，在基本支出之外发生的各项支出。</w:t>
      </w:r>
    </w:p>
    <w:p>
      <w:pPr>
        <w:spacing w:line="580" w:lineRule="exact"/>
        <w:ind w:firstLine="640" w:firstLineChars="200"/>
        <w:rPr>
          <w:rFonts w:hint="eastAsia" w:ascii="仿宋_GB2312" w:eastAsia="仿宋_GB2312"/>
          <w:szCs w:val="32"/>
        </w:rPr>
      </w:pPr>
      <w:r>
        <w:rPr>
          <w:rFonts w:hint="eastAsia" w:ascii="黑体" w:hAnsi="黑体" w:eastAsia="黑体"/>
          <w:szCs w:val="32"/>
        </w:rPr>
        <w:t>十三、经营支出：</w:t>
      </w:r>
      <w:r>
        <w:rPr>
          <w:rFonts w:hint="eastAsia" w:ascii="仿宋_GB2312" w:eastAsia="仿宋_GB2312"/>
          <w:szCs w:val="32"/>
        </w:rPr>
        <w:t>指事业单位在专业业务活动及其辅助活动之外开展非独立核算经营活动发生的支出。</w:t>
      </w:r>
    </w:p>
    <w:p>
      <w:pPr>
        <w:spacing w:line="580" w:lineRule="exact"/>
        <w:ind w:firstLine="640" w:firstLineChars="200"/>
        <w:rPr>
          <w:rFonts w:hint="eastAsia" w:ascii="仿宋_GB2312" w:eastAsia="仿宋_GB2312"/>
          <w:szCs w:val="32"/>
        </w:rPr>
      </w:pPr>
      <w:r>
        <w:rPr>
          <w:rFonts w:hint="eastAsia" w:ascii="黑体" w:hAnsi="黑体" w:eastAsia="黑体"/>
          <w:szCs w:val="32"/>
        </w:rPr>
        <w:t>十四、“三公”经费：</w:t>
      </w:r>
      <w:r>
        <w:rPr>
          <w:rFonts w:hint="eastAsia" w:ascii="仿宋_GB2312" w:eastAsia="仿宋_GB2312"/>
          <w:szCs w:val="32"/>
        </w:rPr>
        <w:t>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及按规定保留的公务用车燃料费、维修费、过桥过路费、保险费、安全奖励费用等支出；公务接待费反映单位按规定开支的各类公务接待（含外宾接待）支出。</w:t>
      </w:r>
    </w:p>
    <w:p>
      <w:pPr>
        <w:spacing w:line="580" w:lineRule="exact"/>
        <w:ind w:firstLine="640" w:firstLineChars="200"/>
        <w:rPr>
          <w:rFonts w:hint="eastAsia" w:ascii="仿宋_GB2312" w:eastAsia="仿宋_GB2312"/>
          <w:szCs w:val="32"/>
        </w:rPr>
      </w:pPr>
      <w:r>
        <w:rPr>
          <w:rFonts w:hint="eastAsia" w:ascii="黑体" w:hAnsi="黑体" w:eastAsia="黑体"/>
          <w:szCs w:val="32"/>
        </w:rPr>
        <w:t>十五、机关运行经费：</w:t>
      </w:r>
      <w:r>
        <w:rPr>
          <w:rFonts w:hint="eastAsia" w:ascii="仿宋_GB2312" w:eastAsia="仿宋_GB2312"/>
          <w:szCs w:val="32"/>
        </w:rPr>
        <w:t>指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80" w:lineRule="exact"/>
        <w:ind w:firstLine="640" w:firstLineChars="200"/>
        <w:rPr>
          <w:rFonts w:ascii="仿宋_GB2312" w:eastAsia="仿宋_GB2312"/>
          <w:szCs w:val="32"/>
        </w:rPr>
      </w:pPr>
      <w:r>
        <w:rPr>
          <w:rFonts w:hint="eastAsia" w:ascii="黑体" w:hAnsi="黑体" w:eastAsia="黑体"/>
          <w:szCs w:val="32"/>
        </w:rPr>
        <w:t>十六、</w:t>
      </w:r>
      <w:r>
        <w:rPr>
          <w:rFonts w:hint="eastAsia" w:ascii="仿宋_GB2312" w:eastAsia="仿宋_GB2312"/>
          <w:szCs w:val="32"/>
        </w:rPr>
        <w:t>一般公共服务支出（类）政府办公厅（室）及相关机构事务（款）行政运行（项）：反映行政单位（包括实行公务员管理的事业单位）的基本支出。</w:t>
      </w:r>
    </w:p>
    <w:p>
      <w:pPr>
        <w:spacing w:line="580" w:lineRule="exact"/>
        <w:ind w:firstLine="640" w:firstLineChars="200"/>
        <w:rPr>
          <w:rFonts w:hint="eastAsia" w:ascii="仿宋_GB2312" w:eastAsia="仿宋_GB2312"/>
          <w:szCs w:val="32"/>
        </w:rPr>
      </w:pPr>
      <w:r>
        <w:rPr>
          <w:rFonts w:hint="eastAsia" w:ascii="仿宋_GB2312" w:eastAsia="仿宋_GB2312"/>
          <w:szCs w:val="32"/>
        </w:rPr>
        <w:t>十七、一般公共服务支出（类）组织事务（款）其他组织事务支出（项）：反映除上述项目以外其他用于中国共产党组织</w:t>
      </w:r>
      <w:r>
        <w:rPr>
          <w:rFonts w:hint="eastAsia" w:ascii="仿宋_GB2312" w:eastAsia="仿宋_GB2312"/>
          <w:szCs w:val="32"/>
          <w:lang w:eastAsia="zh-CN"/>
        </w:rPr>
        <w:t>单位</w:t>
      </w:r>
      <w:r>
        <w:rPr>
          <w:rFonts w:hint="eastAsia" w:ascii="仿宋_GB2312" w:eastAsia="仿宋_GB2312"/>
          <w:szCs w:val="32"/>
        </w:rPr>
        <w:t>的事务支出。</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十八、</w:t>
      </w:r>
      <w:r>
        <w:rPr>
          <w:rFonts w:hint="eastAsia" w:ascii="仿宋_GB2312" w:eastAsia="仿宋_GB2312"/>
          <w:szCs w:val="32"/>
        </w:rPr>
        <w:t>教育支出（类）教育管理事务（款）</w:t>
      </w:r>
      <w:r>
        <w:rPr>
          <w:rFonts w:hint="eastAsia" w:ascii="仿宋_GB2312" w:eastAsia="仿宋_GB2312"/>
          <w:szCs w:val="32"/>
          <w:lang w:val="en-US" w:eastAsia="zh-CN"/>
        </w:rPr>
        <w:t>行政运行</w:t>
      </w:r>
      <w:r>
        <w:rPr>
          <w:rFonts w:hint="eastAsia" w:ascii="仿宋_GB2312" w:eastAsia="仿宋_GB2312"/>
          <w:szCs w:val="32"/>
        </w:rPr>
        <w:t>（项）：反映</w:t>
      </w:r>
      <w:r>
        <w:rPr>
          <w:rFonts w:hint="eastAsia" w:ascii="仿宋_GB2312" w:eastAsia="仿宋_GB2312"/>
          <w:szCs w:val="32"/>
          <w:lang w:val="en-US" w:eastAsia="zh-CN"/>
        </w:rPr>
        <w:t>各单位安保费支出等。</w:t>
      </w:r>
    </w:p>
    <w:p>
      <w:pPr>
        <w:spacing w:line="580" w:lineRule="exact"/>
        <w:ind w:firstLine="640" w:firstLineChars="200"/>
        <w:rPr>
          <w:rFonts w:hint="eastAsia" w:ascii="仿宋_GB2312" w:eastAsia="仿宋_GB2312"/>
          <w:szCs w:val="32"/>
        </w:rPr>
      </w:pPr>
      <w:r>
        <w:rPr>
          <w:rFonts w:hint="eastAsia" w:ascii="仿宋_GB2312" w:eastAsia="仿宋_GB2312"/>
          <w:szCs w:val="32"/>
          <w:lang w:val="en-US" w:eastAsia="zh-CN"/>
        </w:rPr>
        <w:t>十九、</w:t>
      </w:r>
      <w:r>
        <w:rPr>
          <w:rFonts w:hint="eastAsia" w:ascii="仿宋_GB2312" w:eastAsia="仿宋_GB2312"/>
          <w:szCs w:val="32"/>
        </w:rPr>
        <w:t>教育支出（类）普通教育（款）学前教育（项）：反映各</w:t>
      </w:r>
      <w:r>
        <w:rPr>
          <w:rFonts w:hint="eastAsia" w:ascii="仿宋_GB2312" w:eastAsia="仿宋_GB2312"/>
          <w:szCs w:val="32"/>
          <w:lang w:eastAsia="zh-CN"/>
        </w:rPr>
        <w:t>单位</w:t>
      </w:r>
      <w:r>
        <w:rPr>
          <w:rFonts w:hint="eastAsia" w:ascii="仿宋_GB2312" w:eastAsia="仿宋_GB2312"/>
          <w:szCs w:val="32"/>
        </w:rPr>
        <w:t>举办的学前教育支出。</w:t>
      </w:r>
    </w:p>
    <w:p>
      <w:pPr>
        <w:spacing w:line="580" w:lineRule="exact"/>
        <w:ind w:firstLine="640" w:firstLineChars="200"/>
        <w:rPr>
          <w:rFonts w:hint="eastAsia" w:ascii="仿宋_GB2312" w:eastAsia="仿宋_GB2312"/>
          <w:szCs w:val="32"/>
        </w:rPr>
      </w:pPr>
      <w:r>
        <w:rPr>
          <w:rFonts w:hint="eastAsia" w:ascii="仿宋_GB2312" w:eastAsia="仿宋_GB2312"/>
          <w:szCs w:val="32"/>
          <w:lang w:val="en-US" w:eastAsia="zh-CN"/>
        </w:rPr>
        <w:t>二十、</w:t>
      </w:r>
      <w:r>
        <w:rPr>
          <w:rFonts w:hint="eastAsia" w:ascii="仿宋_GB2312" w:eastAsia="仿宋_GB2312"/>
          <w:szCs w:val="32"/>
        </w:rPr>
        <w:t>教育支出（类）普通教育（款）</w:t>
      </w:r>
      <w:r>
        <w:rPr>
          <w:rFonts w:hint="eastAsia" w:ascii="仿宋_GB2312" w:eastAsia="仿宋_GB2312"/>
          <w:szCs w:val="32"/>
          <w:lang w:val="en-US" w:eastAsia="zh-CN"/>
        </w:rPr>
        <w:t>小学</w:t>
      </w:r>
      <w:r>
        <w:rPr>
          <w:rFonts w:hint="eastAsia" w:ascii="仿宋_GB2312" w:eastAsia="仿宋_GB2312"/>
          <w:szCs w:val="32"/>
        </w:rPr>
        <w:t>教育（项）：反映各</w:t>
      </w:r>
      <w:r>
        <w:rPr>
          <w:rFonts w:hint="eastAsia" w:ascii="仿宋_GB2312" w:eastAsia="仿宋_GB2312"/>
          <w:szCs w:val="32"/>
          <w:lang w:eastAsia="zh-CN"/>
        </w:rPr>
        <w:t>单位</w:t>
      </w:r>
      <w:r>
        <w:rPr>
          <w:rFonts w:hint="eastAsia" w:ascii="仿宋_GB2312" w:eastAsia="仿宋_GB2312"/>
          <w:szCs w:val="32"/>
        </w:rPr>
        <w:t>举办的</w:t>
      </w:r>
      <w:r>
        <w:rPr>
          <w:rFonts w:hint="eastAsia" w:ascii="仿宋_GB2312" w:eastAsia="仿宋_GB2312"/>
          <w:szCs w:val="32"/>
          <w:lang w:val="en-US" w:eastAsia="zh-CN"/>
        </w:rPr>
        <w:t>小学</w:t>
      </w:r>
      <w:r>
        <w:rPr>
          <w:rFonts w:hint="eastAsia" w:ascii="仿宋_GB2312" w:eastAsia="仿宋_GB2312"/>
          <w:szCs w:val="32"/>
        </w:rPr>
        <w:t>教育支出。</w:t>
      </w:r>
    </w:p>
    <w:p>
      <w:pPr>
        <w:spacing w:line="580" w:lineRule="exact"/>
        <w:ind w:firstLine="640" w:firstLineChars="200"/>
        <w:rPr>
          <w:rFonts w:hint="eastAsia" w:ascii="仿宋_GB2312" w:eastAsia="仿宋_GB2312"/>
          <w:szCs w:val="32"/>
        </w:rPr>
      </w:pPr>
      <w:r>
        <w:rPr>
          <w:rFonts w:hint="eastAsia" w:ascii="仿宋_GB2312" w:eastAsia="仿宋_GB2312"/>
          <w:szCs w:val="32"/>
          <w:lang w:val="en-US" w:eastAsia="zh-CN"/>
        </w:rPr>
        <w:t>二十一、</w:t>
      </w:r>
      <w:r>
        <w:rPr>
          <w:rFonts w:hint="eastAsia" w:ascii="仿宋_GB2312" w:eastAsia="仿宋_GB2312"/>
          <w:szCs w:val="32"/>
        </w:rPr>
        <w:t>教育支出（类）普通教育（款）</w:t>
      </w:r>
      <w:r>
        <w:rPr>
          <w:rFonts w:hint="eastAsia" w:ascii="仿宋_GB2312" w:eastAsia="仿宋_GB2312"/>
          <w:szCs w:val="32"/>
          <w:lang w:val="en-US" w:eastAsia="zh-CN"/>
        </w:rPr>
        <w:t>初中</w:t>
      </w:r>
      <w:r>
        <w:rPr>
          <w:rFonts w:hint="eastAsia" w:ascii="仿宋_GB2312" w:eastAsia="仿宋_GB2312"/>
          <w:szCs w:val="32"/>
        </w:rPr>
        <w:t>教育（项）：反映各</w:t>
      </w:r>
      <w:r>
        <w:rPr>
          <w:rFonts w:hint="eastAsia" w:ascii="仿宋_GB2312" w:eastAsia="仿宋_GB2312"/>
          <w:szCs w:val="32"/>
          <w:lang w:eastAsia="zh-CN"/>
        </w:rPr>
        <w:t>单位</w:t>
      </w:r>
      <w:r>
        <w:rPr>
          <w:rFonts w:hint="eastAsia" w:ascii="仿宋_GB2312" w:eastAsia="仿宋_GB2312"/>
          <w:szCs w:val="32"/>
        </w:rPr>
        <w:t>举办的</w:t>
      </w:r>
      <w:r>
        <w:rPr>
          <w:rFonts w:hint="eastAsia" w:ascii="仿宋_GB2312" w:eastAsia="仿宋_GB2312"/>
          <w:szCs w:val="32"/>
          <w:lang w:val="en-US" w:eastAsia="zh-CN"/>
        </w:rPr>
        <w:t>中学</w:t>
      </w:r>
      <w:r>
        <w:rPr>
          <w:rFonts w:hint="eastAsia" w:ascii="仿宋_GB2312" w:eastAsia="仿宋_GB2312"/>
          <w:szCs w:val="32"/>
        </w:rPr>
        <w:t>教育支出。</w:t>
      </w:r>
    </w:p>
    <w:p>
      <w:pPr>
        <w:numPr>
          <w:ilvl w:val="0"/>
          <w:numId w:val="0"/>
        </w:numPr>
        <w:spacing w:line="580" w:lineRule="exact"/>
        <w:ind w:firstLine="640" w:firstLineChars="200"/>
        <w:rPr>
          <w:rFonts w:hint="eastAsia" w:ascii="仿宋_GB2312" w:hAnsi="楷体_GB2312" w:eastAsia="仿宋_GB2312" w:cs="楷体_GB2312"/>
          <w:szCs w:val="32"/>
        </w:rPr>
      </w:pPr>
      <w:r>
        <w:rPr>
          <w:rFonts w:hint="eastAsia" w:ascii="仿宋_GB2312" w:eastAsia="仿宋_GB2312"/>
          <w:szCs w:val="32"/>
          <w:lang w:val="en-US" w:eastAsia="zh-CN"/>
        </w:rPr>
        <w:t>二十二、</w:t>
      </w:r>
      <w:r>
        <w:rPr>
          <w:rFonts w:hint="eastAsia" w:ascii="仿宋_GB2312" w:eastAsia="仿宋_GB2312"/>
          <w:szCs w:val="32"/>
        </w:rPr>
        <w:t>教育支出（类）普通教育（款）</w:t>
      </w:r>
      <w:r>
        <w:rPr>
          <w:rFonts w:hint="eastAsia" w:ascii="仿宋_GB2312" w:hAnsi="楷体_GB2312" w:eastAsia="仿宋_GB2312" w:cs="楷体_GB2312"/>
          <w:szCs w:val="32"/>
        </w:rPr>
        <w:t>其他普通教育支出（项</w:t>
      </w:r>
      <w:r>
        <w:rPr>
          <w:rFonts w:hint="eastAsia" w:ascii="仿宋_GB2312" w:eastAsia="仿宋_GB2312"/>
          <w:szCs w:val="32"/>
        </w:rPr>
        <w:t>）：</w:t>
      </w:r>
      <w:r>
        <w:rPr>
          <w:rFonts w:hint="eastAsia" w:ascii="仿宋_GB2312" w:hAnsi="楷体_GB2312" w:eastAsia="仿宋_GB2312" w:cs="楷体_GB2312"/>
          <w:szCs w:val="32"/>
        </w:rPr>
        <w:t>反映除上述项目以外其他用于普通教育方面的支出。</w:t>
      </w:r>
    </w:p>
    <w:p>
      <w:pPr>
        <w:spacing w:line="580" w:lineRule="exact"/>
        <w:ind w:firstLine="640" w:firstLineChars="200"/>
        <w:rPr>
          <w:rFonts w:hint="eastAsia" w:ascii="仿宋_GB2312" w:hAnsi="楷体_GB2312" w:eastAsia="仿宋_GB2312" w:cs="楷体_GB2312"/>
          <w:szCs w:val="32"/>
        </w:rPr>
      </w:pPr>
      <w:r>
        <w:rPr>
          <w:rFonts w:hint="eastAsia" w:ascii="仿宋_GB2312" w:eastAsia="仿宋_GB2312"/>
          <w:szCs w:val="32"/>
          <w:lang w:val="en-US" w:eastAsia="zh-CN"/>
        </w:rPr>
        <w:t>二十三、</w:t>
      </w:r>
      <w:r>
        <w:rPr>
          <w:rFonts w:hint="eastAsia" w:ascii="仿宋_GB2312" w:eastAsia="仿宋_GB2312"/>
          <w:szCs w:val="32"/>
        </w:rPr>
        <w:t>社会保障和就业支出（类）</w:t>
      </w:r>
      <w:r>
        <w:rPr>
          <w:rFonts w:hint="eastAsia" w:ascii="仿宋_GB2312" w:hAnsi="楷体_GB2312" w:eastAsia="仿宋_GB2312" w:cs="楷体_GB2312"/>
          <w:szCs w:val="32"/>
        </w:rPr>
        <w:t>民政管理事务（款）基层政权建设和社区治理（项</w:t>
      </w:r>
      <w:r>
        <w:rPr>
          <w:rFonts w:hint="eastAsia" w:ascii="仿宋_GB2312" w:eastAsia="仿宋_GB2312"/>
          <w:szCs w:val="32"/>
        </w:rPr>
        <w:t>）：</w:t>
      </w:r>
      <w:r>
        <w:rPr>
          <w:rFonts w:hint="eastAsia" w:ascii="仿宋_GB2312" w:hAnsi="楷体_GB2312" w:eastAsia="仿宋_GB2312" w:cs="楷体_GB2312"/>
          <w:szCs w:val="32"/>
        </w:rPr>
        <w:t>反映开展城乡社区治理、城乡社区服务（乡村便民服务）、村（居）民自治、村（居）务公开、乡镇（街道）服务能力建设等基层政权建设和社区治理工作的支出。</w:t>
      </w:r>
    </w:p>
    <w:p>
      <w:pPr>
        <w:spacing w:line="580" w:lineRule="exact"/>
        <w:ind w:firstLine="640" w:firstLineChars="200"/>
        <w:rPr>
          <w:rFonts w:hint="eastAsia" w:ascii="仿宋_GB2312" w:eastAsia="仿宋_GB2312"/>
          <w:szCs w:val="32"/>
        </w:rPr>
      </w:pPr>
      <w:r>
        <w:rPr>
          <w:rFonts w:hint="eastAsia" w:ascii="仿宋_GB2312" w:eastAsia="仿宋_GB2312"/>
          <w:szCs w:val="32"/>
          <w:lang w:val="en-US" w:eastAsia="zh-CN"/>
        </w:rPr>
        <w:t>二十四、</w:t>
      </w:r>
      <w:r>
        <w:rPr>
          <w:rFonts w:hint="eastAsia" w:ascii="仿宋_GB2312" w:eastAsia="仿宋_GB2312"/>
          <w:szCs w:val="32"/>
        </w:rPr>
        <w:t>城乡社区支出（类）国有土地使用权出让收入安排的支出（款）城市建设支出（项）：反映土地出让收入用于完善国有土地使用功能的配套设施建设和城市基础设施建设支出。</w:t>
      </w:r>
    </w:p>
    <w:p>
      <w:pPr>
        <w:spacing w:line="580" w:lineRule="exact"/>
        <w:ind w:firstLine="640" w:firstLineChars="200"/>
        <w:rPr>
          <w:rFonts w:hint="eastAsia" w:ascii="仿宋_GB2312" w:eastAsia="仿宋_GB2312"/>
          <w:szCs w:val="32"/>
        </w:rPr>
      </w:pPr>
      <w:r>
        <w:rPr>
          <w:rFonts w:hint="eastAsia" w:ascii="仿宋_GB2312" w:eastAsia="仿宋_GB2312"/>
          <w:szCs w:val="32"/>
          <w:lang w:val="en-US" w:eastAsia="zh-CN"/>
        </w:rPr>
        <w:t>二十五、</w:t>
      </w:r>
      <w:r>
        <w:rPr>
          <w:rFonts w:hint="eastAsia" w:ascii="仿宋_GB2312" w:eastAsia="仿宋_GB2312"/>
          <w:szCs w:val="32"/>
        </w:rPr>
        <w:t>城乡社区支出（类）国有土地使用权出让收入安排的支出（款）农村基础设施建设支出（项）：反映土地出让收入用于农村供水保障、村庄公共设施建设和管护以及与农业农村直接相关的以工代赈等方面的支出。</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二十六、</w:t>
      </w:r>
      <w:r>
        <w:rPr>
          <w:rFonts w:hint="eastAsia" w:ascii="仿宋_GB2312" w:eastAsia="仿宋_GB2312"/>
          <w:szCs w:val="32"/>
        </w:rPr>
        <w:t>城乡社区支出（类）棚户区改造专项债券收入安排的支出（款）其他棚户区改造专项债券收入安排的支出（项）：</w:t>
      </w:r>
      <w:r>
        <w:rPr>
          <w:rFonts w:hint="eastAsia" w:ascii="仿宋_GB2312" w:eastAsia="仿宋_GB2312"/>
          <w:szCs w:val="32"/>
          <w:lang w:val="en-US" w:eastAsia="zh-CN"/>
        </w:rPr>
        <w:t>反应安置区建设支出。</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二十七、</w:t>
      </w:r>
      <w:r>
        <w:rPr>
          <w:rFonts w:hint="eastAsia" w:ascii="仿宋_GB2312" w:eastAsia="仿宋_GB2312"/>
          <w:szCs w:val="32"/>
        </w:rPr>
        <w:t>城乡社区支出（类）棚户区改造专项债券收入安排的支出（款）其他棚户区改造专项债券收入安排的支出（项）：</w:t>
      </w:r>
      <w:r>
        <w:rPr>
          <w:rFonts w:hint="eastAsia" w:ascii="仿宋_GB2312" w:eastAsia="仿宋_GB2312"/>
          <w:szCs w:val="32"/>
          <w:lang w:val="en-US" w:eastAsia="zh-CN"/>
        </w:rPr>
        <w:t>反应安置区建设支出。</w:t>
      </w:r>
    </w:p>
    <w:p>
      <w:pPr>
        <w:spacing w:line="580" w:lineRule="exact"/>
        <w:ind w:firstLine="640" w:firstLineChars="200"/>
        <w:rPr>
          <w:rFonts w:hint="eastAsia" w:ascii="仿宋_GB2312" w:eastAsia="仿宋_GB2312"/>
          <w:szCs w:val="32"/>
        </w:rPr>
      </w:pPr>
      <w:r>
        <w:rPr>
          <w:rFonts w:hint="eastAsia" w:ascii="仿宋_GB2312" w:eastAsia="仿宋_GB2312"/>
          <w:szCs w:val="32"/>
          <w:lang w:val="en-US" w:eastAsia="zh-CN"/>
        </w:rPr>
        <w:t>二十八、</w:t>
      </w:r>
      <w:r>
        <w:rPr>
          <w:rFonts w:hint="eastAsia" w:ascii="仿宋_GB2312" w:eastAsia="仿宋_GB2312"/>
          <w:szCs w:val="32"/>
        </w:rPr>
        <w:t>农林水支出（类）</w:t>
      </w:r>
      <w:r>
        <w:rPr>
          <w:rFonts w:hint="eastAsia" w:ascii="仿宋_GB2312" w:hAnsi="楷体_GB2312" w:eastAsia="仿宋_GB2312" w:cs="楷体_GB2312"/>
          <w:szCs w:val="32"/>
          <w:lang w:val="en-US" w:eastAsia="zh-CN"/>
        </w:rPr>
        <w:t>林业和草原</w:t>
      </w:r>
      <w:r>
        <w:rPr>
          <w:rFonts w:hint="eastAsia" w:ascii="仿宋_GB2312" w:hAnsi="楷体_GB2312" w:eastAsia="仿宋_GB2312" w:cs="楷体_GB2312"/>
          <w:szCs w:val="32"/>
        </w:rPr>
        <w:t>（款）森林资源培育（项</w:t>
      </w:r>
      <w:r>
        <w:rPr>
          <w:rFonts w:hint="eastAsia" w:ascii="仿宋_GB2312" w:eastAsia="仿宋_GB2312"/>
          <w:szCs w:val="32"/>
        </w:rPr>
        <w:t>）：</w:t>
      </w:r>
      <w:r>
        <w:rPr>
          <w:rFonts w:hint="eastAsia" w:ascii="仿宋_GB2312" w:hAnsi="楷体_GB2312" w:eastAsia="仿宋_GB2312" w:cs="楷体_GB2312"/>
          <w:szCs w:val="32"/>
        </w:rPr>
        <w:t>反映</w:t>
      </w:r>
      <w:r>
        <w:rPr>
          <w:rFonts w:hint="eastAsia" w:ascii="仿宋_GB2312" w:hAnsi="楷体_GB2312" w:eastAsia="仿宋_GB2312" w:cs="楷体_GB2312"/>
          <w:szCs w:val="32"/>
          <w:lang w:val="en-US" w:eastAsia="zh-CN"/>
        </w:rPr>
        <w:t>森林保护和</w:t>
      </w:r>
      <w:r>
        <w:rPr>
          <w:rFonts w:hint="eastAsia" w:ascii="仿宋_GB2312" w:hAnsi="楷体_GB2312" w:eastAsia="仿宋_GB2312" w:cs="楷体_GB2312"/>
          <w:szCs w:val="32"/>
        </w:rPr>
        <w:t>的支出。</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二十九、</w:t>
      </w:r>
      <w:r>
        <w:rPr>
          <w:rFonts w:hint="eastAsia" w:ascii="仿宋_GB2312" w:eastAsia="仿宋_GB2312"/>
          <w:szCs w:val="32"/>
        </w:rPr>
        <w:t>农林水支出（类）</w:t>
      </w:r>
      <w:r>
        <w:rPr>
          <w:rFonts w:hint="eastAsia" w:ascii="仿宋_GB2312" w:hAnsi="楷体_GB2312" w:eastAsia="仿宋_GB2312" w:cs="楷体_GB2312"/>
          <w:szCs w:val="32"/>
          <w:lang w:val="en-US" w:eastAsia="zh-CN"/>
        </w:rPr>
        <w:t>水利</w:t>
      </w:r>
      <w:r>
        <w:rPr>
          <w:rFonts w:hint="eastAsia" w:ascii="仿宋_GB2312" w:hAnsi="楷体_GB2312" w:eastAsia="仿宋_GB2312" w:cs="楷体_GB2312"/>
          <w:szCs w:val="32"/>
        </w:rPr>
        <w:t>（款）</w:t>
      </w:r>
      <w:r>
        <w:rPr>
          <w:rFonts w:hint="eastAsia" w:ascii="仿宋_GB2312" w:hAnsi="楷体_GB2312" w:eastAsia="仿宋_GB2312" w:cs="楷体_GB2312"/>
          <w:szCs w:val="32"/>
          <w:lang w:val="en-US" w:eastAsia="zh-CN"/>
        </w:rPr>
        <w:t>防汛</w:t>
      </w:r>
      <w:r>
        <w:rPr>
          <w:rFonts w:hint="eastAsia" w:ascii="仿宋_GB2312" w:hAnsi="楷体_GB2312" w:eastAsia="仿宋_GB2312" w:cs="楷体_GB2312"/>
          <w:szCs w:val="32"/>
        </w:rPr>
        <w:t>（项</w:t>
      </w:r>
      <w:r>
        <w:rPr>
          <w:rFonts w:hint="eastAsia" w:ascii="仿宋_GB2312" w:eastAsia="仿宋_GB2312"/>
          <w:szCs w:val="32"/>
        </w:rPr>
        <w:t>）：</w:t>
      </w:r>
      <w:r>
        <w:rPr>
          <w:rFonts w:hint="eastAsia" w:ascii="仿宋_GB2312" w:hAnsi="楷体_GB2312" w:eastAsia="仿宋_GB2312" w:cs="楷体_GB2312"/>
          <w:szCs w:val="32"/>
        </w:rPr>
        <w:t>反映</w:t>
      </w:r>
      <w:r>
        <w:rPr>
          <w:rFonts w:hint="eastAsia" w:ascii="仿宋_GB2312" w:hAnsi="楷体_GB2312" w:eastAsia="仿宋_GB2312" w:cs="楷体_GB2312"/>
          <w:szCs w:val="32"/>
          <w:lang w:val="en-US" w:eastAsia="zh-CN"/>
        </w:rPr>
        <w:t>防汛方面</w:t>
      </w:r>
      <w:r>
        <w:rPr>
          <w:rFonts w:hint="eastAsia" w:ascii="仿宋_GB2312" w:hAnsi="楷体_GB2312" w:eastAsia="仿宋_GB2312" w:cs="楷体_GB2312"/>
          <w:szCs w:val="32"/>
        </w:rPr>
        <w:t>的支出。</w:t>
      </w:r>
    </w:p>
    <w:p>
      <w:pPr>
        <w:spacing w:line="580" w:lineRule="exact"/>
        <w:ind w:firstLine="640" w:firstLineChars="200"/>
        <w:rPr>
          <w:rFonts w:hint="eastAsia" w:ascii="仿宋_GB2312" w:eastAsia="仿宋_GB2312"/>
          <w:szCs w:val="32"/>
        </w:rPr>
      </w:pPr>
      <w:r>
        <w:rPr>
          <w:rFonts w:hint="eastAsia" w:ascii="仿宋_GB2312" w:eastAsia="仿宋_GB2312"/>
          <w:szCs w:val="32"/>
          <w:lang w:val="en-US" w:eastAsia="zh-CN"/>
        </w:rPr>
        <w:t>三十、</w:t>
      </w:r>
      <w:r>
        <w:rPr>
          <w:rFonts w:hint="eastAsia" w:ascii="仿宋_GB2312" w:eastAsia="仿宋_GB2312"/>
          <w:szCs w:val="32"/>
        </w:rPr>
        <w:t>农林水支出（类）</w:t>
      </w:r>
      <w:r>
        <w:rPr>
          <w:rFonts w:hint="eastAsia" w:ascii="仿宋_GB2312" w:hAnsi="楷体_GB2312" w:eastAsia="仿宋_GB2312" w:cs="楷体_GB2312"/>
          <w:szCs w:val="32"/>
        </w:rPr>
        <w:t>巩固脱贫衔接乡村振兴（款）其他巩固脱贫衔接乡村振兴支出（项</w:t>
      </w:r>
      <w:r>
        <w:rPr>
          <w:rFonts w:hint="eastAsia" w:ascii="仿宋_GB2312" w:eastAsia="仿宋_GB2312"/>
          <w:szCs w:val="32"/>
        </w:rPr>
        <w:t>）：</w:t>
      </w:r>
      <w:r>
        <w:rPr>
          <w:rFonts w:hint="eastAsia" w:ascii="仿宋_GB2312" w:hAnsi="楷体_GB2312" w:eastAsia="仿宋_GB2312" w:cs="楷体_GB2312"/>
          <w:szCs w:val="32"/>
        </w:rPr>
        <w:t>反映除上述项目以外其他用于巩固拓展脱贫攻坚成果同乡村振兴有效衔接方面的支出。</w:t>
      </w:r>
    </w:p>
    <w:p>
      <w:pPr>
        <w:spacing w:line="580" w:lineRule="exact"/>
        <w:ind w:firstLine="640" w:firstLineChars="200"/>
        <w:rPr>
          <w:rFonts w:ascii="仿宋_GB2312" w:eastAsia="仿宋_GB2312"/>
          <w:szCs w:val="32"/>
        </w:rPr>
      </w:pPr>
      <w:r>
        <w:rPr>
          <w:rFonts w:hint="eastAsia" w:ascii="仿宋_GB2312" w:eastAsia="仿宋_GB2312"/>
          <w:szCs w:val="32"/>
        </w:rPr>
        <w:t>三十</w:t>
      </w:r>
      <w:r>
        <w:rPr>
          <w:rFonts w:hint="eastAsia" w:ascii="仿宋_GB2312" w:eastAsia="仿宋_GB2312"/>
          <w:szCs w:val="32"/>
          <w:lang w:val="en-US" w:eastAsia="zh-CN"/>
        </w:rPr>
        <w:t>一</w:t>
      </w:r>
      <w:r>
        <w:rPr>
          <w:rFonts w:hint="eastAsia" w:ascii="仿宋_GB2312" w:eastAsia="仿宋_GB2312"/>
          <w:szCs w:val="32"/>
        </w:rPr>
        <w:t>、农林水支出（类）农村综合改革（款）对村民委员会和村党支部的补助（项）：反映各级财政对村民委员会和村党支部的补助支出，以及支持建立县级基本财力保障机制安排的村级组织运转奖补资金。</w:t>
      </w:r>
    </w:p>
    <w:p>
      <w:pPr>
        <w:spacing w:line="580" w:lineRule="exact"/>
        <w:ind w:firstLine="640" w:firstLineChars="200"/>
        <w:rPr>
          <w:rFonts w:hint="eastAsia" w:ascii="仿宋_GB2312" w:hAnsi="楷体_GB2312" w:eastAsia="仿宋_GB2312" w:cs="楷体_GB2312"/>
          <w:szCs w:val="32"/>
        </w:rPr>
      </w:pPr>
      <w:r>
        <w:rPr>
          <w:rFonts w:hint="eastAsia" w:ascii="仿宋_GB2312" w:eastAsia="仿宋_GB2312"/>
          <w:szCs w:val="32"/>
        </w:rPr>
        <w:t>三十四、商业服务业等支出（类）</w:t>
      </w:r>
      <w:r>
        <w:rPr>
          <w:rFonts w:hint="eastAsia" w:ascii="仿宋_GB2312" w:hAnsi="楷体_GB2312" w:eastAsia="仿宋_GB2312" w:cs="楷体_GB2312"/>
          <w:szCs w:val="32"/>
        </w:rPr>
        <w:t>涉外发展服务支出（款）其他涉外发展服务支出（项）：反映</w:t>
      </w:r>
      <w:r>
        <w:rPr>
          <w:rFonts w:hint="eastAsia" w:ascii="仿宋_GB2312" w:hAnsi="楷体_GB2312" w:eastAsia="仿宋_GB2312" w:cs="楷体_GB2312"/>
          <w:szCs w:val="32"/>
          <w:lang w:val="en-US" w:eastAsia="zh-CN"/>
        </w:rPr>
        <w:t>涉外发展服务</w:t>
      </w:r>
      <w:r>
        <w:rPr>
          <w:rFonts w:hint="eastAsia" w:ascii="仿宋_GB2312" w:hAnsi="楷体_GB2312" w:eastAsia="仿宋_GB2312" w:cs="楷体_GB2312"/>
          <w:szCs w:val="32"/>
        </w:rPr>
        <w:t>方面的支出。</w:t>
      </w:r>
    </w:p>
    <w:p>
      <w:pPr>
        <w:spacing w:line="580" w:lineRule="exact"/>
        <w:ind w:firstLine="640" w:firstLineChars="200"/>
        <w:rPr>
          <w:rFonts w:hint="eastAsia" w:ascii="仿宋_GB2312" w:hAnsi="楷体_GB2312" w:eastAsia="仿宋_GB2312" w:cs="楷体_GB2312"/>
          <w:szCs w:val="32"/>
          <w:lang w:val="en-US" w:eastAsia="zh-CN"/>
        </w:rPr>
      </w:pPr>
      <w:r>
        <w:rPr>
          <w:rFonts w:hint="eastAsia" w:ascii="仿宋_GB2312" w:hAnsi="楷体_GB2312" w:eastAsia="仿宋_GB2312" w:cs="楷体_GB2312"/>
          <w:szCs w:val="32"/>
          <w:lang w:val="en-US" w:eastAsia="zh-CN"/>
        </w:rPr>
        <w:t>三十五、住房保障支出</w:t>
      </w:r>
      <w:r>
        <w:rPr>
          <w:rFonts w:hint="eastAsia" w:ascii="仿宋_GB2312" w:eastAsia="仿宋_GB2312"/>
          <w:szCs w:val="32"/>
        </w:rPr>
        <w:t>（类）</w:t>
      </w:r>
      <w:r>
        <w:rPr>
          <w:rFonts w:hint="eastAsia" w:ascii="仿宋_GB2312" w:hAnsi="楷体_GB2312" w:eastAsia="仿宋_GB2312" w:cs="楷体_GB2312"/>
          <w:szCs w:val="32"/>
        </w:rPr>
        <w:t>保障性安居工程支出（款）其他保障性安居工程支出（项）：反映</w:t>
      </w:r>
      <w:r>
        <w:rPr>
          <w:rFonts w:hint="eastAsia" w:ascii="仿宋_GB2312" w:hAnsi="楷体_GB2312" w:eastAsia="仿宋_GB2312" w:cs="楷体_GB2312"/>
          <w:szCs w:val="32"/>
          <w:lang w:val="en-US" w:eastAsia="zh-CN"/>
        </w:rPr>
        <w:t>保障性安居工程</w:t>
      </w:r>
      <w:r>
        <w:rPr>
          <w:rFonts w:hint="eastAsia" w:ascii="仿宋_GB2312" w:hAnsi="楷体_GB2312" w:eastAsia="仿宋_GB2312" w:cs="楷体_GB2312"/>
          <w:szCs w:val="32"/>
        </w:rPr>
        <w:t>方面的支出。</w:t>
      </w:r>
    </w:p>
    <w:p>
      <w:pPr>
        <w:spacing w:line="580" w:lineRule="exact"/>
        <w:ind w:firstLine="640" w:firstLineChars="200"/>
        <w:rPr>
          <w:rFonts w:hint="default" w:ascii="仿宋_GB2312" w:eastAsia="仿宋_GB2312"/>
          <w:szCs w:val="32"/>
          <w:lang w:val="en-US" w:eastAsia="zh-CN"/>
        </w:rPr>
      </w:pPr>
    </w:p>
    <w:p>
      <w:pPr>
        <w:spacing w:line="580" w:lineRule="exact"/>
        <w:ind w:firstLine="640" w:firstLineChars="200"/>
        <w:rPr>
          <w:rFonts w:hint="default" w:ascii="仿宋_GB2312" w:eastAsia="仿宋_GB2312"/>
          <w:szCs w:val="32"/>
          <w:lang w:val="en-US" w:eastAsia="zh-CN"/>
        </w:rPr>
      </w:pPr>
    </w:p>
    <w:p>
      <w:pPr>
        <w:numPr>
          <w:ilvl w:val="0"/>
          <w:numId w:val="0"/>
        </w:numPr>
        <w:spacing w:line="580" w:lineRule="exact"/>
        <w:rPr>
          <w:rFonts w:hint="eastAsia" w:ascii="仿宋_GB2312" w:hAnsi="楷体_GB2312" w:eastAsia="仿宋_GB2312" w:cs="楷体_GB2312"/>
          <w:szCs w:val="32"/>
        </w:rPr>
      </w:pPr>
    </w:p>
    <w:p>
      <w:pPr>
        <w:spacing w:line="580" w:lineRule="exact"/>
        <w:ind w:firstLine="640" w:firstLineChars="200"/>
        <w:rPr>
          <w:rFonts w:hint="eastAsia" w:ascii="仿宋_GB2312" w:eastAsia="仿宋_GB2312"/>
          <w:szCs w:val="32"/>
        </w:rPr>
      </w:pPr>
    </w:p>
    <w:p>
      <w:pPr>
        <w:spacing w:line="580" w:lineRule="exact"/>
        <w:ind w:firstLine="643" w:firstLineChars="200"/>
        <w:rPr>
          <w:rFonts w:hint="eastAsia" w:ascii="仿宋_GB2312" w:eastAsia="仿宋_GB2312"/>
          <w:b/>
          <w:szCs w:val="32"/>
        </w:rPr>
      </w:pPr>
    </w:p>
    <w:p>
      <w:pPr>
        <w:spacing w:line="580" w:lineRule="exact"/>
        <w:ind w:firstLine="540" w:firstLineChars="100"/>
        <w:rPr>
          <w:rFonts w:hint="eastAsia" w:ascii="方正小标宋简体" w:eastAsia="方正小标宋简体"/>
          <w:spacing w:val="60"/>
          <w:sz w:val="42"/>
        </w:rPr>
      </w:pPr>
    </w:p>
    <w:p>
      <w:pPr>
        <w:spacing w:line="580" w:lineRule="exact"/>
        <w:rPr>
          <w:rFonts w:ascii="方正小标宋简体" w:eastAsia="方正小标宋简体"/>
          <w:spacing w:val="60"/>
          <w:sz w:val="42"/>
        </w:rPr>
      </w:pPr>
    </w:p>
    <w:p>
      <w:pPr>
        <w:spacing w:line="580" w:lineRule="exact"/>
        <w:ind w:firstLine="540" w:firstLineChars="100"/>
        <w:rPr>
          <w:rFonts w:ascii="方正小标宋简体" w:eastAsia="方正小标宋简体"/>
          <w:b/>
          <w:spacing w:val="60"/>
          <w:sz w:val="42"/>
        </w:rPr>
      </w:pPr>
    </w:p>
    <w:p>
      <w:pPr>
        <w:spacing w:line="580" w:lineRule="exact"/>
        <w:ind w:firstLine="540" w:firstLineChars="100"/>
        <w:rPr>
          <w:rFonts w:ascii="方正小标宋简体" w:eastAsia="方正小标宋简体"/>
          <w:spacing w:val="60"/>
          <w:sz w:val="42"/>
        </w:rPr>
      </w:pPr>
    </w:p>
    <w:p>
      <w:pPr>
        <w:rPr>
          <w:rFonts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r>
        <w:rPr>
          <w:rFonts w:hint="eastAsia" w:ascii="方正小标宋简体" w:eastAsia="方正小标宋简体"/>
          <w:spacing w:val="60"/>
          <w:sz w:val="42"/>
        </w:rPr>
        <w:t>第五部分</w:t>
      </w:r>
    </w:p>
    <w:p>
      <w:pPr>
        <w:jc w:val="center"/>
        <w:rPr>
          <w:rFonts w:hint="eastAsia" w:ascii="方正小标宋简体" w:eastAsia="方正小标宋简体"/>
          <w:spacing w:val="60"/>
          <w:sz w:val="42"/>
        </w:rPr>
      </w:pPr>
    </w:p>
    <w:p>
      <w:pPr>
        <w:jc w:val="center"/>
        <w:rPr>
          <w:rFonts w:hint="eastAsia" w:ascii="方正小标宋简体" w:eastAsia="方正小标宋简体"/>
          <w:spacing w:val="60"/>
          <w:sz w:val="48"/>
        </w:rPr>
      </w:pPr>
      <w:r>
        <w:rPr>
          <w:rFonts w:hint="eastAsia" w:ascii="方正小标宋简体" w:eastAsia="方正小标宋简体"/>
          <w:spacing w:val="60"/>
          <w:sz w:val="48"/>
        </w:rPr>
        <w:t xml:space="preserve">  附  件</w:t>
      </w:r>
    </w:p>
    <w:p>
      <w:pPr>
        <w:tabs>
          <w:tab w:val="left" w:pos="5891"/>
        </w:tabs>
        <w:spacing w:line="580" w:lineRule="exact"/>
        <w:rPr>
          <w:rFonts w:hint="eastAsia"/>
          <w:szCs w:val="32"/>
        </w:rPr>
      </w:pPr>
    </w:p>
    <w:p>
      <w:pPr>
        <w:spacing w:line="580" w:lineRule="exact"/>
        <w:ind w:firstLine="640" w:firstLineChars="200"/>
        <w:rPr>
          <w:rFonts w:hint="eastAsia"/>
          <w:szCs w:val="32"/>
        </w:rPr>
      </w:pPr>
    </w:p>
    <w:p>
      <w:pPr>
        <w:spacing w:line="580" w:lineRule="exact"/>
        <w:ind w:firstLine="640" w:firstLineChars="200"/>
        <w:rPr>
          <w:rFonts w:hint="eastAsia" w:ascii="黑体" w:hAnsi="黑体" w:eastAsia="黑体"/>
          <w:szCs w:val="32"/>
        </w:rPr>
        <w:sectPr>
          <w:pgSz w:w="11906" w:h="16838"/>
          <w:pgMar w:top="2098" w:right="1418" w:bottom="1871" w:left="1531" w:header="851" w:footer="992" w:gutter="0"/>
          <w:cols w:space="720" w:num="1"/>
          <w:docGrid w:type="lines" w:linePitch="312" w:charSpace="0"/>
        </w:sectPr>
      </w:pPr>
    </w:p>
    <w:p>
      <w:pPr>
        <w:spacing w:after="305" w:afterLines="50" w:line="600" w:lineRule="exact"/>
        <w:ind w:firstLine="42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2022年度项目支出绩效自评情况汇总表</w:t>
      </w:r>
    </w:p>
    <w:p>
      <w:pPr>
        <w:spacing w:before="610" w:beforeLines="100" w:line="400" w:lineRule="exact"/>
        <w:ind w:firstLine="138" w:firstLineChars="50"/>
        <w:jc w:val="left"/>
        <w:rPr>
          <w:rFonts w:ascii="楷体_GB2312" w:eastAsia="楷体_GB2312"/>
          <w:sz w:val="28"/>
          <w:szCs w:val="28"/>
          <w:lang w:bidi="ar"/>
        </w:rPr>
      </w:pPr>
      <w:r>
        <w:rPr>
          <w:rFonts w:hint="eastAsia" w:ascii="楷体_GB2312" w:eastAsia="楷体_GB2312"/>
          <w:sz w:val="28"/>
          <w:szCs w:val="28"/>
          <w:lang w:eastAsia="zh-CN" w:bidi="ar"/>
        </w:rPr>
        <w:t>单位</w:t>
      </w:r>
      <w:r>
        <w:rPr>
          <w:rFonts w:hint="eastAsia" w:ascii="楷体_GB2312" w:eastAsia="楷体_GB2312"/>
          <w:sz w:val="28"/>
          <w:szCs w:val="28"/>
          <w:lang w:bidi="ar"/>
        </w:rPr>
        <w:t>：青岛市即墨区温泉街道办事处</w:t>
      </w:r>
    </w:p>
    <w:tbl>
      <w:tblPr>
        <w:tblStyle w:val="4"/>
        <w:tblW w:w="14615" w:type="dxa"/>
        <w:jc w:val="center"/>
        <w:tblLayout w:type="fixed"/>
        <w:tblCellMar>
          <w:top w:w="15" w:type="dxa"/>
          <w:left w:w="15" w:type="dxa"/>
          <w:bottom w:w="15" w:type="dxa"/>
          <w:right w:w="15" w:type="dxa"/>
        </w:tblCellMar>
      </w:tblPr>
      <w:tblGrid>
        <w:gridCol w:w="1448"/>
        <w:gridCol w:w="6475"/>
        <w:gridCol w:w="3825"/>
        <w:gridCol w:w="1440"/>
        <w:gridCol w:w="1427"/>
      </w:tblGrid>
      <w:tr>
        <w:tblPrEx>
          <w:tblCellMar>
            <w:top w:w="15" w:type="dxa"/>
            <w:left w:w="15" w:type="dxa"/>
            <w:bottom w:w="15" w:type="dxa"/>
            <w:right w:w="15" w:type="dxa"/>
          </w:tblCellMar>
        </w:tblPrEx>
        <w:trPr>
          <w:trHeight w:val="570" w:hRule="atLeast"/>
          <w:jc w:val="center"/>
        </w:trPr>
        <w:tc>
          <w:tcPr>
            <w:tcW w:w="1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序号</w:t>
            </w:r>
          </w:p>
        </w:tc>
        <w:tc>
          <w:tcPr>
            <w:tcW w:w="64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项目名称</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资金使用单位</w:t>
            </w:r>
          </w:p>
        </w:tc>
        <w:tc>
          <w:tcPr>
            <w:tcW w:w="1440" w:type="dxa"/>
            <w:tcBorders>
              <w:top w:val="single" w:color="000000" w:sz="4" w:space="0"/>
              <w:left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自评得分</w:t>
            </w:r>
          </w:p>
        </w:tc>
        <w:tc>
          <w:tcPr>
            <w:tcW w:w="1427" w:type="dxa"/>
            <w:tcBorders>
              <w:top w:val="single" w:color="000000" w:sz="4" w:space="0"/>
              <w:left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自评等级</w:t>
            </w:r>
          </w:p>
        </w:tc>
      </w:tr>
      <w:tr>
        <w:tblPrEx>
          <w:tblCellMar>
            <w:top w:w="15" w:type="dxa"/>
            <w:left w:w="15" w:type="dxa"/>
            <w:bottom w:w="15" w:type="dxa"/>
            <w:right w:w="15" w:type="dxa"/>
          </w:tblCellMar>
        </w:tblPrEx>
        <w:trPr>
          <w:trHeight w:val="570" w:hRule="atLeast"/>
          <w:jc w:val="center"/>
        </w:trPr>
        <w:tc>
          <w:tcPr>
            <w:tcW w:w="1461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hint="eastAsia" w:ascii="仿宋_GB2312" w:hAnsi="宋体" w:eastAsia="仿宋_GB2312" w:cs="仿宋_GB2312"/>
                <w:b/>
                <w:color w:val="000000"/>
                <w:kern w:val="0"/>
                <w:sz w:val="24"/>
                <w:lang w:bidi="ar"/>
              </w:rPr>
            </w:pPr>
            <w:r>
              <w:rPr>
                <w:rFonts w:hint="eastAsia" w:ascii="仿宋_GB2312" w:hAnsi="宋体" w:eastAsia="仿宋_GB2312" w:cs="仿宋_GB2312"/>
                <w:b/>
                <w:color w:val="000000"/>
                <w:kern w:val="0"/>
                <w:sz w:val="24"/>
                <w:lang w:bidi="ar"/>
              </w:rPr>
              <w:t>中央对地方转移支付项目绩效自评</w:t>
            </w:r>
          </w:p>
        </w:tc>
      </w:tr>
      <w:tr>
        <w:tblPrEx>
          <w:tblCellMar>
            <w:top w:w="15" w:type="dxa"/>
            <w:left w:w="15" w:type="dxa"/>
            <w:bottom w:w="15" w:type="dxa"/>
            <w:right w:w="15" w:type="dxa"/>
          </w:tblCellMar>
        </w:tblPrEx>
        <w:trPr>
          <w:trHeight w:val="570" w:hRule="atLeast"/>
          <w:jc w:val="center"/>
        </w:trPr>
        <w:tc>
          <w:tcPr>
            <w:tcW w:w="1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color w:val="000000"/>
                <w:kern w:val="0"/>
                <w:sz w:val="24"/>
                <w:lang w:val="en-US" w:eastAsia="zh-CN" w:bidi="ar"/>
              </w:rPr>
            </w:pPr>
            <w:r>
              <w:rPr>
                <w:rFonts w:hint="eastAsia" w:ascii="黑体" w:hAnsi="宋体" w:eastAsia="黑体" w:cs="黑体"/>
                <w:color w:val="000000"/>
                <w:kern w:val="0"/>
                <w:sz w:val="24"/>
                <w:lang w:val="en-US" w:eastAsia="zh-CN" w:bidi="ar"/>
              </w:rPr>
              <w:t>1</w:t>
            </w:r>
          </w:p>
        </w:tc>
        <w:tc>
          <w:tcPr>
            <w:tcW w:w="647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2022年保障性安居工程中央基建投资资金</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青岛市即墨区温泉街道办事处</w:t>
            </w:r>
          </w:p>
        </w:tc>
        <w:tc>
          <w:tcPr>
            <w:tcW w:w="1440" w:type="dxa"/>
            <w:tcBorders>
              <w:top w:val="single" w:color="000000" w:sz="4" w:space="0"/>
              <w:left w:val="single" w:color="000000" w:sz="4" w:space="0"/>
              <w:right w:val="single" w:color="000000" w:sz="4" w:space="0"/>
            </w:tcBorders>
            <w:noWrap w:val="0"/>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100</w:t>
            </w:r>
          </w:p>
        </w:tc>
        <w:tc>
          <w:tcPr>
            <w:tcW w:w="1427" w:type="dxa"/>
            <w:tcBorders>
              <w:top w:val="single" w:color="000000" w:sz="4" w:space="0"/>
              <w:left w:val="single" w:color="000000" w:sz="4" w:space="0"/>
              <w:right w:val="single" w:color="000000" w:sz="4" w:space="0"/>
            </w:tcBorders>
            <w:noWrap w:val="0"/>
            <w:vAlign w:val="center"/>
          </w:tcPr>
          <w:p>
            <w:pP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优</w:t>
            </w:r>
          </w:p>
        </w:tc>
      </w:tr>
      <w:tr>
        <w:tblPrEx>
          <w:tblCellMar>
            <w:top w:w="15" w:type="dxa"/>
            <w:left w:w="15" w:type="dxa"/>
            <w:bottom w:w="15" w:type="dxa"/>
            <w:right w:w="15" w:type="dxa"/>
          </w:tblCellMar>
        </w:tblPrEx>
        <w:trPr>
          <w:trHeight w:val="570" w:hRule="atLeast"/>
          <w:jc w:val="center"/>
        </w:trPr>
        <w:tc>
          <w:tcPr>
            <w:tcW w:w="1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黑体" w:hAnsi="宋体" w:eastAsia="黑体" w:cs="黑体"/>
                <w:color w:val="000000"/>
                <w:kern w:val="0"/>
                <w:sz w:val="24"/>
                <w:lang w:val="en-US" w:eastAsia="zh-CN" w:bidi="ar"/>
              </w:rPr>
            </w:pPr>
            <w:r>
              <w:rPr>
                <w:rFonts w:hint="eastAsia" w:ascii="黑体" w:hAnsi="宋体" w:eastAsia="黑体" w:cs="黑体"/>
                <w:color w:val="000000"/>
                <w:kern w:val="0"/>
                <w:sz w:val="24"/>
                <w:lang w:val="en-US" w:eastAsia="zh-CN" w:bidi="ar"/>
              </w:rPr>
              <w:t>2</w:t>
            </w:r>
          </w:p>
        </w:tc>
        <w:tc>
          <w:tcPr>
            <w:tcW w:w="647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公益林生态绩效补偿资金</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青岛市即墨区温泉街道办事处</w:t>
            </w:r>
          </w:p>
        </w:tc>
        <w:tc>
          <w:tcPr>
            <w:tcW w:w="1440" w:type="dxa"/>
            <w:tcBorders>
              <w:top w:val="single" w:color="000000" w:sz="4" w:space="0"/>
              <w:left w:val="single" w:color="000000" w:sz="4" w:space="0"/>
              <w:right w:val="single" w:color="000000" w:sz="4" w:space="0"/>
            </w:tcBorders>
            <w:noWrap w:val="0"/>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100</w:t>
            </w:r>
          </w:p>
        </w:tc>
        <w:tc>
          <w:tcPr>
            <w:tcW w:w="1427" w:type="dxa"/>
            <w:tcBorders>
              <w:top w:val="single" w:color="000000" w:sz="4" w:space="0"/>
              <w:left w:val="single" w:color="000000" w:sz="4" w:space="0"/>
              <w:right w:val="single" w:color="000000" w:sz="4" w:space="0"/>
            </w:tcBorders>
            <w:noWrap w:val="0"/>
            <w:vAlign w:val="center"/>
          </w:tcPr>
          <w:p>
            <w:pP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优</w:t>
            </w:r>
          </w:p>
        </w:tc>
      </w:tr>
      <w:tr>
        <w:tblPrEx>
          <w:tblCellMar>
            <w:top w:w="15" w:type="dxa"/>
            <w:left w:w="15" w:type="dxa"/>
            <w:bottom w:w="15" w:type="dxa"/>
            <w:right w:w="15" w:type="dxa"/>
          </w:tblCellMar>
        </w:tblPrEx>
        <w:trPr>
          <w:trHeight w:val="570" w:hRule="atLeast"/>
          <w:jc w:val="center"/>
        </w:trPr>
        <w:tc>
          <w:tcPr>
            <w:tcW w:w="1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黑体" w:hAnsi="宋体" w:eastAsia="黑体" w:cs="黑体"/>
                <w:color w:val="000000"/>
                <w:kern w:val="0"/>
                <w:sz w:val="24"/>
                <w:lang w:val="en-US" w:eastAsia="zh-CN" w:bidi="ar"/>
              </w:rPr>
            </w:pPr>
            <w:r>
              <w:rPr>
                <w:rFonts w:hint="eastAsia" w:ascii="黑体" w:hAnsi="宋体" w:eastAsia="黑体" w:cs="黑体"/>
                <w:color w:val="000000"/>
                <w:kern w:val="0"/>
                <w:sz w:val="24"/>
                <w:lang w:val="en-US" w:eastAsia="zh-CN" w:bidi="ar"/>
              </w:rPr>
              <w:t>3</w:t>
            </w:r>
          </w:p>
        </w:tc>
        <w:tc>
          <w:tcPr>
            <w:tcW w:w="647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第一书记和乡村振兴工作队项目资金</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青岛市即墨区温泉街道办事处</w:t>
            </w:r>
          </w:p>
        </w:tc>
        <w:tc>
          <w:tcPr>
            <w:tcW w:w="1440" w:type="dxa"/>
            <w:tcBorders>
              <w:top w:val="single" w:color="000000" w:sz="4" w:space="0"/>
              <w:left w:val="single" w:color="000000" w:sz="4" w:space="0"/>
              <w:right w:val="single" w:color="000000" w:sz="4" w:space="0"/>
            </w:tcBorders>
            <w:noWrap w:val="0"/>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100</w:t>
            </w:r>
          </w:p>
        </w:tc>
        <w:tc>
          <w:tcPr>
            <w:tcW w:w="1427" w:type="dxa"/>
            <w:tcBorders>
              <w:top w:val="single" w:color="000000" w:sz="4" w:space="0"/>
              <w:left w:val="single" w:color="000000" w:sz="4" w:space="0"/>
              <w:right w:val="single" w:color="000000" w:sz="4" w:space="0"/>
            </w:tcBorders>
            <w:noWrap w:val="0"/>
            <w:vAlign w:val="center"/>
          </w:tcPr>
          <w:p>
            <w:pP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优</w:t>
            </w:r>
          </w:p>
        </w:tc>
      </w:tr>
      <w:tr>
        <w:tblPrEx>
          <w:tblCellMar>
            <w:top w:w="15" w:type="dxa"/>
            <w:left w:w="15" w:type="dxa"/>
            <w:bottom w:w="15" w:type="dxa"/>
            <w:right w:w="15" w:type="dxa"/>
          </w:tblCellMar>
        </w:tblPrEx>
        <w:trPr>
          <w:trHeight w:val="450" w:hRule="atLeast"/>
          <w:jc w:val="center"/>
        </w:trPr>
        <w:tc>
          <w:tcPr>
            <w:tcW w:w="1461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仿宋_GB2312" w:hAnsi="宋体" w:eastAsia="仿宋_GB2312" w:cs="仿宋_GB2312"/>
                <w:b/>
                <w:color w:val="000000"/>
                <w:sz w:val="24"/>
              </w:rPr>
            </w:pPr>
            <w:r>
              <w:rPr>
                <w:rFonts w:hint="eastAsia" w:ascii="仿宋_GB2312" w:hAnsi="宋体" w:eastAsia="仿宋_GB2312" w:cs="仿宋_GB2312"/>
                <w:b/>
                <w:color w:val="000000"/>
                <w:kern w:val="0"/>
                <w:sz w:val="24"/>
                <w:lang w:bidi="ar"/>
              </w:rPr>
              <w:t>区对下转移支付项目绩效自评</w:t>
            </w:r>
          </w:p>
        </w:tc>
      </w:tr>
      <w:tr>
        <w:tblPrEx>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1</w:t>
            </w:r>
          </w:p>
        </w:tc>
        <w:tc>
          <w:tcPr>
            <w:tcW w:w="6475" w:type="dxa"/>
            <w:tcBorders>
              <w:top w:val="single" w:color="000000" w:sz="4" w:space="0"/>
              <w:left w:val="single" w:color="000000" w:sz="4" w:space="0"/>
              <w:bottom w:val="single" w:color="000000" w:sz="4" w:space="0"/>
              <w:right w:val="single" w:color="000000" w:sz="4" w:space="0"/>
            </w:tcBorders>
            <w:noWrap w:val="0"/>
            <w:vAlign w:val="center"/>
          </w:tcPr>
          <w:p>
            <w:pPr>
              <w:rPr>
                <w:rFonts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公益林生态绩效补偿资金</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青岛市即墨区温泉街道办事处</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100</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rPr>
                <w:rFonts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优</w:t>
            </w:r>
          </w:p>
        </w:tc>
      </w:tr>
      <w:tr>
        <w:tblPrEx>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2</w:t>
            </w:r>
          </w:p>
        </w:tc>
        <w:tc>
          <w:tcPr>
            <w:tcW w:w="6475" w:type="dxa"/>
            <w:tcBorders>
              <w:top w:val="single" w:color="000000" w:sz="4" w:space="0"/>
              <w:left w:val="single" w:color="000000" w:sz="4" w:space="0"/>
              <w:bottom w:val="single" w:color="000000" w:sz="4" w:space="0"/>
              <w:right w:val="single" w:color="000000" w:sz="4" w:space="0"/>
            </w:tcBorders>
            <w:noWrap w:val="0"/>
            <w:vAlign w:val="center"/>
          </w:tcPr>
          <w:p>
            <w:pPr>
              <w:rPr>
                <w:rFonts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恒温库和温室大棚建设项目</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青岛市即墨区温泉街道办事处</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100</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rPr>
                <w:rFonts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优</w:t>
            </w:r>
          </w:p>
        </w:tc>
      </w:tr>
      <w:tr>
        <w:tblPrEx>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3</w:t>
            </w:r>
          </w:p>
        </w:tc>
        <w:tc>
          <w:tcPr>
            <w:tcW w:w="6475" w:type="dxa"/>
            <w:tcBorders>
              <w:top w:val="single" w:color="000000" w:sz="4" w:space="0"/>
              <w:left w:val="single" w:color="000000" w:sz="4" w:space="0"/>
              <w:bottom w:val="single" w:color="000000" w:sz="4" w:space="0"/>
              <w:right w:val="single" w:color="000000" w:sz="4" w:space="0"/>
            </w:tcBorders>
            <w:noWrap w:val="0"/>
            <w:vAlign w:val="center"/>
          </w:tcPr>
          <w:p>
            <w:pPr>
              <w:rPr>
                <w:rFonts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2022年外贸发展（进口贴息项目）资金</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青岛市即墨区温泉街道办事处</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0</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rPr>
                <w:rFonts w:ascii="仿宋_GB2312" w:hAnsi="宋体" w:eastAsia="仿宋_GB2312" w:cs="仿宋_GB2312"/>
                <w:color w:val="000000"/>
                <w:kern w:val="2"/>
                <w:sz w:val="24"/>
                <w:szCs w:val="24"/>
                <w:lang w:val="en-US" w:eastAsia="zh-CN" w:bidi="ar-SA"/>
              </w:rPr>
            </w:pPr>
            <w:r>
              <w:rPr>
                <w:rFonts w:hint="eastAsia" w:ascii="仿宋_GB2312" w:hAnsi="宋体" w:eastAsia="仿宋_GB2312" w:cs="仿宋_GB2312"/>
                <w:color w:val="000000"/>
                <w:sz w:val="24"/>
              </w:rPr>
              <w:t>差</w:t>
            </w:r>
          </w:p>
        </w:tc>
      </w:tr>
      <w:tr>
        <w:tblPrEx>
          <w:tblCellMar>
            <w:top w:w="15" w:type="dxa"/>
            <w:left w:w="15" w:type="dxa"/>
            <w:bottom w:w="15" w:type="dxa"/>
            <w:right w:w="15" w:type="dxa"/>
          </w:tblCellMar>
        </w:tblPrEx>
        <w:trPr>
          <w:trHeight w:val="450" w:hRule="atLeast"/>
          <w:jc w:val="center"/>
        </w:trPr>
        <w:tc>
          <w:tcPr>
            <w:tcW w:w="1461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仿宋_GB2312" w:hAnsi="宋体" w:eastAsia="仿宋_GB2312" w:cs="仿宋_GB2312"/>
                <w:b/>
                <w:color w:val="000000"/>
                <w:sz w:val="24"/>
              </w:rPr>
            </w:pPr>
            <w:r>
              <w:rPr>
                <w:rFonts w:hint="eastAsia" w:ascii="仿宋_GB2312" w:hAnsi="宋体" w:eastAsia="仿宋_GB2312" w:cs="仿宋_GB2312"/>
                <w:b/>
                <w:color w:val="000000"/>
                <w:kern w:val="0"/>
                <w:sz w:val="24"/>
                <w:lang w:bidi="ar"/>
              </w:rPr>
              <w:t>区本级支出项目绩效自评</w:t>
            </w:r>
          </w:p>
        </w:tc>
      </w:tr>
      <w:tr>
        <w:tblPrEx>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1</w:t>
            </w:r>
          </w:p>
        </w:tc>
        <w:tc>
          <w:tcPr>
            <w:tcW w:w="647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西温社区安置区建设项目二期（C地块）</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青岛市即墨区温泉街道办事处</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100</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优</w:t>
            </w:r>
          </w:p>
        </w:tc>
      </w:tr>
      <w:tr>
        <w:tblPrEx>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2</w:t>
            </w:r>
          </w:p>
        </w:tc>
        <w:tc>
          <w:tcPr>
            <w:tcW w:w="6475"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落实公办及集体幼儿园非公办教职工待遇</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Calibri" w:hAnsi="Calibri" w:cs="Calibri"/>
                <w:color w:val="000000"/>
                <w:sz w:val="21"/>
                <w:szCs w:val="21"/>
              </w:rPr>
            </w:pPr>
            <w:r>
              <w:rPr>
                <w:rFonts w:hint="eastAsia" w:ascii="仿宋_GB2312" w:hAnsi="宋体" w:eastAsia="仿宋_GB2312" w:cs="仿宋_GB2312"/>
                <w:color w:val="000000"/>
                <w:sz w:val="24"/>
              </w:rPr>
              <w:t>青岛市即墨区温泉街道办事处</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color w:val="000000"/>
                <w:sz w:val="24"/>
                <w:lang w:val="en-US" w:eastAsia="zh-CN"/>
              </w:rPr>
            </w:pPr>
            <w:r>
              <w:rPr>
                <w:rFonts w:hint="eastAsia" w:ascii="仿宋_GB2312" w:hAnsi="宋体" w:eastAsia="仿宋_GB2312" w:cs="仿宋_GB2312"/>
                <w:color w:val="000000"/>
                <w:sz w:val="24"/>
                <w:lang w:val="en-US" w:eastAsia="zh-CN"/>
              </w:rPr>
              <w:t>100</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cs="宋体"/>
                <w:color w:val="000000"/>
                <w:sz w:val="22"/>
                <w:szCs w:val="22"/>
              </w:rPr>
            </w:pPr>
            <w:r>
              <w:rPr>
                <w:rFonts w:hint="eastAsia" w:ascii="宋体" w:hAnsi="宋体" w:cs="宋体"/>
                <w:color w:val="000000"/>
                <w:sz w:val="22"/>
                <w:szCs w:val="22"/>
              </w:rPr>
              <w:t>优</w:t>
            </w:r>
          </w:p>
        </w:tc>
      </w:tr>
      <w:tr>
        <w:tblPrEx>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3</w:t>
            </w:r>
          </w:p>
        </w:tc>
        <w:tc>
          <w:tcPr>
            <w:tcW w:w="6475" w:type="dxa"/>
            <w:tcBorders>
              <w:top w:val="single" w:color="000000" w:sz="4" w:space="0"/>
              <w:left w:val="single" w:color="000000" w:sz="4" w:space="0"/>
              <w:bottom w:val="single" w:color="000000" w:sz="4" w:space="0"/>
              <w:right w:val="single" w:color="000000" w:sz="4" w:space="0"/>
            </w:tcBorders>
            <w:noWrap w:val="0"/>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rPr>
              <w:t>城市社区党组织服务群众专项经费</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青岛市即墨区温泉街道办事处</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0</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差</w:t>
            </w:r>
          </w:p>
        </w:tc>
      </w:tr>
      <w:tr>
        <w:tblPrEx>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4</w:t>
            </w:r>
          </w:p>
        </w:tc>
        <w:tc>
          <w:tcPr>
            <w:tcW w:w="6475" w:type="dxa"/>
            <w:tcBorders>
              <w:top w:val="single" w:color="000000" w:sz="4" w:space="0"/>
              <w:left w:val="single" w:color="000000" w:sz="4" w:space="0"/>
              <w:bottom w:val="single" w:color="000000" w:sz="4" w:space="0"/>
              <w:right w:val="single" w:color="000000" w:sz="4" w:space="0"/>
            </w:tcBorders>
            <w:noWrap w:val="0"/>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rPr>
              <w:t>2021年城市社区办公经费</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青岛市即墨区温泉街道办事处</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100</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优</w:t>
            </w:r>
          </w:p>
        </w:tc>
      </w:tr>
      <w:tr>
        <w:tblPrEx>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5</w:t>
            </w:r>
          </w:p>
        </w:tc>
        <w:tc>
          <w:tcPr>
            <w:tcW w:w="647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2022年城市社区办公经费</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青岛市即墨区温泉街道办事处</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0</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差</w:t>
            </w:r>
          </w:p>
        </w:tc>
      </w:tr>
      <w:tr>
        <w:tblPrEx>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6</w:t>
            </w:r>
          </w:p>
        </w:tc>
        <w:tc>
          <w:tcPr>
            <w:tcW w:w="6475" w:type="dxa"/>
            <w:tcBorders>
              <w:top w:val="single" w:color="000000" w:sz="4" w:space="0"/>
              <w:left w:val="single" w:color="000000" w:sz="4" w:space="0"/>
              <w:bottom w:val="single" w:color="000000" w:sz="4" w:space="0"/>
              <w:right w:val="single" w:color="000000" w:sz="4" w:space="0"/>
            </w:tcBorders>
            <w:noWrap w:val="0"/>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rPr>
              <w:t>非公党建工作经费</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Calibri" w:hAnsi="Calibri" w:cs="Calibri"/>
                <w:color w:val="000000"/>
                <w:sz w:val="21"/>
                <w:szCs w:val="21"/>
              </w:rPr>
            </w:pPr>
            <w:r>
              <w:rPr>
                <w:rFonts w:hint="eastAsia" w:ascii="仿宋_GB2312" w:hAnsi="宋体" w:eastAsia="仿宋_GB2312" w:cs="仿宋_GB2312"/>
                <w:color w:val="000000"/>
                <w:sz w:val="24"/>
              </w:rPr>
              <w:t>青岛市即墨区温泉街道办事处</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0</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差</w:t>
            </w:r>
          </w:p>
        </w:tc>
      </w:tr>
      <w:tr>
        <w:tblPrEx>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7</w:t>
            </w:r>
          </w:p>
        </w:tc>
        <w:tc>
          <w:tcPr>
            <w:tcW w:w="6475"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石泉庄路大中修项目</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青岛市即墨区温泉街道办事处</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100</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rPr>
              <w:t>优</w:t>
            </w:r>
          </w:p>
        </w:tc>
      </w:tr>
      <w:tr>
        <w:tblPrEx>
          <w:tblCellMar>
            <w:top w:w="15" w:type="dxa"/>
            <w:left w:w="15" w:type="dxa"/>
            <w:bottom w:w="15" w:type="dxa"/>
            <w:right w:w="15" w:type="dxa"/>
          </w:tblCellMar>
        </w:tblPrEx>
        <w:trPr>
          <w:trHeight w:val="450" w:hRule="atLeast"/>
          <w:jc w:val="center"/>
        </w:trPr>
        <w:tc>
          <w:tcPr>
            <w:tcW w:w="1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8</w:t>
            </w:r>
          </w:p>
        </w:tc>
        <w:tc>
          <w:tcPr>
            <w:tcW w:w="6475" w:type="dxa"/>
            <w:tcBorders>
              <w:top w:val="single" w:color="000000" w:sz="4" w:space="0"/>
              <w:left w:val="single" w:color="000000" w:sz="4" w:space="0"/>
              <w:bottom w:val="single" w:color="000000" w:sz="4" w:space="0"/>
              <w:right w:val="single" w:color="000000" w:sz="4" w:space="0"/>
            </w:tcBorders>
            <w:noWrap w:val="0"/>
            <w:vAlign w:val="center"/>
          </w:tcPr>
          <w:p>
            <w:pPr>
              <w:rPr>
                <w:rFonts w:ascii="仿宋_GB2312" w:hAnsi="宋体" w:eastAsia="仿宋_GB2312" w:cs="仿宋_GB2312"/>
                <w:color w:val="000000"/>
                <w:sz w:val="24"/>
              </w:rPr>
            </w:pPr>
            <w:r>
              <w:rPr>
                <w:rFonts w:hint="eastAsia" w:ascii="仿宋_GB2312" w:hAnsi="宋体" w:eastAsia="仿宋_GB2312" w:cs="仿宋_GB2312"/>
                <w:color w:val="000000"/>
                <w:sz w:val="24"/>
              </w:rPr>
              <w:t>农村街巷硬化</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Calibri" w:hAnsi="Calibri" w:cs="Calibri"/>
                <w:color w:val="000000"/>
                <w:sz w:val="21"/>
                <w:szCs w:val="21"/>
              </w:rPr>
            </w:pPr>
            <w:r>
              <w:rPr>
                <w:rFonts w:hint="eastAsia" w:ascii="仿宋_GB2312" w:hAnsi="宋体" w:eastAsia="仿宋_GB2312" w:cs="仿宋_GB2312"/>
                <w:color w:val="000000"/>
                <w:sz w:val="24"/>
              </w:rPr>
              <w:t>青岛市即墨区温泉街道办事处</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100</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优</w:t>
            </w:r>
          </w:p>
        </w:tc>
      </w:tr>
    </w:tbl>
    <w:p>
      <w:pPr>
        <w:spacing w:line="360" w:lineRule="exact"/>
        <w:jc w:val="left"/>
        <w:rPr>
          <w:rFonts w:hint="eastAsia" w:ascii="仿宋_GB2312" w:hAnsi="宋体" w:eastAsia="仿宋_GB2312"/>
          <w:sz w:val="22"/>
          <w:szCs w:val="22"/>
          <w:lang w:val="zh-CN"/>
        </w:rPr>
      </w:pPr>
      <w:r>
        <w:rPr>
          <w:rFonts w:hint="eastAsia" w:ascii="仿宋_GB2312" w:hAnsi="宋体" w:eastAsia="仿宋_GB2312"/>
          <w:sz w:val="22"/>
          <w:szCs w:val="22"/>
          <w:lang w:val="zh-CN"/>
        </w:rPr>
        <w:t>注：1.“资金使用单位”为具体使用资金的机关本级或下级单位；</w:t>
      </w:r>
    </w:p>
    <w:p>
      <w:pPr>
        <w:spacing w:line="360" w:lineRule="exact"/>
        <w:jc w:val="left"/>
        <w:rPr>
          <w:rFonts w:hint="eastAsia" w:ascii="仿宋_GB2312" w:hAnsi="宋体" w:eastAsia="仿宋_GB2312"/>
          <w:sz w:val="22"/>
          <w:szCs w:val="22"/>
          <w:lang w:val="zh-CN"/>
        </w:rPr>
      </w:pPr>
      <w:r>
        <w:rPr>
          <w:rFonts w:hint="eastAsia" w:ascii="仿宋_GB2312" w:hAnsi="宋体" w:eastAsia="仿宋_GB2312"/>
          <w:sz w:val="22"/>
          <w:szCs w:val="22"/>
          <w:lang w:val="zh-CN"/>
        </w:rPr>
        <w:t>2.自评等级：自评得分在90（含）-100为“优”，80（含）-90为“良”，70（含）-80为“中”，70分以下为“差”；</w:t>
      </w:r>
    </w:p>
    <w:p>
      <w:pPr>
        <w:spacing w:after="305" w:afterLines="50" w:line="360" w:lineRule="exact"/>
        <w:jc w:val="left"/>
        <w:rPr>
          <w:rFonts w:hint="eastAsia" w:ascii="仿宋_GB2312" w:hAnsi="宋体" w:eastAsia="仿宋_GB2312"/>
          <w:sz w:val="22"/>
          <w:szCs w:val="22"/>
          <w:lang w:val="zh-CN"/>
        </w:rPr>
      </w:pPr>
      <w:r>
        <w:rPr>
          <w:rFonts w:hint="eastAsia" w:ascii="仿宋_GB2312" w:hAnsi="宋体" w:eastAsia="仿宋_GB2312"/>
          <w:sz w:val="22"/>
          <w:szCs w:val="22"/>
          <w:lang w:val="zh-CN"/>
        </w:rPr>
        <w:t>3.表格中两部分的项目总数应与“1、预算绩效管理工作开展情况”“2、项目绩效自评结果”中表述的自评项目数量保持一致。如因项目涉密等原因造成项目数量不一致，需说明。</w:t>
      </w:r>
    </w:p>
    <w:p>
      <w:pPr>
        <w:spacing w:after="305" w:afterLines="50" w:line="360" w:lineRule="exact"/>
        <w:jc w:val="left"/>
        <w:rPr>
          <w:rFonts w:hint="eastAsia" w:ascii="仿宋_GB2312" w:hAnsi="宋体" w:eastAsia="仿宋_GB2312"/>
          <w:sz w:val="22"/>
          <w:szCs w:val="22"/>
          <w:lang w:val="zh-CN"/>
        </w:rPr>
      </w:pPr>
    </w:p>
    <w:p>
      <w:pPr>
        <w:spacing w:after="305" w:afterLines="50" w:line="360" w:lineRule="exact"/>
        <w:jc w:val="left"/>
        <w:rPr>
          <w:rFonts w:hint="eastAsia" w:ascii="仿宋_GB2312" w:hAnsi="宋体" w:eastAsia="仿宋_GB2312"/>
          <w:sz w:val="22"/>
          <w:szCs w:val="22"/>
          <w:lang w:val="zh-CN"/>
        </w:rPr>
      </w:pPr>
    </w:p>
    <w:p>
      <w:pPr>
        <w:spacing w:after="305" w:afterLines="50" w:line="360" w:lineRule="exact"/>
        <w:jc w:val="left"/>
        <w:rPr>
          <w:rFonts w:hint="eastAsia" w:ascii="仿宋_GB2312" w:hAnsi="宋体" w:eastAsia="仿宋_GB2312"/>
          <w:sz w:val="22"/>
          <w:szCs w:val="22"/>
          <w:lang w:val="zh-CN"/>
        </w:rPr>
      </w:pPr>
    </w:p>
    <w:p>
      <w:pPr>
        <w:spacing w:after="305" w:afterLines="50" w:line="360" w:lineRule="exact"/>
        <w:jc w:val="left"/>
        <w:rPr>
          <w:rFonts w:ascii="仿宋_GB2312" w:hAnsi="宋体" w:eastAsia="仿宋_GB2312"/>
          <w:sz w:val="22"/>
          <w:szCs w:val="22"/>
          <w:lang w:val="zh-CN"/>
        </w:rPr>
      </w:pPr>
    </w:p>
    <w:p>
      <w:pPr>
        <w:spacing w:after="305" w:afterLines="50" w:line="360" w:lineRule="exact"/>
        <w:jc w:val="left"/>
        <w:rPr>
          <w:rFonts w:ascii="仿宋_GB2312" w:hAnsi="宋体" w:eastAsia="仿宋_GB2312"/>
          <w:sz w:val="22"/>
          <w:szCs w:val="22"/>
          <w:lang w:val="zh-CN"/>
        </w:rPr>
        <w:sectPr>
          <w:pgSz w:w="16838" w:h="11906" w:orient="landscape"/>
          <w:pgMar w:top="1077" w:right="1701" w:bottom="1077" w:left="1701" w:header="0" w:footer="1418" w:gutter="0"/>
          <w:cols w:space="720" w:num="1"/>
          <w:docGrid w:type="linesAndChars" w:linePitch="610" w:charSpace="-849"/>
        </w:sectPr>
      </w:pPr>
    </w:p>
    <w:tbl>
      <w:tblPr>
        <w:tblStyle w:val="4"/>
        <w:tblW w:w="98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26"/>
        <w:gridCol w:w="494"/>
        <w:gridCol w:w="1011"/>
        <w:gridCol w:w="1704"/>
        <w:gridCol w:w="1673"/>
        <w:gridCol w:w="1062"/>
        <w:gridCol w:w="1295"/>
        <w:gridCol w:w="17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44" w:type="dxa"/>
            <w:gridSpan w:val="8"/>
            <w:tcBorders>
              <w:top w:val="nil"/>
              <w:left w:val="nil"/>
              <w:bottom w:val="nil"/>
              <w:right w:val="nil"/>
            </w:tcBorders>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844" w:type="dxa"/>
            <w:gridSpan w:val="8"/>
            <w:tcBorders>
              <w:top w:val="nil"/>
              <w:left w:val="nil"/>
              <w:bottom w:val="single" w:color="000000" w:sz="4" w:space="0"/>
              <w:right w:val="nil"/>
            </w:tcBorders>
            <w:noWrap w:val="0"/>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转移支付（项目）名称</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2022年保障性安居工程中央基建投资资金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中央主管</w:t>
            </w:r>
            <w:r>
              <w:rPr>
                <w:rFonts w:hint="eastAsia" w:ascii="宋体" w:hAnsi="宋体" w:cs="宋体"/>
                <w:i w:val="0"/>
                <w:iCs w:val="0"/>
                <w:color w:val="000000"/>
                <w:kern w:val="0"/>
                <w:sz w:val="20"/>
                <w:szCs w:val="20"/>
                <w:u w:val="none"/>
                <w:lang w:val="en-US" w:eastAsia="zh-CN" w:bidi="ar"/>
              </w:rPr>
              <w:t>单位</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地方主管</w:t>
            </w:r>
            <w:r>
              <w:rPr>
                <w:rFonts w:hint="eastAsia" w:ascii="宋体" w:hAnsi="宋体" w:cs="宋体"/>
                <w:i w:val="0"/>
                <w:iCs w:val="0"/>
                <w:color w:val="000000"/>
                <w:kern w:val="0"/>
                <w:sz w:val="20"/>
                <w:szCs w:val="20"/>
                <w:u w:val="none"/>
                <w:lang w:val="en-US" w:eastAsia="zh-CN" w:bidi="ar"/>
              </w:rPr>
              <w:t>单位</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即墨区财政局</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318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即墨区温泉街道财税保障中心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其中：中央财政资金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r>
              <w:rPr>
                <w:rStyle w:val="7"/>
                <w:lang w:val="en-US" w:eastAsia="zh-CN" w:bidi="ar"/>
              </w:rPr>
              <w:t xml:space="preserve">      地方资金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r>
              <w:rPr>
                <w:rStyle w:val="7"/>
                <w:lang w:val="en-US" w:eastAsia="zh-CN" w:bidi="ar"/>
              </w:rPr>
              <w:t xml:space="preserve">  其他资金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及时足额发放补助资金确保居民及时回迁</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已全部发放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是否足额发放</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质量合格率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是否及时拨付资金</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有无资金浪费</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改善生活条件提升生活质量</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改善居民生活居住条件，保障居民安居乐业</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改善居民居住环境</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改善居民居住环境，提升生活质量</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群众满意度</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bl>
    <w:p>
      <w:pPr>
        <w:spacing w:after="305" w:afterLines="50" w:line="360" w:lineRule="exact"/>
        <w:jc w:val="left"/>
        <w:rPr>
          <w:rFonts w:hint="default" w:ascii="仿宋_GB2312" w:hAnsi="宋体" w:eastAsia="仿宋_GB2312"/>
          <w:sz w:val="22"/>
          <w:szCs w:val="22"/>
          <w:lang w:val="en-US" w:eastAsia="zh-CN"/>
        </w:rPr>
      </w:pPr>
    </w:p>
    <w:tbl>
      <w:tblPr>
        <w:tblStyle w:val="4"/>
        <w:tblW w:w="98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26"/>
        <w:gridCol w:w="493"/>
        <w:gridCol w:w="1008"/>
        <w:gridCol w:w="1694"/>
        <w:gridCol w:w="1672"/>
        <w:gridCol w:w="1072"/>
        <w:gridCol w:w="1309"/>
        <w:gridCol w:w="17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44" w:type="dxa"/>
            <w:gridSpan w:val="8"/>
            <w:tcBorders>
              <w:top w:val="nil"/>
              <w:left w:val="nil"/>
              <w:bottom w:val="nil"/>
              <w:right w:val="nil"/>
            </w:tcBorders>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844" w:type="dxa"/>
            <w:gridSpan w:val="8"/>
            <w:tcBorders>
              <w:top w:val="nil"/>
              <w:left w:val="nil"/>
              <w:bottom w:val="single" w:color="000000" w:sz="4" w:space="0"/>
              <w:right w:val="nil"/>
            </w:tcBorders>
            <w:noWrap w:val="0"/>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转移支付（项目）名称</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2021年公益林生态绩效补偿资金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中央主管</w:t>
            </w:r>
            <w:r>
              <w:rPr>
                <w:rFonts w:hint="eastAsia" w:ascii="宋体" w:hAnsi="宋体" w:cs="宋体"/>
                <w:i w:val="0"/>
                <w:iCs w:val="0"/>
                <w:color w:val="000000"/>
                <w:kern w:val="0"/>
                <w:sz w:val="20"/>
                <w:szCs w:val="20"/>
                <w:u w:val="none"/>
                <w:lang w:val="en-US" w:eastAsia="zh-CN" w:bidi="ar"/>
              </w:rPr>
              <w:t>单位</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地方主管</w:t>
            </w:r>
            <w:r>
              <w:rPr>
                <w:rFonts w:hint="eastAsia" w:ascii="宋体" w:hAnsi="宋体" w:cs="宋体"/>
                <w:i w:val="0"/>
                <w:iCs w:val="0"/>
                <w:color w:val="000000"/>
                <w:kern w:val="0"/>
                <w:sz w:val="20"/>
                <w:szCs w:val="20"/>
                <w:u w:val="none"/>
                <w:lang w:val="en-US" w:eastAsia="zh-CN" w:bidi="ar"/>
              </w:rPr>
              <w:t>单位</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即墨区财政局</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318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即墨区温泉街道财税保障中心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24.588</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24.588</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其中：中央财政资金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地方资金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24.588</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24.588</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 xml:space="preserve">  其他资金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及时足额发放资金</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已全部发放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是否足额发放</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24.588</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24.588</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是否及时拨付资金</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保护森林资源，有效改善生态环境</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保护生态安全，维持良好的生态环境</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群众满意度</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bl>
    <w:p>
      <w:pPr>
        <w:spacing w:after="305" w:afterLines="50" w:line="360" w:lineRule="exact"/>
        <w:jc w:val="left"/>
        <w:rPr>
          <w:rFonts w:hint="default" w:ascii="仿宋_GB2312" w:hAnsi="宋体" w:eastAsia="仿宋_GB2312"/>
          <w:sz w:val="22"/>
          <w:szCs w:val="22"/>
          <w:lang w:val="en-US" w:eastAsia="zh-CN"/>
        </w:rPr>
      </w:pPr>
    </w:p>
    <w:p>
      <w:pPr>
        <w:spacing w:after="305" w:afterLines="50" w:line="360" w:lineRule="exact"/>
        <w:jc w:val="left"/>
        <w:rPr>
          <w:rFonts w:hint="default" w:ascii="仿宋_GB2312" w:hAnsi="宋体" w:eastAsia="仿宋_GB2312"/>
          <w:sz w:val="22"/>
          <w:szCs w:val="22"/>
          <w:lang w:val="en-US" w:eastAsia="zh-CN"/>
        </w:rPr>
      </w:pPr>
    </w:p>
    <w:tbl>
      <w:tblPr>
        <w:tblStyle w:val="4"/>
        <w:tblW w:w="98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26"/>
        <w:gridCol w:w="495"/>
        <w:gridCol w:w="1013"/>
        <w:gridCol w:w="1709"/>
        <w:gridCol w:w="1677"/>
        <w:gridCol w:w="1051"/>
        <w:gridCol w:w="1291"/>
        <w:gridCol w:w="17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44" w:type="dxa"/>
            <w:gridSpan w:val="8"/>
            <w:tcBorders>
              <w:top w:val="nil"/>
              <w:left w:val="nil"/>
              <w:bottom w:val="nil"/>
              <w:right w:val="nil"/>
            </w:tcBorders>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844" w:type="dxa"/>
            <w:gridSpan w:val="8"/>
            <w:tcBorders>
              <w:top w:val="nil"/>
              <w:left w:val="nil"/>
              <w:bottom w:val="single" w:color="000000" w:sz="4" w:space="0"/>
              <w:right w:val="nil"/>
            </w:tcBorders>
            <w:noWrap w:val="0"/>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转移支付（项目）名称</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第一书记和乡村振兴工作队项目资金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中央主管</w:t>
            </w:r>
            <w:r>
              <w:rPr>
                <w:rFonts w:hint="eastAsia" w:ascii="宋体" w:hAnsi="宋体" w:cs="宋体"/>
                <w:i w:val="0"/>
                <w:iCs w:val="0"/>
                <w:color w:val="000000"/>
                <w:kern w:val="0"/>
                <w:sz w:val="20"/>
                <w:szCs w:val="20"/>
                <w:u w:val="none"/>
                <w:lang w:val="en-US" w:eastAsia="zh-CN" w:bidi="ar"/>
              </w:rPr>
              <w:t>单位</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地方主管</w:t>
            </w:r>
            <w:r>
              <w:rPr>
                <w:rFonts w:hint="eastAsia" w:ascii="宋体" w:hAnsi="宋体" w:cs="宋体"/>
                <w:i w:val="0"/>
                <w:iCs w:val="0"/>
                <w:color w:val="000000"/>
                <w:kern w:val="0"/>
                <w:sz w:val="20"/>
                <w:szCs w:val="20"/>
                <w:u w:val="none"/>
                <w:lang w:val="en-US" w:eastAsia="zh-CN" w:bidi="ar"/>
              </w:rPr>
              <w:t>单位</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即墨区财政局</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318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即墨区温泉街道财税保障中心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其中：中央财政资金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地方资金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 xml:space="preserve">  其他资金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及时足额发放资金</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已全部发放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是否足额发放</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工作激情、态度、能力相应提升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是否及时拨付资金</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改善生活条件</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提高工作积极性和生活幸福感</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激励更多干部到基层工作</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长期</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群众满意度</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bl>
    <w:p>
      <w:pPr>
        <w:spacing w:after="305" w:afterLines="50" w:line="360" w:lineRule="exact"/>
        <w:jc w:val="left"/>
        <w:rPr>
          <w:rFonts w:hint="default" w:ascii="仿宋_GB2312" w:hAnsi="宋体" w:eastAsia="仿宋_GB2312"/>
          <w:sz w:val="22"/>
          <w:szCs w:val="22"/>
          <w:lang w:val="en-US" w:eastAsia="zh-CN"/>
        </w:rPr>
      </w:pPr>
    </w:p>
    <w:tbl>
      <w:tblPr>
        <w:tblStyle w:val="4"/>
        <w:tblW w:w="98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26"/>
        <w:gridCol w:w="493"/>
        <w:gridCol w:w="1008"/>
        <w:gridCol w:w="1694"/>
        <w:gridCol w:w="1672"/>
        <w:gridCol w:w="1072"/>
        <w:gridCol w:w="1309"/>
        <w:gridCol w:w="17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44" w:type="dxa"/>
            <w:gridSpan w:val="8"/>
            <w:tcBorders>
              <w:top w:val="nil"/>
              <w:left w:val="nil"/>
              <w:bottom w:val="nil"/>
              <w:right w:val="nil"/>
            </w:tcBorders>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844" w:type="dxa"/>
            <w:gridSpan w:val="8"/>
            <w:tcBorders>
              <w:top w:val="nil"/>
              <w:left w:val="nil"/>
              <w:bottom w:val="single" w:color="000000" w:sz="4" w:space="0"/>
              <w:right w:val="nil"/>
            </w:tcBorders>
            <w:noWrap w:val="0"/>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转移支付（项目）名称</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恒温库和温室大棚建设项目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中央主管</w:t>
            </w:r>
            <w:r>
              <w:rPr>
                <w:rFonts w:hint="eastAsia" w:ascii="宋体" w:hAnsi="宋体" w:cs="宋体"/>
                <w:i w:val="0"/>
                <w:iCs w:val="0"/>
                <w:color w:val="000000"/>
                <w:kern w:val="0"/>
                <w:sz w:val="20"/>
                <w:szCs w:val="20"/>
                <w:u w:val="none"/>
                <w:lang w:val="en-US" w:eastAsia="zh-CN" w:bidi="ar"/>
              </w:rPr>
              <w:t>单位</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地方主管</w:t>
            </w:r>
            <w:r>
              <w:rPr>
                <w:rFonts w:hint="eastAsia" w:ascii="宋体" w:hAnsi="宋体" w:cs="宋体"/>
                <w:i w:val="0"/>
                <w:iCs w:val="0"/>
                <w:color w:val="000000"/>
                <w:kern w:val="0"/>
                <w:sz w:val="20"/>
                <w:szCs w:val="20"/>
                <w:u w:val="none"/>
                <w:lang w:val="en-US" w:eastAsia="zh-CN" w:bidi="ar"/>
              </w:rPr>
              <w:t>单位</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即墨区财政局</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318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即墨区温泉街道财税保障中心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278.01</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278.01</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其中：中央财政资金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地方资金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278.01</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278.01</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 xml:space="preserve">  其他资金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及时足额发放资金</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已全部发放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是否足额发放</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278.01</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278.01</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质量合格率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是否及时拨付资金</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建设恒温库及大棚提高经济效益</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解决农村剩余劳动力，带动就业</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高标准发展生态农业，促进生态发展</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提高农业经济效益，促进经济发展</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群众满意度</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bl>
    <w:p>
      <w:pPr>
        <w:spacing w:after="305" w:afterLines="50" w:line="360" w:lineRule="exact"/>
        <w:jc w:val="left"/>
        <w:rPr>
          <w:rFonts w:hint="default" w:ascii="仿宋_GB2312" w:hAnsi="宋体" w:eastAsia="仿宋_GB2312"/>
          <w:sz w:val="22"/>
          <w:szCs w:val="22"/>
          <w:lang w:val="en-US" w:eastAsia="zh-CN"/>
        </w:rPr>
      </w:pPr>
    </w:p>
    <w:p>
      <w:pPr>
        <w:spacing w:after="305" w:afterLines="50" w:line="360" w:lineRule="exact"/>
        <w:jc w:val="left"/>
        <w:rPr>
          <w:rFonts w:hint="default" w:ascii="仿宋_GB2312" w:hAnsi="宋体" w:eastAsia="仿宋_GB2312"/>
          <w:sz w:val="22"/>
          <w:szCs w:val="22"/>
          <w:lang w:val="en-US" w:eastAsia="zh-CN"/>
        </w:rPr>
      </w:pPr>
    </w:p>
    <w:tbl>
      <w:tblPr>
        <w:tblStyle w:val="4"/>
        <w:tblW w:w="984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26"/>
        <w:gridCol w:w="492"/>
        <w:gridCol w:w="1007"/>
        <w:gridCol w:w="1691"/>
        <w:gridCol w:w="1677"/>
        <w:gridCol w:w="1079"/>
        <w:gridCol w:w="1308"/>
        <w:gridCol w:w="17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44" w:type="dxa"/>
            <w:gridSpan w:val="8"/>
            <w:tcBorders>
              <w:top w:val="nil"/>
              <w:left w:val="nil"/>
              <w:bottom w:val="nil"/>
              <w:right w:val="nil"/>
            </w:tcBorders>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844" w:type="dxa"/>
            <w:gridSpan w:val="8"/>
            <w:tcBorders>
              <w:top w:val="nil"/>
              <w:left w:val="nil"/>
              <w:bottom w:val="single" w:color="000000" w:sz="4" w:space="0"/>
              <w:right w:val="nil"/>
            </w:tcBorders>
            <w:noWrap w:val="0"/>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转移支付（项目）名称</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2022年外经贸发展（进口贴息项目）资金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中央主管</w:t>
            </w:r>
            <w:r>
              <w:rPr>
                <w:rFonts w:hint="eastAsia" w:ascii="宋体" w:hAnsi="宋体" w:cs="宋体"/>
                <w:i w:val="0"/>
                <w:iCs w:val="0"/>
                <w:color w:val="000000"/>
                <w:kern w:val="0"/>
                <w:sz w:val="20"/>
                <w:szCs w:val="20"/>
                <w:u w:val="none"/>
                <w:lang w:val="en-US" w:eastAsia="zh-CN" w:bidi="ar"/>
              </w:rPr>
              <w:t>单位</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地方主管</w:t>
            </w:r>
            <w:r>
              <w:rPr>
                <w:rFonts w:hint="eastAsia" w:ascii="宋体" w:hAnsi="宋体" w:cs="宋体"/>
                <w:i w:val="0"/>
                <w:iCs w:val="0"/>
                <w:color w:val="000000"/>
                <w:kern w:val="0"/>
                <w:sz w:val="20"/>
                <w:szCs w:val="20"/>
                <w:u w:val="none"/>
                <w:lang w:val="en-US" w:eastAsia="zh-CN" w:bidi="ar"/>
              </w:rPr>
              <w:t>单位</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即墨区财政局</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318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即墨区温泉街道财税保障中心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20.1498</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20.1498</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其中：中央财政资金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地方资金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20.1498</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20.1498</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 xml:space="preserve">  其他资金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及时足额发放资金</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已全部发放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是否足额发放</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20.1498</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资金拨付不及时，原因是资金下达时间晚，年底系统关闭未能及时拨付。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是否及时拨付资金</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拨付资金，支持企业发展</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支持企业发展，促进地方经济增长</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扶持企业发展，促进地方经济增长</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群众满意度</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44" w:type="dxa"/>
            <w:gridSpan w:val="8"/>
            <w:tcBorders>
              <w:top w:val="nil"/>
              <w:left w:val="nil"/>
              <w:bottom w:val="nil"/>
              <w:right w:val="nil"/>
            </w:tcBorders>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844" w:type="dxa"/>
            <w:gridSpan w:val="8"/>
            <w:tcBorders>
              <w:top w:val="nil"/>
              <w:left w:val="nil"/>
              <w:bottom w:val="single" w:color="000000" w:sz="4" w:space="0"/>
              <w:right w:val="nil"/>
            </w:tcBorders>
            <w:noWrap w:val="0"/>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转移支付（项目）名称</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西温安置区C地块项目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中央主管</w:t>
            </w:r>
            <w:r>
              <w:rPr>
                <w:rFonts w:hint="eastAsia" w:ascii="宋体" w:hAnsi="宋体" w:cs="宋体"/>
                <w:i w:val="0"/>
                <w:iCs w:val="0"/>
                <w:color w:val="000000"/>
                <w:kern w:val="0"/>
                <w:sz w:val="20"/>
                <w:szCs w:val="20"/>
                <w:u w:val="none"/>
                <w:lang w:val="en-US" w:eastAsia="zh-CN" w:bidi="ar"/>
              </w:rPr>
              <w:t>单位</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地方主管</w:t>
            </w:r>
            <w:r>
              <w:rPr>
                <w:rFonts w:hint="eastAsia" w:ascii="宋体" w:hAnsi="宋体" w:cs="宋体"/>
                <w:i w:val="0"/>
                <w:iCs w:val="0"/>
                <w:color w:val="000000"/>
                <w:kern w:val="0"/>
                <w:sz w:val="20"/>
                <w:szCs w:val="20"/>
                <w:u w:val="none"/>
                <w:lang w:val="en-US" w:eastAsia="zh-CN" w:bidi="ar"/>
              </w:rPr>
              <w:t>单位</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即墨区财政局</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318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即墨区温泉街道财税保障中心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8000</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8000</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其中：中央财政资金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地方资金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8000</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8000</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 xml:space="preserve">  其他资金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及时足额发放资金</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已全部发放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是否足额发放</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8000</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质量合格率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是否及时拨付资金</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西温安置区C地块项目所需成本</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加快安置区建设，带动经济发展</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改善村庄人居环境</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改善居住环境，提高生活质量</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群众满意度</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44" w:type="dxa"/>
            <w:gridSpan w:val="8"/>
            <w:tcBorders>
              <w:top w:val="nil"/>
              <w:left w:val="nil"/>
              <w:bottom w:val="nil"/>
              <w:right w:val="nil"/>
            </w:tcBorders>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844" w:type="dxa"/>
            <w:gridSpan w:val="8"/>
            <w:tcBorders>
              <w:top w:val="nil"/>
              <w:left w:val="nil"/>
              <w:bottom w:val="single" w:color="000000" w:sz="4" w:space="0"/>
              <w:right w:val="nil"/>
            </w:tcBorders>
            <w:noWrap w:val="0"/>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转移支付（项目）名称</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非事业编幼师工资及保险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中央主管</w:t>
            </w:r>
            <w:r>
              <w:rPr>
                <w:rFonts w:hint="eastAsia" w:ascii="宋体" w:hAnsi="宋体" w:cs="宋体"/>
                <w:i w:val="0"/>
                <w:iCs w:val="0"/>
                <w:color w:val="000000"/>
                <w:kern w:val="0"/>
                <w:sz w:val="20"/>
                <w:szCs w:val="20"/>
                <w:u w:val="none"/>
                <w:lang w:val="en-US" w:eastAsia="zh-CN" w:bidi="ar"/>
              </w:rPr>
              <w:t>单位</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地方主管</w:t>
            </w:r>
            <w:r>
              <w:rPr>
                <w:rFonts w:hint="eastAsia" w:ascii="宋体" w:hAnsi="宋体" w:cs="宋体"/>
                <w:i w:val="0"/>
                <w:iCs w:val="0"/>
                <w:color w:val="000000"/>
                <w:kern w:val="0"/>
                <w:sz w:val="20"/>
                <w:szCs w:val="20"/>
                <w:u w:val="none"/>
                <w:lang w:val="en-US" w:eastAsia="zh-CN" w:bidi="ar"/>
              </w:rPr>
              <w:t>单位</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即墨区财政局</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318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即墨区温泉街道财税保障中心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104.66</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104.66</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其中：中央财政资金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地方资金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104.66</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104.66</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 xml:space="preserve">  其他资金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及时足额发放资金</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已全部发放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是否足额发放</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104.66</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104.66</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是否及时拨付资金</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非事业编幼师工资及保险所需资金</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为社会提供优质高效的服务</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及时足额发放工资，改善生活条件</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群众满意度</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说明</w:t>
            </w:r>
          </w:p>
        </w:tc>
        <w:tc>
          <w:tcPr>
            <w:tcW w:w="9344"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44" w:type="dxa"/>
            <w:gridSpan w:val="8"/>
            <w:tcBorders>
              <w:top w:val="nil"/>
              <w:left w:val="nil"/>
              <w:bottom w:val="nil"/>
              <w:right w:val="nil"/>
            </w:tcBorders>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844" w:type="dxa"/>
            <w:gridSpan w:val="8"/>
            <w:tcBorders>
              <w:top w:val="nil"/>
              <w:left w:val="nil"/>
              <w:bottom w:val="single" w:color="000000" w:sz="4" w:space="0"/>
              <w:right w:val="nil"/>
            </w:tcBorders>
            <w:noWrap w:val="0"/>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转移支付（项目）名称</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2022年城市社区工作经费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中央主管</w:t>
            </w:r>
            <w:r>
              <w:rPr>
                <w:rFonts w:hint="eastAsia" w:ascii="宋体" w:hAnsi="宋体" w:cs="宋体"/>
                <w:i w:val="0"/>
                <w:iCs w:val="0"/>
                <w:color w:val="000000"/>
                <w:kern w:val="0"/>
                <w:sz w:val="20"/>
                <w:szCs w:val="20"/>
                <w:u w:val="none"/>
                <w:lang w:val="en-US" w:eastAsia="zh-CN" w:bidi="ar"/>
              </w:rPr>
              <w:t>单位</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地方主管</w:t>
            </w:r>
            <w:r>
              <w:rPr>
                <w:rFonts w:hint="eastAsia" w:ascii="宋体" w:hAnsi="宋体" w:cs="宋体"/>
                <w:i w:val="0"/>
                <w:iCs w:val="0"/>
                <w:color w:val="000000"/>
                <w:kern w:val="0"/>
                <w:sz w:val="20"/>
                <w:szCs w:val="20"/>
                <w:u w:val="none"/>
                <w:lang w:val="en-US" w:eastAsia="zh-CN" w:bidi="ar"/>
              </w:rPr>
              <w:t>单位</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即墨区财政局</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318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即墨区温泉街道财税保障中心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其中：中央财政资金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地方资金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 xml:space="preserve">  其他资金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及时足额发放资金</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已全部发放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是否足额发放</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资金拨付不及时，原因是资金下达时间晚，年底系统关闭未能及时拨付。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保障城市社区工作正常运转</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是否及时拨付资金</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为社会提供优质高效的服务</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保障各项工作高效开展，服务辖区内群众</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群众满意度</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44" w:type="dxa"/>
            <w:gridSpan w:val="8"/>
            <w:tcBorders>
              <w:top w:val="nil"/>
              <w:left w:val="nil"/>
              <w:bottom w:val="nil"/>
              <w:right w:val="nil"/>
            </w:tcBorders>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844" w:type="dxa"/>
            <w:gridSpan w:val="8"/>
            <w:tcBorders>
              <w:top w:val="nil"/>
              <w:left w:val="nil"/>
              <w:bottom w:val="single" w:color="000000" w:sz="4" w:space="0"/>
              <w:right w:val="nil"/>
            </w:tcBorders>
            <w:noWrap w:val="0"/>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转移支付（项目）名称</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2022年城市社区工作经费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中央主管</w:t>
            </w:r>
            <w:r>
              <w:rPr>
                <w:rFonts w:hint="eastAsia" w:ascii="宋体" w:hAnsi="宋体" w:cs="宋体"/>
                <w:i w:val="0"/>
                <w:iCs w:val="0"/>
                <w:color w:val="000000"/>
                <w:kern w:val="0"/>
                <w:sz w:val="20"/>
                <w:szCs w:val="20"/>
                <w:u w:val="none"/>
                <w:lang w:val="en-US" w:eastAsia="zh-CN" w:bidi="ar"/>
              </w:rPr>
              <w:t>单位</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地方主管</w:t>
            </w:r>
            <w:r>
              <w:rPr>
                <w:rFonts w:hint="eastAsia" w:ascii="宋体" w:hAnsi="宋体" w:cs="宋体"/>
                <w:i w:val="0"/>
                <w:iCs w:val="0"/>
                <w:color w:val="000000"/>
                <w:kern w:val="0"/>
                <w:sz w:val="20"/>
                <w:szCs w:val="20"/>
                <w:u w:val="none"/>
                <w:lang w:val="en-US" w:eastAsia="zh-CN" w:bidi="ar"/>
              </w:rPr>
              <w:t>单位</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即墨区财政局</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318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即墨区温泉街道财税保障中心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其中：中央财政资金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地方资金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 xml:space="preserve">  其他资金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及时足额发放资金</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已全部发放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是否足额发放</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保障城市社区工作正常运转</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是否及时拨付资金</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为社会提供优质高效的服务</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保障各项工作高效开展，服务辖区内群众</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群众满意度</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44" w:type="dxa"/>
            <w:gridSpan w:val="8"/>
            <w:tcBorders>
              <w:top w:val="nil"/>
              <w:left w:val="nil"/>
              <w:bottom w:val="nil"/>
              <w:right w:val="nil"/>
            </w:tcBorders>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844" w:type="dxa"/>
            <w:gridSpan w:val="8"/>
            <w:tcBorders>
              <w:top w:val="nil"/>
              <w:left w:val="nil"/>
              <w:bottom w:val="single" w:color="000000" w:sz="4" w:space="0"/>
              <w:right w:val="nil"/>
            </w:tcBorders>
            <w:noWrap w:val="0"/>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转移支付（项目）名称</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非公党建工作经费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中央主管</w:t>
            </w:r>
            <w:r>
              <w:rPr>
                <w:rFonts w:hint="eastAsia" w:ascii="宋体" w:hAnsi="宋体" w:cs="宋体"/>
                <w:i w:val="0"/>
                <w:iCs w:val="0"/>
                <w:color w:val="000000"/>
                <w:kern w:val="0"/>
                <w:sz w:val="20"/>
                <w:szCs w:val="20"/>
                <w:u w:val="none"/>
                <w:lang w:val="en-US" w:eastAsia="zh-CN" w:bidi="ar"/>
              </w:rPr>
              <w:t>单位</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地方主管</w:t>
            </w:r>
            <w:r>
              <w:rPr>
                <w:rFonts w:hint="eastAsia" w:ascii="宋体" w:hAnsi="宋体" w:cs="宋体"/>
                <w:i w:val="0"/>
                <w:iCs w:val="0"/>
                <w:color w:val="000000"/>
                <w:kern w:val="0"/>
                <w:sz w:val="20"/>
                <w:szCs w:val="20"/>
                <w:u w:val="none"/>
                <w:lang w:val="en-US" w:eastAsia="zh-CN" w:bidi="ar"/>
              </w:rPr>
              <w:t>单位</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即墨区财政局</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318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即墨区温泉街道财税保障中心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其中：中央财政资金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地方资金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 xml:space="preserve">  其他资金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及时足额发放资金</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已全部发放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是否足额发放</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资金拨付不及时，原因是资金下达时间晚，年底系统关闭未能及时拨付。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促进党建工作顺利开展</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是否及时拨付资金</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改善生活条件</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促进社会和谐稳定</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激励更多干部到基层工作</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长期</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群众满意度</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bl>
    <w:p>
      <w:pPr>
        <w:spacing w:after="305" w:afterLines="50" w:line="360" w:lineRule="exact"/>
        <w:jc w:val="left"/>
        <w:rPr>
          <w:rFonts w:hint="default" w:ascii="仿宋_GB2312" w:hAnsi="宋体" w:eastAsia="仿宋_GB2312"/>
          <w:sz w:val="22"/>
          <w:szCs w:val="22"/>
          <w:lang w:val="en-US" w:eastAsia="zh-CN"/>
        </w:rPr>
      </w:pPr>
    </w:p>
    <w:tbl>
      <w:tblPr>
        <w:tblStyle w:val="4"/>
        <w:tblW w:w="984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26"/>
        <w:gridCol w:w="492"/>
        <w:gridCol w:w="1008"/>
        <w:gridCol w:w="1695"/>
        <w:gridCol w:w="1673"/>
        <w:gridCol w:w="1073"/>
        <w:gridCol w:w="1310"/>
        <w:gridCol w:w="17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44" w:type="dxa"/>
            <w:gridSpan w:val="8"/>
            <w:tcBorders>
              <w:top w:val="nil"/>
              <w:left w:val="nil"/>
              <w:bottom w:val="nil"/>
              <w:right w:val="nil"/>
            </w:tcBorders>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844" w:type="dxa"/>
            <w:gridSpan w:val="8"/>
            <w:tcBorders>
              <w:top w:val="nil"/>
              <w:left w:val="nil"/>
              <w:bottom w:val="single" w:color="000000" w:sz="4" w:space="0"/>
              <w:right w:val="nil"/>
            </w:tcBorders>
            <w:noWrap w:val="0"/>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转移支付（项目）名称</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石泉庄路大中修工程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中央主管</w:t>
            </w:r>
            <w:r>
              <w:rPr>
                <w:rFonts w:hint="eastAsia" w:ascii="宋体" w:hAnsi="宋体" w:cs="宋体"/>
                <w:i w:val="0"/>
                <w:iCs w:val="0"/>
                <w:color w:val="000000"/>
                <w:kern w:val="0"/>
                <w:sz w:val="20"/>
                <w:szCs w:val="20"/>
                <w:u w:val="none"/>
                <w:lang w:val="en-US" w:eastAsia="zh-CN" w:bidi="ar"/>
              </w:rPr>
              <w:t>单位</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地方主管</w:t>
            </w:r>
            <w:r>
              <w:rPr>
                <w:rFonts w:hint="eastAsia" w:ascii="宋体" w:hAnsi="宋体" w:cs="宋体"/>
                <w:i w:val="0"/>
                <w:iCs w:val="0"/>
                <w:color w:val="000000"/>
                <w:kern w:val="0"/>
                <w:sz w:val="20"/>
                <w:szCs w:val="20"/>
                <w:u w:val="none"/>
                <w:lang w:val="en-US" w:eastAsia="zh-CN" w:bidi="ar"/>
              </w:rPr>
              <w:t>单位</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即墨区财政局</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318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即墨区温泉街道财税保障中心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233.3</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233.3</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其中：中央财政资金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地方资金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233.3</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233.3</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 xml:space="preserve">  其他资金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及时足额发放资金</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已全部发放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是否足额发放</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233.3</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233.3</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质量合格率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是否及时拨付资金</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改造提升村庄道路</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促进环境改善提升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进一步改善村庄面貌，提高村民生活环境质量，提升村庄整体形象</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群众满意度</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44" w:type="dxa"/>
            <w:gridSpan w:val="8"/>
            <w:tcBorders>
              <w:top w:val="nil"/>
              <w:left w:val="nil"/>
              <w:bottom w:val="nil"/>
              <w:right w:val="nil"/>
            </w:tcBorders>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 xml:space="preserve">转移支付区域（项目）绩效目标自评表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844" w:type="dxa"/>
            <w:gridSpan w:val="8"/>
            <w:tcBorders>
              <w:top w:val="nil"/>
              <w:left w:val="nil"/>
              <w:bottom w:val="single" w:color="000000" w:sz="4" w:space="0"/>
              <w:right w:val="nil"/>
            </w:tcBorders>
            <w:noWrap w:val="0"/>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转移支付（项目）名称</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2020年农村街巷硬化奖补资金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中央主管</w:t>
            </w:r>
            <w:r>
              <w:rPr>
                <w:rFonts w:hint="eastAsia" w:ascii="宋体" w:hAnsi="宋体" w:cs="宋体"/>
                <w:i w:val="0"/>
                <w:iCs w:val="0"/>
                <w:color w:val="000000"/>
                <w:kern w:val="0"/>
                <w:sz w:val="20"/>
                <w:szCs w:val="20"/>
                <w:u w:val="none"/>
                <w:lang w:val="en-US" w:eastAsia="zh-CN" w:bidi="ar"/>
              </w:rPr>
              <w:t>单位</w:t>
            </w:r>
          </w:p>
        </w:tc>
        <w:tc>
          <w:tcPr>
            <w:tcW w:w="780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04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地方主管</w:t>
            </w:r>
            <w:r>
              <w:rPr>
                <w:rFonts w:hint="eastAsia" w:ascii="宋体" w:hAnsi="宋体" w:cs="宋体"/>
                <w:i w:val="0"/>
                <w:iCs w:val="0"/>
                <w:color w:val="000000"/>
                <w:kern w:val="0"/>
                <w:sz w:val="20"/>
                <w:szCs w:val="20"/>
                <w:u w:val="none"/>
                <w:lang w:val="en-US" w:eastAsia="zh-CN" w:bidi="ar"/>
              </w:rPr>
              <w:t>单位</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即墨区财政局</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318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即墨区温泉街道财税保障中心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39.882</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39.882</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其中：中央财政资金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地方资金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39.882</w:t>
            </w: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39.882</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0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 xml:space="preserve">  其他资金</w:t>
            </w:r>
          </w:p>
        </w:tc>
        <w:tc>
          <w:tcPr>
            <w:tcW w:w="174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44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50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及时足额发放资金</w:t>
            </w:r>
          </w:p>
        </w:tc>
        <w:tc>
          <w:tcPr>
            <w:tcW w:w="428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已全部发放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50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是否足额发放</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39.882</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39.882</w:t>
            </w: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项目质量合格率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是否及时拨付资金</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改造提升村庄道路</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促进环境改善提升</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进一步改善村庄面貌，提高村民生活环境质量，提升村庄整体形象</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群众满意度</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50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2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18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bl>
    <w:p>
      <w:pPr>
        <w:spacing w:after="305" w:afterLines="50" w:line="360" w:lineRule="exact"/>
        <w:jc w:val="left"/>
        <w:rPr>
          <w:rFonts w:hint="default" w:ascii="仿宋_GB2312" w:hAnsi="宋体" w:eastAsia="仿宋_GB2312"/>
          <w:sz w:val="22"/>
          <w:szCs w:val="22"/>
          <w:lang w:val="en-US" w:eastAsia="zh-CN"/>
        </w:rPr>
      </w:pPr>
      <w:r>
        <w:drawing>
          <wp:inline distT="0" distB="0" distL="114300" distR="114300">
            <wp:extent cx="6027420" cy="5951220"/>
            <wp:effectExtent l="0" t="0" r="7620"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3"/>
                    <a:stretch>
                      <a:fillRect/>
                    </a:stretch>
                  </pic:blipFill>
                  <pic:spPr>
                    <a:xfrm>
                      <a:off x="0" y="0"/>
                      <a:ext cx="6027420" cy="5951220"/>
                    </a:xfrm>
                    <a:prstGeom prst="rect">
                      <a:avLst/>
                    </a:prstGeom>
                    <a:noFill/>
                    <a:ln>
                      <a:noFill/>
                    </a:ln>
                  </pic:spPr>
                </pic:pic>
              </a:graphicData>
            </a:graphic>
          </wp:inline>
        </w:drawing>
      </w:r>
    </w:p>
    <w:p>
      <w:pPr>
        <w:spacing w:after="305" w:afterLines="50" w:line="360" w:lineRule="exact"/>
        <w:jc w:val="left"/>
        <w:rPr>
          <w:rFonts w:hint="default" w:ascii="仿宋_GB2312" w:hAnsi="宋体" w:eastAsia="仿宋_GB2312"/>
          <w:sz w:val="22"/>
          <w:szCs w:val="22"/>
          <w:lang w:val="en-US" w:eastAsia="zh-CN"/>
        </w:rPr>
      </w:pPr>
    </w:p>
    <w:p>
      <w:pPr>
        <w:spacing w:after="305" w:afterLines="50" w:line="360" w:lineRule="exact"/>
        <w:jc w:val="left"/>
        <w:rPr>
          <w:rFonts w:hint="default" w:ascii="仿宋_GB2312" w:hAnsi="宋体" w:eastAsia="仿宋_GB2312"/>
          <w:sz w:val="22"/>
          <w:szCs w:val="22"/>
          <w:lang w:val="en-US" w:eastAsia="zh-CN"/>
        </w:rPr>
      </w:pPr>
    </w:p>
    <w:p>
      <w:pPr>
        <w:spacing w:after="305" w:afterLines="50" w:line="360" w:lineRule="exact"/>
        <w:jc w:val="left"/>
        <w:rPr>
          <w:rFonts w:hint="default" w:ascii="仿宋_GB2312" w:hAnsi="宋体" w:eastAsia="仿宋_GB2312"/>
          <w:sz w:val="22"/>
          <w:szCs w:val="22"/>
          <w:lang w:val="en-US" w:eastAsia="zh-CN"/>
        </w:rPr>
      </w:pPr>
    </w:p>
    <w:p>
      <w:pPr>
        <w:spacing w:after="305" w:afterLines="50" w:line="360" w:lineRule="exact"/>
        <w:jc w:val="left"/>
        <w:rPr>
          <w:rFonts w:hint="default" w:ascii="仿宋_GB2312" w:hAnsi="宋体" w:eastAsia="仿宋_GB2312"/>
          <w:sz w:val="22"/>
          <w:szCs w:val="22"/>
          <w:lang w:val="en-US" w:eastAsia="zh-CN"/>
        </w:rPr>
      </w:pPr>
    </w:p>
    <w:p/>
    <w:sectPr>
      <w:pgSz w:w="11906" w:h="16838"/>
      <w:pgMar w:top="1701" w:right="1077" w:bottom="1701" w:left="1077" w:header="0" w:footer="1418" w:gutter="0"/>
      <w:cols w:space="720" w:num="1"/>
      <w:docGrid w:type="linesAndChars" w:linePitch="610"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xY2Y1OTI1MjgyMGY5ODczNWI3OWJiNzlmNGU2OTkifQ=="/>
  </w:docVars>
  <w:rsids>
    <w:rsidRoot w:val="00000000"/>
    <w:rsid w:val="0A7E49D9"/>
    <w:rsid w:val="1FA26085"/>
    <w:rsid w:val="6E250C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Char"/>
    <w:basedOn w:val="1"/>
    <w:qFormat/>
    <w:uiPriority w:val="0"/>
    <w:pPr>
      <w:widowControl/>
      <w:jc w:val="left"/>
    </w:pPr>
  </w:style>
  <w:style w:type="character" w:customStyle="1" w:styleId="7">
    <w:name w:val="font11"/>
    <w:basedOn w:val="5"/>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1.png"/><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E:\&#20915;&#31639;\2022&#24180;&#20915;&#31639;&#20844;&#24320;\2022&#24180;&#31995;&#32479;&#23548;&#20986;&#34920;\370215-909001+&#38738;&#23707;&#24066;&#21363;&#22696;&#21306;&#28201;&#27849;&#34903;&#36947;&#21150;&#20107;&#22788;.xls"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E:\&#20915;&#31639;\2022&#24180;&#20915;&#31639;&#20844;&#24320;\2022&#24180;&#31995;&#32479;&#23548;&#20986;&#34920;\370215-909001+&#38738;&#23707;&#24066;&#21363;&#22696;&#21306;&#28201;&#27849;&#34903;&#36947;&#21150;&#20107;&#22788;.xls"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E:\&#20915;&#31639;\2022&#24180;&#20915;&#31639;&#20844;&#24320;\2022&#24180;&#31995;&#32479;&#23548;&#20986;&#34920;\370215-909001+&#38738;&#23707;&#24066;&#21363;&#22696;&#21306;&#28201;&#27849;&#34903;&#36947;&#21150;&#20107;&#22788;.xls"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E:\&#20915;&#31639;\2022&#24180;&#20915;&#31639;&#20844;&#24320;\2022&#24180;&#31995;&#32479;&#23548;&#20986;&#34920;\370215-909001+&#38738;&#23707;&#24066;&#21363;&#22696;&#21306;&#28201;&#27849;&#34903;&#36947;&#21150;&#20107;&#22788;.xls"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E:\&#20915;&#31639;\2022&#24180;&#20915;&#31639;&#20844;&#24320;\2022&#24180;&#31995;&#32479;&#23548;&#20986;&#34920;\370215-909001+&#38738;&#23707;&#24066;&#21363;&#22696;&#21306;&#28201;&#27849;&#34903;&#36947;&#21150;&#20107;&#22788;.xls"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E:\&#20915;&#31639;\2022&#24180;&#20915;&#31639;&#20844;&#24320;\2022&#24180;&#31995;&#32479;&#23548;&#20986;&#34920;\370215-909001+&#38738;&#23707;&#24066;&#21363;&#22696;&#21306;&#28201;&#27849;&#34903;&#36947;&#21150;&#20107;&#22788;.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rgbClr val="404040">
                    <a:lumMod val="75000"/>
                    <a:lumOff val="25000"/>
                  </a:srgbClr>
                </a:solidFill>
                <a:latin typeface="+mn-lt"/>
                <a:ea typeface="+mn-ea"/>
                <a:cs typeface="+mn-cs"/>
              </a:defRPr>
            </a:pPr>
            <a:r>
              <a:t>收、支决算总计变动情况图</a:t>
            </a:r>
          </a:p>
        </c:rich>
      </c:tx>
      <c:layout/>
      <c:overlay val="0"/>
      <c:spPr>
        <a:noFill/>
        <a:ln>
          <a:noFill/>
        </a:ln>
        <a:effectLst/>
      </c:spPr>
    </c:title>
    <c:autoTitleDeleted val="0"/>
    <c:plotArea>
      <c:layout/>
      <c:barChart>
        <c:barDir val="col"/>
        <c:grouping val="clustered"/>
        <c:varyColors val="0"/>
        <c:ser>
          <c:idx val="0"/>
          <c:order val="0"/>
          <c:spPr>
            <a:solidFill>
              <a:srgbClr val="4F81B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404040">
                        <a:lumMod val="75000"/>
                        <a:lumOff val="25000"/>
                      </a:srgb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rgbClr val="A6A6A6">
                          <a:lumMod val="35000"/>
                          <a:lumOff val="65000"/>
                        </a:srgbClr>
                      </a:solidFill>
                      <a:round/>
                    </a:ln>
                    <a:effectLst/>
                  </c:spPr>
                </c15:leaderLines>
              </c:ext>
            </c:extLst>
          </c:dLbls>
          <c:cat>
            <c:strRef>
              <c:f>'[370215-909001+青岛市即墨区温泉街道办事处.xls]GK01 收入支出决算总表'!$H$32:$H$35</c:f>
              <c:strCache>
                <c:ptCount val="4"/>
                <c:pt idx="0">
                  <c:v>2021年收入</c:v>
                </c:pt>
                <c:pt idx="1">
                  <c:v>2022年收入</c:v>
                </c:pt>
                <c:pt idx="2">
                  <c:v>2021年支出</c:v>
                </c:pt>
                <c:pt idx="3">
                  <c:v>2022年支出</c:v>
                </c:pt>
              </c:strCache>
            </c:strRef>
          </c:cat>
          <c:val>
            <c:numRef>
              <c:f>'[370215-909001+青岛市即墨区温泉街道办事处.xls]GK01 收入支出决算总表'!$I$32:$I$35</c:f>
              <c:numCache>
                <c:formatCode>General</c:formatCode>
                <c:ptCount val="4"/>
                <c:pt idx="0">
                  <c:v>27971.85</c:v>
                </c:pt>
                <c:pt idx="1">
                  <c:v>112857.58</c:v>
                </c:pt>
                <c:pt idx="2">
                  <c:v>27971.85</c:v>
                </c:pt>
                <c:pt idx="3">
                  <c:v>112857.58</c:v>
                </c:pt>
              </c:numCache>
            </c:numRef>
          </c:val>
        </c:ser>
        <c:dLbls>
          <c:showLegendKey val="0"/>
          <c:showVal val="1"/>
          <c:showCatName val="0"/>
          <c:showSerName val="0"/>
          <c:showPercent val="0"/>
          <c:showBubbleSize val="0"/>
        </c:dLbls>
        <c:gapWidth val="246"/>
        <c:overlap val="-28"/>
        <c:axId val="44396556"/>
        <c:axId val="961798711"/>
      </c:barChart>
      <c:catAx>
        <c:axId val="44396556"/>
        <c:scaling>
          <c:orientation val="minMax"/>
        </c:scaling>
        <c:delete val="0"/>
        <c:axPos val="b"/>
        <c:majorTickMark val="out"/>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961798711"/>
        <c:crosses val="autoZero"/>
        <c:auto val="1"/>
        <c:lblAlgn val="ctr"/>
        <c:lblOffset val="100"/>
        <c:noMultiLvlLbl val="0"/>
      </c:catAx>
      <c:valAx>
        <c:axId val="961798711"/>
        <c:scaling>
          <c:orientation val="minMax"/>
        </c:scaling>
        <c:delete val="0"/>
        <c:axPos val="l"/>
        <c:majorGridlines>
          <c:spPr>
            <a:ln w="9525" cap="flat" cmpd="sng" algn="ctr">
              <a:solidFill>
                <a:srgbClr val="E6E6E6">
                  <a:lumMod val="90200"/>
                </a:srgb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44396556"/>
        <c:crosses val="autoZero"/>
        <c:crossBetween val="between"/>
      </c:valAx>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rgbClr val="404040">
                    <a:lumMod val="75000"/>
                    <a:lumOff val="25000"/>
                  </a:srgbClr>
                </a:solidFill>
                <a:latin typeface="+mn-lt"/>
                <a:ea typeface="+mn-ea"/>
                <a:cs typeface="+mn-cs"/>
              </a:defRPr>
            </a:pPr>
            <a:r>
              <a:t>本年收入决算结构图</a:t>
            </a:r>
          </a:p>
        </c:rich>
      </c:tx>
      <c:layout/>
      <c:overlay val="0"/>
      <c:spPr>
        <a:noFill/>
        <a:ln>
          <a:noFill/>
        </a:ln>
        <a:effectLst/>
      </c:spPr>
    </c:title>
    <c:autoTitleDeleted val="0"/>
    <c:plotArea>
      <c:layout/>
      <c:pieChart>
        <c:varyColors val="1"/>
        <c:ser>
          <c:idx val="0"/>
          <c:order val="0"/>
          <c:spPr/>
          <c:explosion val="0"/>
          <c:dPt>
            <c:idx val="0"/>
            <c:bubble3D val="0"/>
            <c:spPr>
              <a:solidFill>
                <a:srgbClr val="4F81BD"/>
              </a:solidFill>
              <a:ln>
                <a:solidFill>
                  <a:srgbClr val="FFFFFF"/>
                </a:solidFill>
              </a:ln>
              <a:effectLst/>
            </c:spPr>
          </c:dPt>
          <c:dPt>
            <c:idx val="1"/>
            <c:bubble3D val="0"/>
            <c:spPr>
              <a:solidFill>
                <a:srgbClr val="C0504D"/>
              </a:solidFill>
              <a:ln>
                <a:solidFill>
                  <a:srgbClr val="FFFFFF"/>
                </a:solidFill>
              </a:ln>
              <a:effectLst/>
            </c:spPr>
          </c:dPt>
          <c:dPt>
            <c:idx val="2"/>
            <c:bubble3D val="0"/>
            <c:spPr>
              <a:solidFill>
                <a:srgbClr val="9BBB59"/>
              </a:solidFill>
              <a:ln>
                <a:solidFill>
                  <a:srgbClr val="FFFFFF"/>
                </a:solidFill>
              </a:ln>
              <a:effectLst/>
            </c:spPr>
          </c:dPt>
          <c:dPt>
            <c:idx val="3"/>
            <c:bubble3D val="0"/>
            <c:spPr>
              <a:solidFill>
                <a:srgbClr val="8064A2"/>
              </a:solidFill>
              <a:ln>
                <a:solidFill>
                  <a:srgbClr val="FFFFFF"/>
                </a:solidFill>
              </a:ln>
              <a:effectLst/>
            </c:spPr>
          </c:dPt>
          <c:dPt>
            <c:idx val="4"/>
            <c:bubble3D val="0"/>
            <c:spPr>
              <a:solidFill>
                <a:srgbClr val="4BACC6"/>
              </a:solidFill>
              <a:ln>
                <a:solidFill>
                  <a:srgbClr val="FFFFFF"/>
                </a:solidFill>
              </a:ln>
              <a:effectLst/>
            </c:spPr>
          </c:dPt>
          <c:dPt>
            <c:idx val="5"/>
            <c:bubble3D val="0"/>
            <c:spPr>
              <a:solidFill>
                <a:srgbClr val="F79646"/>
              </a:solidFill>
              <a:ln>
                <a:solidFill>
                  <a:srgbClr val="FFFFFF"/>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404040">
                        <a:lumMod val="75000"/>
                        <a:lumOff val="25000"/>
                      </a:srgb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A6A6A6">
                          <a:lumMod val="35000"/>
                          <a:lumOff val="65000"/>
                        </a:srgbClr>
                      </a:solidFill>
                      <a:round/>
                    </a:ln>
                    <a:effectLst/>
                  </c:spPr>
                </c15:leaderLines>
              </c:ext>
            </c:extLst>
          </c:dLbls>
          <c:cat>
            <c:strRef>
              <c:f>'[370215-909001+青岛市即墨区温泉街道办事处.xls]GK02 收入决算表'!$L$11:$Q$11</c:f>
              <c:strCache>
                <c:ptCount val="6"/>
                <c:pt idx="0">
                  <c:v>财政拨款收入</c:v>
                </c:pt>
                <c:pt idx="1">
                  <c:v>上级补助收入</c:v>
                </c:pt>
                <c:pt idx="2">
                  <c:v>事业收入</c:v>
                </c:pt>
                <c:pt idx="3">
                  <c:v>经营收入</c:v>
                </c:pt>
                <c:pt idx="4">
                  <c:v>附属单位上交收入</c:v>
                </c:pt>
                <c:pt idx="5">
                  <c:v>其他收入</c:v>
                </c:pt>
              </c:strCache>
            </c:strRef>
          </c:cat>
          <c:val>
            <c:numRef>
              <c:f>'[370215-909001+青岛市即墨区温泉街道办事处.xls]GK02 收入决算表'!$L$12:$Q$12</c:f>
              <c:numCache>
                <c:formatCode>General</c:formatCode>
                <c:ptCount val="6"/>
                <c:pt idx="0">
                  <c:v>112857.58</c:v>
                </c:pt>
                <c:pt idx="1">
                  <c:v>0</c:v>
                </c:pt>
                <c:pt idx="2">
                  <c:v>0</c:v>
                </c:pt>
                <c:pt idx="3">
                  <c:v>0</c:v>
                </c:pt>
                <c:pt idx="4">
                  <c:v>0</c:v>
                </c:pt>
                <c:pt idx="5">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legend>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rgbClr val="404040">
                    <a:lumMod val="75000"/>
                    <a:lumOff val="25000"/>
                  </a:srgbClr>
                </a:solidFill>
                <a:latin typeface="+mn-lt"/>
                <a:ea typeface="+mn-ea"/>
                <a:cs typeface="+mn-cs"/>
              </a:defRPr>
            </a:pPr>
            <a:r>
              <a:t>本年支出决算结构图</a:t>
            </a:r>
          </a:p>
        </c:rich>
      </c:tx>
      <c:layout/>
      <c:overlay val="0"/>
      <c:spPr>
        <a:noFill/>
        <a:ln>
          <a:noFill/>
        </a:ln>
        <a:effectLst/>
      </c:spPr>
    </c:title>
    <c:autoTitleDeleted val="0"/>
    <c:plotArea>
      <c:layout/>
      <c:pieChart>
        <c:varyColors val="1"/>
        <c:ser>
          <c:idx val="0"/>
          <c:order val="0"/>
          <c:spPr/>
          <c:explosion val="0"/>
          <c:dPt>
            <c:idx val="0"/>
            <c:bubble3D val="0"/>
            <c:spPr>
              <a:solidFill>
                <a:srgbClr val="4F81BD"/>
              </a:solidFill>
              <a:ln>
                <a:solidFill>
                  <a:srgbClr val="FFFFFF"/>
                </a:solidFill>
              </a:ln>
              <a:effectLst/>
            </c:spPr>
          </c:dPt>
          <c:dPt>
            <c:idx val="1"/>
            <c:bubble3D val="0"/>
            <c:spPr>
              <a:solidFill>
                <a:srgbClr val="C0504D"/>
              </a:solidFill>
              <a:ln>
                <a:solidFill>
                  <a:srgbClr val="FFFFFF"/>
                </a:solidFill>
              </a:ln>
              <a:effectLst/>
            </c:spPr>
          </c:dPt>
          <c:dPt>
            <c:idx val="2"/>
            <c:bubble3D val="0"/>
            <c:spPr>
              <a:solidFill>
                <a:srgbClr val="9BBB59"/>
              </a:solidFill>
              <a:ln>
                <a:solidFill>
                  <a:srgbClr val="FFFFFF"/>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404040">
                        <a:lumMod val="75000"/>
                        <a:lumOff val="25000"/>
                      </a:srgb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A6A6A6">
                          <a:lumMod val="35000"/>
                          <a:lumOff val="65000"/>
                        </a:srgbClr>
                      </a:solidFill>
                      <a:round/>
                    </a:ln>
                    <a:effectLst/>
                  </c:spPr>
                </c15:leaderLines>
              </c:ext>
            </c:extLst>
          </c:dLbls>
          <c:cat>
            <c:strRef>
              <c:f>'[370215-909001+青岛市即墨区温泉街道办事处.xls]GK03 支出决算表'!$L$14:$N$14</c:f>
              <c:strCache>
                <c:ptCount val="3"/>
                <c:pt idx="0">
                  <c:v>本年支出合计</c:v>
                </c:pt>
                <c:pt idx="1">
                  <c:v>基本支出</c:v>
                </c:pt>
                <c:pt idx="2">
                  <c:v>项目支出</c:v>
                </c:pt>
              </c:strCache>
            </c:strRef>
          </c:cat>
          <c:val>
            <c:numRef>
              <c:f>'[370215-909001+青岛市即墨区温泉街道办事处.xls]GK03 支出决算表'!$L$15:$N$15</c:f>
              <c:numCache>
                <c:formatCode>General</c:formatCode>
                <c:ptCount val="3"/>
                <c:pt idx="0">
                  <c:v>112857.58</c:v>
                </c:pt>
                <c:pt idx="1">
                  <c:v>4584.4</c:v>
                </c:pt>
                <c:pt idx="2">
                  <c:v>108273.18</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rgbClr val="404040">
                    <a:lumMod val="75000"/>
                    <a:lumOff val="25000"/>
                  </a:srgbClr>
                </a:solidFill>
                <a:latin typeface="+mn-lt"/>
                <a:ea typeface="+mn-ea"/>
                <a:cs typeface="+mn-cs"/>
              </a:defRPr>
            </a:pPr>
            <a:r>
              <a:t>财政拨款收、支决算总计变动情况图</a:t>
            </a:r>
          </a:p>
        </c:rich>
      </c:tx>
      <c:layout/>
      <c:overlay val="0"/>
      <c:spPr>
        <a:noFill/>
        <a:ln>
          <a:noFill/>
        </a:ln>
        <a:effectLst/>
      </c:spPr>
    </c:title>
    <c:autoTitleDeleted val="0"/>
    <c:plotArea>
      <c:layout/>
      <c:barChart>
        <c:barDir val="col"/>
        <c:grouping val="clustered"/>
        <c:varyColors val="0"/>
        <c:ser>
          <c:idx val="0"/>
          <c:order val="0"/>
          <c:spPr>
            <a:solidFill>
              <a:srgbClr val="4F81B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404040">
                        <a:lumMod val="75000"/>
                        <a:lumOff val="25000"/>
                      </a:srgb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rgbClr val="A6A6A6">
                          <a:lumMod val="35000"/>
                          <a:lumOff val="65000"/>
                        </a:srgbClr>
                      </a:solidFill>
                      <a:round/>
                    </a:ln>
                    <a:effectLst/>
                  </c:spPr>
                </c15:leaderLines>
              </c:ext>
            </c:extLst>
          </c:dLbls>
          <c:cat>
            <c:strRef>
              <c:f>'[370215-909001+青岛市即墨区温泉街道办事处.xls]GK04 财政拨款收入支出决算总表'!$K$9:$K$10</c:f>
              <c:strCache>
                <c:ptCount val="2"/>
                <c:pt idx="0">
                  <c:v>2021年</c:v>
                </c:pt>
                <c:pt idx="1">
                  <c:v>2022年</c:v>
                </c:pt>
              </c:strCache>
            </c:strRef>
          </c:cat>
          <c:val>
            <c:numRef>
              <c:f>'[370215-909001+青岛市即墨区温泉街道办事处.xls]GK04 财政拨款收入支出决算总表'!$L$9:$L$10</c:f>
              <c:numCache>
                <c:formatCode>General</c:formatCode>
                <c:ptCount val="2"/>
                <c:pt idx="0">
                  <c:v>27971.85</c:v>
                </c:pt>
                <c:pt idx="1">
                  <c:v>112857.58</c:v>
                </c:pt>
              </c:numCache>
            </c:numRef>
          </c:val>
        </c:ser>
        <c:dLbls>
          <c:showLegendKey val="0"/>
          <c:showVal val="1"/>
          <c:showCatName val="0"/>
          <c:showSerName val="0"/>
          <c:showPercent val="0"/>
          <c:showBubbleSize val="0"/>
        </c:dLbls>
        <c:gapWidth val="246"/>
        <c:overlap val="-28"/>
        <c:axId val="867317420"/>
        <c:axId val="707948591"/>
      </c:barChart>
      <c:catAx>
        <c:axId val="867317420"/>
        <c:scaling>
          <c:orientation val="minMax"/>
        </c:scaling>
        <c:delete val="0"/>
        <c:axPos val="b"/>
        <c:majorTickMark val="out"/>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707948591"/>
        <c:crosses val="autoZero"/>
        <c:auto val="1"/>
        <c:lblAlgn val="ctr"/>
        <c:lblOffset val="100"/>
        <c:noMultiLvlLbl val="0"/>
      </c:catAx>
      <c:valAx>
        <c:axId val="707948591"/>
        <c:scaling>
          <c:orientation val="minMax"/>
        </c:scaling>
        <c:delete val="0"/>
        <c:axPos val="l"/>
        <c:majorGridlines>
          <c:spPr>
            <a:ln w="9525" cap="flat" cmpd="sng" algn="ctr">
              <a:solidFill>
                <a:srgbClr val="E6E6E6">
                  <a:lumMod val="90200"/>
                </a:srgb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867317420"/>
        <c:crosses val="autoZero"/>
        <c:crossBetween val="between"/>
      </c:valAx>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rgbClr val="404040">
                    <a:lumMod val="75000"/>
                    <a:lumOff val="25000"/>
                  </a:srgbClr>
                </a:solidFill>
                <a:latin typeface="+mn-lt"/>
                <a:ea typeface="+mn-ea"/>
                <a:cs typeface="+mn-cs"/>
              </a:defRPr>
            </a:pPr>
            <a:r>
              <a:t>一般公共预算财政拨款支出决算变动情况图</a:t>
            </a:r>
          </a:p>
        </c:rich>
      </c:tx>
      <c:layout/>
      <c:overlay val="0"/>
      <c:spPr>
        <a:noFill/>
        <a:ln>
          <a:noFill/>
        </a:ln>
        <a:effectLst/>
      </c:spPr>
    </c:title>
    <c:autoTitleDeleted val="0"/>
    <c:plotArea>
      <c:layout/>
      <c:barChart>
        <c:barDir val="col"/>
        <c:grouping val="clustered"/>
        <c:varyColors val="0"/>
        <c:ser>
          <c:idx val="0"/>
          <c:order val="0"/>
          <c:spPr>
            <a:solidFill>
              <a:srgbClr val="4F81B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404040">
                        <a:lumMod val="75000"/>
                        <a:lumOff val="25000"/>
                      </a:srgb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rgbClr val="A6A6A6">
                          <a:lumMod val="35000"/>
                          <a:lumOff val="65000"/>
                        </a:srgbClr>
                      </a:solidFill>
                      <a:round/>
                    </a:ln>
                    <a:effectLst/>
                  </c:spPr>
                </c15:leaderLines>
              </c:ext>
            </c:extLst>
          </c:dLbls>
          <c:cat>
            <c:strRef>
              <c:f>'[370215-909001+青岛市即墨区温泉街道办事处.xls]GK05 一般公共预算财政拨款支出决算表'!$J$11:$J$12</c:f>
              <c:strCache>
                <c:ptCount val="2"/>
                <c:pt idx="0">
                  <c:v>2021年</c:v>
                </c:pt>
                <c:pt idx="1">
                  <c:v>2022年</c:v>
                </c:pt>
              </c:strCache>
            </c:strRef>
          </c:cat>
          <c:val>
            <c:numRef>
              <c:f>'[370215-909001+青岛市即墨区温泉街道办事处.xls]GK05 一般公共预算财政拨款支出决算表'!$K$11:$K$12</c:f>
              <c:numCache>
                <c:formatCode>General</c:formatCode>
                <c:ptCount val="2"/>
                <c:pt idx="0">
                  <c:v>20531.89</c:v>
                </c:pt>
                <c:pt idx="1">
                  <c:v>4584.4</c:v>
                </c:pt>
              </c:numCache>
            </c:numRef>
          </c:val>
        </c:ser>
        <c:dLbls>
          <c:showLegendKey val="0"/>
          <c:showVal val="1"/>
          <c:showCatName val="0"/>
          <c:showSerName val="0"/>
          <c:showPercent val="0"/>
          <c:showBubbleSize val="0"/>
        </c:dLbls>
        <c:gapWidth val="246"/>
        <c:overlap val="-28"/>
        <c:axId val="552666175"/>
        <c:axId val="759005386"/>
      </c:barChart>
      <c:catAx>
        <c:axId val="552666175"/>
        <c:scaling>
          <c:orientation val="minMax"/>
        </c:scaling>
        <c:delete val="0"/>
        <c:axPos val="b"/>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759005386"/>
        <c:crosses val="autoZero"/>
        <c:auto val="1"/>
        <c:lblAlgn val="ctr"/>
        <c:lblOffset val="100"/>
        <c:noMultiLvlLbl val="0"/>
      </c:catAx>
      <c:valAx>
        <c:axId val="759005386"/>
        <c:scaling>
          <c:orientation val="minMax"/>
        </c:scaling>
        <c:delete val="0"/>
        <c:axPos val="l"/>
        <c:majorGridlines>
          <c:spPr>
            <a:ln w="9525" cap="flat" cmpd="sng" algn="ctr">
              <a:solidFill>
                <a:srgbClr val="E6E6E6">
                  <a:lumMod val="90200"/>
                </a:srgb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552666175"/>
        <c:crosses val="autoZero"/>
        <c:crossBetween val="between"/>
      </c:valAx>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rgbClr val="404040">
                    <a:lumMod val="75000"/>
                    <a:lumOff val="25000"/>
                  </a:srgbClr>
                </a:solidFill>
                <a:latin typeface="+mn-lt"/>
                <a:ea typeface="+mn-ea"/>
                <a:cs typeface="+mn-cs"/>
              </a:defRPr>
            </a:pPr>
            <a:r>
              <a:t>财政拨款支出决算结构图</a:t>
            </a:r>
          </a:p>
        </c:rich>
      </c:tx>
      <c:layout/>
      <c:overlay val="0"/>
      <c:spPr>
        <a:noFill/>
        <a:ln>
          <a:noFill/>
        </a:ln>
        <a:effectLst/>
      </c:spPr>
    </c:title>
    <c:autoTitleDeleted val="0"/>
    <c:plotArea>
      <c:layout/>
      <c:pieChart>
        <c:varyColors val="1"/>
        <c:ser>
          <c:idx val="0"/>
          <c:order val="0"/>
          <c:spPr/>
          <c:explosion val="0"/>
          <c:dPt>
            <c:idx val="0"/>
            <c:bubble3D val="0"/>
            <c:spPr>
              <a:solidFill>
                <a:srgbClr val="4F81BD"/>
              </a:solidFill>
              <a:ln>
                <a:solidFill>
                  <a:srgbClr val="FFFFFF"/>
                </a:solidFill>
              </a:ln>
              <a:effectLst/>
            </c:spPr>
          </c:dPt>
          <c:dPt>
            <c:idx val="1"/>
            <c:bubble3D val="0"/>
            <c:spPr>
              <a:solidFill>
                <a:srgbClr val="C0504D"/>
              </a:solidFill>
              <a:ln>
                <a:solidFill>
                  <a:srgbClr val="FFFFFF"/>
                </a:solidFill>
              </a:ln>
              <a:effectLst/>
            </c:spPr>
          </c:dPt>
          <c:dPt>
            <c:idx val="2"/>
            <c:bubble3D val="0"/>
            <c:spPr>
              <a:solidFill>
                <a:srgbClr val="9BBB59"/>
              </a:solidFill>
              <a:ln>
                <a:solidFill>
                  <a:srgbClr val="FFFFFF"/>
                </a:solidFill>
              </a:ln>
              <a:effectLst/>
            </c:spPr>
          </c:dPt>
          <c:dPt>
            <c:idx val="3"/>
            <c:bubble3D val="0"/>
            <c:spPr>
              <a:solidFill>
                <a:srgbClr val="8064A2"/>
              </a:solidFill>
              <a:ln>
                <a:solidFill>
                  <a:srgbClr val="FFFFFF"/>
                </a:solidFill>
              </a:ln>
              <a:effectLst/>
            </c:spPr>
          </c:dPt>
          <c:dPt>
            <c:idx val="4"/>
            <c:bubble3D val="0"/>
            <c:spPr>
              <a:solidFill>
                <a:srgbClr val="4BACC6"/>
              </a:solidFill>
              <a:ln>
                <a:solidFill>
                  <a:srgbClr val="FFFFFF"/>
                </a:solidFill>
              </a:ln>
              <a:effectLst/>
            </c:spPr>
          </c:dPt>
          <c:dPt>
            <c:idx val="5"/>
            <c:bubble3D val="0"/>
            <c:spPr>
              <a:solidFill>
                <a:srgbClr val="F79646"/>
              </a:solidFill>
              <a:ln>
                <a:solidFill>
                  <a:srgbClr val="FFFFFF"/>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404040">
                        <a:lumMod val="75000"/>
                        <a:lumOff val="25000"/>
                      </a:srgb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A6A6A6">
                          <a:lumMod val="35000"/>
                          <a:lumOff val="65000"/>
                        </a:srgbClr>
                      </a:solidFill>
                      <a:round/>
                    </a:ln>
                    <a:effectLst/>
                  </c:spPr>
                </c15:leaderLines>
              </c:ext>
            </c:extLst>
          </c:dLbls>
          <c:cat>
            <c:strRef>
              <c:f>'[370215-909001+青岛市即墨区温泉街道办事处.xls]GK05 一般公共预算财政拨款支出决算表'!$A$51:$A$56</c:f>
              <c:strCache>
                <c:ptCount val="6"/>
                <c:pt idx="0">
                  <c:v>一般公共服务支出</c:v>
                </c:pt>
                <c:pt idx="1">
                  <c:v>教育支出</c:v>
                </c:pt>
                <c:pt idx="2">
                  <c:v>社会保障和就业支出</c:v>
                </c:pt>
                <c:pt idx="3">
                  <c:v>农林水支出</c:v>
                </c:pt>
                <c:pt idx="4">
                  <c:v>商业服务业等支出</c:v>
                </c:pt>
                <c:pt idx="5">
                  <c:v>住房保障支出</c:v>
                </c:pt>
              </c:strCache>
            </c:strRef>
          </c:cat>
          <c:val>
            <c:numRef>
              <c:f>'[370215-909001+青岛市即墨区温泉街道办事处.xls]GK05 一般公共预算财政拨款支出决算表'!$B$51:$B$56</c:f>
              <c:numCache>
                <c:formatCode>#,##0.00</c:formatCode>
                <c:ptCount val="6"/>
                <c:pt idx="0">
                  <c:v>2292.99</c:v>
                </c:pt>
                <c:pt idx="1" c:formatCode="General">
                  <c:v>507.05</c:v>
                </c:pt>
                <c:pt idx="2" c:formatCode="General">
                  <c:v>14</c:v>
                </c:pt>
                <c:pt idx="3" c:formatCode="General">
                  <c:v>976.21</c:v>
                </c:pt>
                <c:pt idx="4" c:formatCode="General">
                  <c:v>20.15</c:v>
                </c:pt>
                <c:pt idx="5" c:formatCode="General">
                  <c:v>774</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10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rgbClr val="000000"/>
    </cs:fontRef>
    <cs:spPr>
      <a:ln>
        <a:noFill/>
      </a:ln>
      <a:effectLst/>
    </cs:spPr>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E6E6E6">
            <a:lumMod val="902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404040">
        <a:lumMod val="75000"/>
        <a:lumOff val="25000"/>
      </a:srgbClr>
    </cs:fontRef>
    <cs:defRPr sz="1400" b="1" kern="120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900" kern="1200"/>
  </cs:chartArea>
  <cs:dataLabel>
    <cs:lnRef idx="0"/>
    <cs:fillRef idx="0"/>
    <cs:effectRef idx="0"/>
    <cs:fontRef idx="minor">
      <a:srgbClr val="404040">
        <a:lumMod val="75000"/>
        <a:lumOff val="25000"/>
      </a:srgbClr>
    </cs:fontRef>
    <cs:defRPr sz="10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rgbClr val="000000"/>
    </cs:fontRef>
    <cs:spPr>
      <a:ln>
        <a:solidFill>
          <a:srgbClr val="FFFFFF"/>
        </a:solidFill>
      </a:ln>
      <a:effectLst/>
    </cs:spPr>
  </cs:dataPoint>
  <cs:dataPoint3D>
    <cs:lnRef idx="0"/>
    <cs:fillRef idx="1">
      <cs:styleClr val="auto"/>
    </cs:fillRef>
    <cs:effectRef idx="0"/>
    <cs:fontRef idx="minor">
      <a:srgbClr val="000000"/>
    </cs:fontRef>
    <cs:spPr>
      <a:ln w="25400">
        <a:solidFill>
          <a:srgbClr val="FFFFFF"/>
        </a:solidFill>
      </a:ln>
    </cs:spPr>
  </cs:dataPoint3D>
  <cs:dataPointLine>
    <cs:lnRef idx="0">
      <cs:styleClr val="auto"/>
    </cs:lnRef>
    <cs:fillRef idx="0"/>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E6E6E6">
            <a:lumMod val="902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404040">
        <a:lumMod val="75000"/>
        <a:lumOff val="25000"/>
      </a:srgbClr>
    </cs:fontRef>
    <cs:defRPr sz="1400" b="1" kern="120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900" kern="1200"/>
  </cs:chartArea>
  <cs:dataLabel>
    <cs:lnRef idx="0"/>
    <cs:fillRef idx="0"/>
    <cs:effectRef idx="0"/>
    <cs:fontRef idx="minor">
      <a:srgbClr val="404040">
        <a:lumMod val="75000"/>
        <a:lumOff val="25000"/>
      </a:srgbClr>
    </cs:fontRef>
    <cs:defRPr sz="10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rgbClr val="000000"/>
    </cs:fontRef>
    <cs:spPr>
      <a:ln>
        <a:solidFill>
          <a:srgbClr val="FFFFFF"/>
        </a:solidFill>
      </a:ln>
      <a:effectLst/>
    </cs:spPr>
  </cs:dataPoint>
  <cs:dataPoint3D>
    <cs:lnRef idx="0"/>
    <cs:fillRef idx="1">
      <cs:styleClr val="auto"/>
    </cs:fillRef>
    <cs:effectRef idx="0"/>
    <cs:fontRef idx="minor">
      <a:srgbClr val="000000"/>
    </cs:fontRef>
    <cs:spPr>
      <a:ln w="25400">
        <a:solidFill>
          <a:srgbClr val="FFFFFF"/>
        </a:solidFill>
      </a:ln>
    </cs:spPr>
  </cs:dataPoint3D>
  <cs:dataPointLine>
    <cs:lnRef idx="0">
      <cs:styleClr val="auto"/>
    </cs:lnRef>
    <cs:fillRef idx="0"/>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E6E6E6">
            <a:lumMod val="902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404040">
        <a:lumMod val="75000"/>
        <a:lumOff val="25000"/>
      </a:srgbClr>
    </cs:fontRef>
    <cs:defRPr sz="1400" b="1" kern="120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10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rgbClr val="000000"/>
    </cs:fontRef>
    <cs:spPr>
      <a:ln>
        <a:noFill/>
      </a:ln>
      <a:effectLst/>
    </cs:spPr>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E6E6E6">
            <a:lumMod val="902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404040">
        <a:lumMod val="75000"/>
        <a:lumOff val="25000"/>
      </a:srgbClr>
    </cs:fontRef>
    <cs:defRPr sz="1400" b="1" kern="120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10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rgbClr val="000000"/>
    </cs:fontRef>
    <cs:spPr>
      <a:ln>
        <a:noFill/>
      </a:ln>
      <a:effectLst/>
    </cs:spPr>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E6E6E6">
            <a:lumMod val="902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404040">
        <a:lumMod val="75000"/>
        <a:lumOff val="25000"/>
      </a:srgbClr>
    </cs:fontRef>
    <cs:defRPr sz="1400" b="1" kern="120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6.xml><?xml version="1.0" encoding="utf-8"?>
<cs:chartStyle xmlns:cs="http://schemas.microsoft.com/office/drawing/2012/chartStyle" xmlns:a="http://schemas.openxmlformats.org/drawingml/2006/main" id="10082">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900" kern="1200"/>
  </cs:chartArea>
  <cs:dataLabel>
    <cs:lnRef idx="0"/>
    <cs:fillRef idx="0"/>
    <cs:effectRef idx="0"/>
    <cs:fontRef idx="minor">
      <a:srgbClr val="404040">
        <a:lumMod val="75000"/>
        <a:lumOff val="25000"/>
      </a:srgbClr>
    </cs:fontRef>
    <cs:defRPr sz="10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rgbClr val="000000"/>
    </cs:fontRef>
    <cs:spPr>
      <a:ln>
        <a:solidFill>
          <a:srgbClr val="FFFFFF"/>
        </a:solidFill>
      </a:ln>
      <a:effectLst/>
    </cs:spPr>
  </cs:dataPoint>
  <cs:dataPoint3D>
    <cs:lnRef idx="0"/>
    <cs:fillRef idx="1">
      <cs:styleClr val="auto"/>
    </cs:fillRef>
    <cs:effectRef idx="0"/>
    <cs:fontRef idx="minor">
      <a:srgbClr val="000000"/>
    </cs:fontRef>
    <cs:spPr>
      <a:ln w="25400">
        <a:solidFill>
          <a:srgbClr val="FFFFFF"/>
        </a:solidFill>
      </a:ln>
    </cs:spPr>
  </cs:dataPoint3D>
  <cs:dataPointLine>
    <cs:lnRef idx="0">
      <cs:styleClr val="auto"/>
    </cs:lnRef>
    <cs:fillRef idx="0"/>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E6E6E6">
            <a:lumMod val="902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404040">
        <a:lumMod val="75000"/>
        <a:lumOff val="25000"/>
      </a:srgbClr>
    </cs:fontRef>
    <cs:defRPr sz="1400" b="1" kern="120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2023-09-23T00:13:00Z</dcterms:created>
  <dc:creator>1</dc:creator>
  <cp:lastModifiedBy>L1387277566</cp:lastModifiedBy>
  <dcterms:modified xsi:type="dcterms:W3CDTF">2023-09-23T01:23:47Z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0089AFAF09714BA5AFB3D4E4F61CDB8B_12</vt:lpwstr>
  </property>
</Properties>
</file>