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16504" w:type="dxa"/>
        <w:tblInd w:w="0" w:type="dxa"/>
        <w:tblLayout w:type="fixed"/>
        <w:tblCellMar>
          <w:top w:w="0" w:type="dxa"/>
          <w:left w:w="0" w:type="dxa"/>
          <w:bottom w:w="0" w:type="dxa"/>
          <w:right w:w="0" w:type="dxa"/>
        </w:tblCellMar>
      </w:tblPr>
      <w:tblGrid>
        <w:gridCol w:w="16504"/>
      </w:tblGrid>
      <w:tr>
        <w:tblPrEx>
          <w:tblLayout w:type="fixed"/>
          <w:tblCellMar>
            <w:top w:w="0" w:type="dxa"/>
            <w:left w:w="0" w:type="dxa"/>
            <w:bottom w:w="0" w:type="dxa"/>
            <w:right w:w="0" w:type="dxa"/>
          </w:tblCellMar>
        </w:tblPrEx>
        <w:trPr>
          <w:trHeight w:val="420" w:hRule="atLeast"/>
        </w:trPr>
        <w:tc>
          <w:tcPr>
            <w:tcW w:w="16504" w:type="dxa"/>
            <w:tcBorders>
              <w:top w:val="nil"/>
              <w:left w:val="nil"/>
              <w:bottom w:val="nil"/>
              <w:right w:val="nil"/>
            </w:tcBorders>
            <w:shd w:val="clear" w:color="auto" w:fill="auto"/>
            <w:tcMar>
              <w:top w:w="15" w:type="dxa"/>
              <w:left w:w="15" w:type="dxa"/>
              <w:right w:w="15" w:type="dxa"/>
            </w:tcMar>
            <w:vAlign w:val="center"/>
          </w:tcPr>
          <w:p>
            <w:pPr>
              <w:widowControl/>
              <w:shd w:val="clear"/>
              <w:jc w:val="center"/>
              <w:textAlignment w:val="center"/>
              <w:rPr>
                <w:rFonts w:ascii="黑体" w:hAnsi="宋体" w:eastAsia="黑体" w:cs="黑体"/>
                <w:color w:val="auto"/>
                <w:sz w:val="28"/>
                <w:szCs w:val="28"/>
              </w:rPr>
            </w:pPr>
            <w:bookmarkStart w:id="0" w:name="_GoBack"/>
            <w:r>
              <w:rPr>
                <w:rFonts w:hint="eastAsia" w:ascii="黑体" w:hAnsi="宋体" w:eastAsia="黑体" w:cs="黑体"/>
                <w:color w:val="auto"/>
                <w:kern w:val="0"/>
                <w:sz w:val="28"/>
                <w:szCs w:val="28"/>
              </w:rPr>
              <w:t>城市综合执法领域基层政务公开标准目录（综合执法局、住建局、自然资源局、住宅保障中心、房产服务中心）</w:t>
            </w:r>
          </w:p>
        </w:tc>
      </w:tr>
    </w:tbl>
    <w:p>
      <w:pPr>
        <w:shd w:val="clear"/>
        <w:rPr>
          <w:color w:val="auto"/>
        </w:rPr>
      </w:pPr>
    </w:p>
    <w:tbl>
      <w:tblPr>
        <w:tblStyle w:val="6"/>
        <w:tblW w:w="15420" w:type="dxa"/>
        <w:tblInd w:w="-101" w:type="dxa"/>
        <w:tblLayout w:type="fixed"/>
        <w:tblCellMar>
          <w:top w:w="0" w:type="dxa"/>
          <w:left w:w="0" w:type="dxa"/>
          <w:bottom w:w="0" w:type="dxa"/>
          <w:right w:w="0" w:type="dxa"/>
        </w:tblCellMar>
      </w:tblPr>
      <w:tblGrid>
        <w:gridCol w:w="525"/>
        <w:gridCol w:w="465"/>
        <w:gridCol w:w="1530"/>
        <w:gridCol w:w="3135"/>
        <w:gridCol w:w="1320"/>
        <w:gridCol w:w="1290"/>
        <w:gridCol w:w="640"/>
        <w:gridCol w:w="3590"/>
        <w:gridCol w:w="420"/>
        <w:gridCol w:w="526"/>
        <w:gridCol w:w="269"/>
        <w:gridCol w:w="675"/>
        <w:gridCol w:w="525"/>
        <w:gridCol w:w="510"/>
      </w:tblGrid>
      <w:tr>
        <w:tblPrEx>
          <w:tblLayout w:type="fixed"/>
          <w:tblCellMar>
            <w:top w:w="0" w:type="dxa"/>
            <w:left w:w="0" w:type="dxa"/>
            <w:bottom w:w="0" w:type="dxa"/>
            <w:right w:w="0" w:type="dxa"/>
          </w:tblCellMar>
        </w:tblPrEx>
        <w:trPr>
          <w:trHeight w:val="408" w:hRule="atLeast"/>
          <w:tblHeader/>
        </w:trPr>
        <w:tc>
          <w:tcPr>
            <w:tcW w:w="52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b/>
                <w:color w:val="auto"/>
                <w:sz w:val="18"/>
                <w:szCs w:val="18"/>
                <w:highlight w:val="none"/>
              </w:rPr>
            </w:pPr>
            <w:r>
              <w:rPr>
                <w:rFonts w:hint="eastAsia" w:ascii="宋体" w:hAnsi="宋体" w:eastAsia="宋体" w:cs="宋体"/>
                <w:b/>
                <w:color w:val="auto"/>
                <w:kern w:val="0"/>
                <w:sz w:val="18"/>
                <w:szCs w:val="18"/>
                <w:highlight w:val="none"/>
              </w:rPr>
              <w:t>序号</w:t>
            </w:r>
          </w:p>
        </w:tc>
        <w:tc>
          <w:tcPr>
            <w:tcW w:w="199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b/>
                <w:color w:val="auto"/>
                <w:sz w:val="18"/>
                <w:szCs w:val="18"/>
                <w:highlight w:val="none"/>
              </w:rPr>
            </w:pPr>
            <w:r>
              <w:rPr>
                <w:rFonts w:hint="eastAsia" w:ascii="宋体" w:hAnsi="宋体" w:eastAsia="宋体" w:cs="宋体"/>
                <w:b/>
                <w:color w:val="auto"/>
                <w:kern w:val="0"/>
                <w:sz w:val="18"/>
                <w:szCs w:val="18"/>
                <w:highlight w:val="none"/>
              </w:rPr>
              <w:t>公开事项</w:t>
            </w:r>
          </w:p>
        </w:tc>
        <w:tc>
          <w:tcPr>
            <w:tcW w:w="313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b/>
                <w:color w:val="auto"/>
                <w:sz w:val="18"/>
                <w:szCs w:val="18"/>
                <w:highlight w:val="none"/>
              </w:rPr>
            </w:pPr>
            <w:r>
              <w:rPr>
                <w:rFonts w:hint="eastAsia" w:ascii="宋体" w:hAnsi="宋体" w:eastAsia="宋体" w:cs="宋体"/>
                <w:b/>
                <w:color w:val="auto"/>
                <w:kern w:val="0"/>
                <w:sz w:val="18"/>
                <w:szCs w:val="18"/>
                <w:highlight w:val="none"/>
              </w:rPr>
              <w:t>公开内容</w:t>
            </w:r>
          </w:p>
        </w:tc>
        <w:tc>
          <w:tcPr>
            <w:tcW w:w="132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b/>
                <w:color w:val="auto"/>
                <w:sz w:val="18"/>
                <w:szCs w:val="18"/>
                <w:highlight w:val="none"/>
              </w:rPr>
            </w:pPr>
            <w:r>
              <w:rPr>
                <w:rFonts w:hint="eastAsia" w:ascii="宋体" w:hAnsi="宋体" w:eastAsia="宋体" w:cs="宋体"/>
                <w:b/>
                <w:color w:val="auto"/>
                <w:kern w:val="0"/>
                <w:sz w:val="18"/>
                <w:szCs w:val="18"/>
                <w:highlight w:val="none"/>
              </w:rPr>
              <w:t>公开依据</w:t>
            </w:r>
          </w:p>
        </w:tc>
        <w:tc>
          <w:tcPr>
            <w:tcW w:w="129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b/>
                <w:color w:val="auto"/>
                <w:sz w:val="18"/>
                <w:szCs w:val="18"/>
                <w:highlight w:val="none"/>
              </w:rPr>
            </w:pPr>
            <w:r>
              <w:rPr>
                <w:rFonts w:hint="eastAsia" w:ascii="宋体" w:hAnsi="宋体" w:eastAsia="宋体" w:cs="宋体"/>
                <w:b/>
                <w:color w:val="auto"/>
                <w:kern w:val="0"/>
                <w:sz w:val="18"/>
                <w:szCs w:val="18"/>
                <w:highlight w:val="none"/>
              </w:rPr>
              <w:t>公开</w:t>
            </w:r>
            <w:r>
              <w:rPr>
                <w:rFonts w:hint="eastAsia" w:ascii="宋体" w:hAnsi="宋体" w:eastAsia="宋体" w:cs="宋体"/>
                <w:b/>
                <w:color w:val="auto"/>
                <w:kern w:val="0"/>
                <w:sz w:val="18"/>
                <w:szCs w:val="18"/>
                <w:highlight w:val="none"/>
              </w:rPr>
              <w:br w:type="textWrapping"/>
            </w:r>
            <w:r>
              <w:rPr>
                <w:rFonts w:hint="eastAsia" w:ascii="宋体" w:hAnsi="宋体" w:eastAsia="宋体" w:cs="宋体"/>
                <w:b/>
                <w:color w:val="auto"/>
                <w:kern w:val="0"/>
                <w:sz w:val="18"/>
                <w:szCs w:val="18"/>
                <w:highlight w:val="none"/>
              </w:rPr>
              <w:t>时限</w:t>
            </w:r>
          </w:p>
        </w:tc>
        <w:tc>
          <w:tcPr>
            <w:tcW w:w="6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b/>
                <w:color w:val="auto"/>
                <w:sz w:val="18"/>
                <w:szCs w:val="18"/>
                <w:highlight w:val="none"/>
              </w:rPr>
            </w:pPr>
            <w:r>
              <w:rPr>
                <w:rFonts w:hint="eastAsia" w:ascii="宋体" w:hAnsi="宋体" w:eastAsia="宋体" w:cs="宋体"/>
                <w:b/>
                <w:color w:val="auto"/>
                <w:kern w:val="0"/>
                <w:sz w:val="18"/>
                <w:szCs w:val="18"/>
                <w:highlight w:val="none"/>
              </w:rPr>
              <w:t>公开</w:t>
            </w:r>
            <w:r>
              <w:rPr>
                <w:rFonts w:hint="eastAsia" w:ascii="宋体" w:hAnsi="宋体" w:eastAsia="宋体" w:cs="宋体"/>
                <w:b/>
                <w:color w:val="auto"/>
                <w:kern w:val="0"/>
                <w:sz w:val="18"/>
                <w:szCs w:val="18"/>
                <w:highlight w:val="none"/>
              </w:rPr>
              <w:br w:type="textWrapping"/>
            </w:r>
            <w:r>
              <w:rPr>
                <w:rFonts w:hint="eastAsia" w:ascii="宋体" w:hAnsi="宋体" w:eastAsia="宋体" w:cs="宋体"/>
                <w:b/>
                <w:color w:val="auto"/>
                <w:kern w:val="0"/>
                <w:sz w:val="18"/>
                <w:szCs w:val="18"/>
                <w:highlight w:val="none"/>
              </w:rPr>
              <w:t>主体</w:t>
            </w:r>
          </w:p>
        </w:tc>
        <w:tc>
          <w:tcPr>
            <w:tcW w:w="359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b/>
                <w:color w:val="auto"/>
                <w:sz w:val="18"/>
                <w:szCs w:val="18"/>
                <w:highlight w:val="none"/>
              </w:rPr>
            </w:pPr>
            <w:r>
              <w:rPr>
                <w:rFonts w:hint="eastAsia" w:ascii="宋体" w:hAnsi="宋体" w:eastAsia="宋体" w:cs="宋体"/>
                <w:b/>
                <w:color w:val="auto"/>
                <w:kern w:val="0"/>
                <w:sz w:val="18"/>
                <w:szCs w:val="18"/>
                <w:highlight w:val="none"/>
              </w:rPr>
              <w:t xml:space="preserve">        公开渠道和载体                      （“■”表示必选项，“□”表示可选项）</w:t>
            </w:r>
          </w:p>
        </w:tc>
        <w:tc>
          <w:tcPr>
            <w:tcW w:w="9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b/>
                <w:color w:val="auto"/>
                <w:sz w:val="18"/>
                <w:szCs w:val="18"/>
                <w:highlight w:val="none"/>
              </w:rPr>
            </w:pPr>
            <w:r>
              <w:rPr>
                <w:rFonts w:hint="eastAsia" w:ascii="宋体" w:hAnsi="宋体" w:eastAsia="宋体" w:cs="宋体"/>
                <w:b/>
                <w:color w:val="auto"/>
                <w:kern w:val="0"/>
                <w:sz w:val="18"/>
                <w:szCs w:val="18"/>
                <w:highlight w:val="none"/>
              </w:rPr>
              <w:t>公开对象</w:t>
            </w:r>
          </w:p>
        </w:tc>
        <w:tc>
          <w:tcPr>
            <w:tcW w:w="9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b/>
                <w:color w:val="auto"/>
                <w:sz w:val="18"/>
                <w:szCs w:val="18"/>
                <w:highlight w:val="none"/>
              </w:rPr>
            </w:pPr>
            <w:r>
              <w:rPr>
                <w:rFonts w:hint="eastAsia" w:ascii="宋体" w:hAnsi="宋体" w:eastAsia="宋体" w:cs="宋体"/>
                <w:b/>
                <w:color w:val="auto"/>
                <w:kern w:val="0"/>
                <w:sz w:val="18"/>
                <w:szCs w:val="18"/>
                <w:highlight w:val="none"/>
              </w:rPr>
              <w:t>公开方式</w:t>
            </w:r>
          </w:p>
        </w:tc>
        <w:tc>
          <w:tcPr>
            <w:tcW w:w="103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b/>
                <w:color w:val="auto"/>
                <w:sz w:val="18"/>
                <w:szCs w:val="18"/>
                <w:highlight w:val="none"/>
              </w:rPr>
            </w:pPr>
            <w:r>
              <w:rPr>
                <w:rFonts w:hint="eastAsia" w:ascii="宋体" w:hAnsi="宋体" w:eastAsia="宋体" w:cs="宋体"/>
                <w:b/>
                <w:color w:val="auto"/>
                <w:kern w:val="0"/>
                <w:sz w:val="18"/>
                <w:szCs w:val="18"/>
                <w:highlight w:val="none"/>
              </w:rPr>
              <w:t>公开层级</w:t>
            </w:r>
          </w:p>
        </w:tc>
      </w:tr>
      <w:tr>
        <w:tblPrEx>
          <w:tblLayout w:type="fixed"/>
          <w:tblCellMar>
            <w:top w:w="0" w:type="dxa"/>
            <w:left w:w="0" w:type="dxa"/>
            <w:bottom w:w="0" w:type="dxa"/>
            <w:right w:w="0" w:type="dxa"/>
          </w:tblCellMar>
        </w:tblPrEx>
        <w:trPr>
          <w:trHeight w:val="470" w:hRule="atLeast"/>
          <w:tblHeader/>
        </w:trPr>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b/>
                <w:color w:val="auto"/>
                <w:sz w:val="18"/>
                <w:szCs w:val="18"/>
                <w:highlight w:val="none"/>
              </w:rPr>
            </w:pP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spacing w:line="240" w:lineRule="exact"/>
              <w:jc w:val="center"/>
              <w:textAlignment w:val="center"/>
              <w:rPr>
                <w:rFonts w:ascii="宋体" w:hAnsi="宋体" w:eastAsia="宋体" w:cs="宋体"/>
                <w:b/>
                <w:color w:val="auto"/>
                <w:sz w:val="18"/>
                <w:szCs w:val="18"/>
                <w:highlight w:val="none"/>
              </w:rPr>
            </w:pPr>
            <w:r>
              <w:rPr>
                <w:rFonts w:hint="eastAsia" w:ascii="宋体" w:hAnsi="宋体" w:eastAsia="宋体" w:cs="宋体"/>
                <w:b/>
                <w:color w:val="auto"/>
                <w:kern w:val="0"/>
                <w:sz w:val="18"/>
                <w:szCs w:val="18"/>
                <w:highlight w:val="none"/>
              </w:rPr>
              <w:t>一级事项</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b/>
                <w:color w:val="auto"/>
                <w:sz w:val="18"/>
                <w:szCs w:val="18"/>
                <w:highlight w:val="none"/>
              </w:rPr>
            </w:pPr>
            <w:r>
              <w:rPr>
                <w:rFonts w:hint="eastAsia" w:ascii="宋体" w:hAnsi="宋体" w:eastAsia="宋体" w:cs="宋体"/>
                <w:b/>
                <w:color w:val="auto"/>
                <w:kern w:val="0"/>
                <w:sz w:val="18"/>
                <w:szCs w:val="18"/>
                <w:highlight w:val="none"/>
              </w:rPr>
              <w:t>二级事项</w:t>
            </w:r>
          </w:p>
        </w:tc>
        <w:tc>
          <w:tcPr>
            <w:tcW w:w="31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b/>
                <w:color w:val="auto"/>
                <w:sz w:val="18"/>
                <w:szCs w:val="18"/>
                <w:highlight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b/>
                <w:color w:val="auto"/>
                <w:sz w:val="18"/>
                <w:szCs w:val="18"/>
                <w:highlight w:val="none"/>
              </w:rPr>
            </w:pPr>
          </w:p>
        </w:tc>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b/>
                <w:color w:val="auto"/>
                <w:sz w:val="18"/>
                <w:szCs w:val="18"/>
                <w:highlight w:val="none"/>
              </w:rPr>
            </w:pPr>
          </w:p>
        </w:tc>
        <w:tc>
          <w:tcPr>
            <w:tcW w:w="6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b/>
                <w:color w:val="auto"/>
                <w:sz w:val="18"/>
                <w:szCs w:val="18"/>
                <w:highlight w:val="none"/>
              </w:rPr>
            </w:pPr>
          </w:p>
        </w:tc>
        <w:tc>
          <w:tcPr>
            <w:tcW w:w="3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left"/>
              <w:rPr>
                <w:rFonts w:ascii="宋体" w:hAnsi="宋体" w:eastAsia="宋体" w:cs="宋体"/>
                <w:b/>
                <w:color w:val="auto"/>
                <w:sz w:val="18"/>
                <w:szCs w:val="18"/>
                <w:highlight w:val="none"/>
              </w:rPr>
            </w:pP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spacing w:line="240" w:lineRule="exact"/>
              <w:jc w:val="center"/>
              <w:textAlignment w:val="center"/>
              <w:rPr>
                <w:rFonts w:ascii="宋体" w:hAnsi="宋体" w:eastAsia="宋体" w:cs="宋体"/>
                <w:b/>
                <w:color w:val="auto"/>
                <w:sz w:val="18"/>
                <w:szCs w:val="18"/>
                <w:highlight w:val="none"/>
              </w:rPr>
            </w:pPr>
            <w:r>
              <w:rPr>
                <w:rFonts w:hint="eastAsia" w:ascii="宋体" w:hAnsi="宋体" w:eastAsia="宋体" w:cs="宋体"/>
                <w:b/>
                <w:color w:val="auto"/>
                <w:kern w:val="0"/>
                <w:sz w:val="18"/>
                <w:szCs w:val="18"/>
                <w:highlight w:val="none"/>
              </w:rPr>
              <w:t>全社会</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spacing w:line="240" w:lineRule="exact"/>
              <w:jc w:val="center"/>
              <w:textAlignment w:val="center"/>
              <w:rPr>
                <w:rFonts w:ascii="宋体" w:hAnsi="宋体" w:eastAsia="宋体" w:cs="宋体"/>
                <w:b/>
                <w:color w:val="auto"/>
                <w:sz w:val="18"/>
                <w:szCs w:val="18"/>
                <w:highlight w:val="none"/>
              </w:rPr>
            </w:pPr>
            <w:r>
              <w:rPr>
                <w:rFonts w:hint="eastAsia" w:ascii="宋体" w:hAnsi="宋体" w:eastAsia="宋体" w:cs="宋体"/>
                <w:b/>
                <w:color w:val="auto"/>
                <w:kern w:val="0"/>
                <w:sz w:val="18"/>
                <w:szCs w:val="18"/>
                <w:highlight w:val="none"/>
              </w:rPr>
              <w:t>特定群体</w:t>
            </w: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b/>
                <w:color w:val="auto"/>
                <w:sz w:val="18"/>
                <w:szCs w:val="18"/>
                <w:highlight w:val="none"/>
              </w:rPr>
            </w:pPr>
            <w:r>
              <w:rPr>
                <w:rFonts w:hint="eastAsia" w:ascii="宋体" w:hAnsi="宋体" w:eastAsia="宋体" w:cs="宋体"/>
                <w:b/>
                <w:color w:val="auto"/>
                <w:kern w:val="0"/>
                <w:sz w:val="18"/>
                <w:szCs w:val="18"/>
                <w:highlight w:val="none"/>
              </w:rPr>
              <w:t>主动</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b/>
                <w:color w:val="auto"/>
                <w:sz w:val="18"/>
                <w:szCs w:val="18"/>
                <w:highlight w:val="none"/>
              </w:rPr>
            </w:pPr>
            <w:r>
              <w:rPr>
                <w:rFonts w:hint="eastAsia" w:ascii="宋体" w:hAnsi="宋体" w:eastAsia="宋体" w:cs="宋体"/>
                <w:b/>
                <w:color w:val="auto"/>
                <w:kern w:val="0"/>
                <w:sz w:val="18"/>
                <w:szCs w:val="18"/>
                <w:highlight w:val="none"/>
              </w:rPr>
              <w:t>依申请</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b/>
                <w:color w:val="auto"/>
                <w:sz w:val="18"/>
                <w:szCs w:val="18"/>
                <w:highlight w:val="none"/>
              </w:rPr>
            </w:pPr>
            <w:r>
              <w:rPr>
                <w:rFonts w:hint="eastAsia" w:ascii="宋体" w:hAnsi="宋体" w:eastAsia="宋体" w:cs="宋体"/>
                <w:b/>
                <w:color w:val="auto"/>
                <w:kern w:val="0"/>
                <w:sz w:val="18"/>
                <w:szCs w:val="18"/>
                <w:highlight w:val="none"/>
              </w:rPr>
              <w:t>市级</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b/>
                <w:color w:val="auto"/>
                <w:sz w:val="18"/>
                <w:szCs w:val="18"/>
                <w:highlight w:val="none"/>
              </w:rPr>
            </w:pPr>
            <w:r>
              <w:rPr>
                <w:rFonts w:hint="eastAsia" w:ascii="宋体" w:hAnsi="宋体" w:eastAsia="宋体" w:cs="宋体"/>
                <w:b/>
                <w:color w:val="auto"/>
                <w:kern w:val="0"/>
                <w:sz w:val="18"/>
                <w:szCs w:val="18"/>
                <w:highlight w:val="none"/>
              </w:rPr>
              <w:t>县级</w:t>
            </w:r>
          </w:p>
        </w:tc>
      </w:tr>
      <w:tr>
        <w:tblPrEx>
          <w:tblLayout w:type="fixed"/>
          <w:tblCellMar>
            <w:top w:w="0" w:type="dxa"/>
            <w:left w:w="0" w:type="dxa"/>
            <w:bottom w:w="0" w:type="dxa"/>
            <w:right w:w="0" w:type="dxa"/>
          </w:tblCellMar>
        </w:tblPrEx>
        <w:trPr>
          <w:trHeight w:val="25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 xml:space="preserve"> 不符合预售条件预售商品房</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《城市房地产管理法》</w:t>
            </w:r>
            <w:r>
              <w:rPr>
                <w:rFonts w:hint="eastAsia" w:ascii="宋体" w:hAnsi="宋体" w:eastAsia="宋体" w:cs="宋体"/>
                <w:color w:val="auto"/>
                <w:kern w:val="0"/>
                <w:sz w:val="18"/>
                <w:szCs w:val="18"/>
                <w:highlight w:val="none"/>
              </w:rPr>
              <w:br w:type="textWrapping"/>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5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未取得资质等级证书或者超越资质等级从事房地产开发经营</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《城市房地产开发经营管理条例》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住宅保障中心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5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擅自预售商品房</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《城市房地产开发经营管理条例》                                                                                                                                      《商品房销售管理办法》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房产测绘单位在房产面积测算中不执行国家标准、规范和规定</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《房产测绘管理办法》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房产测绘单位在房产面积测算中弄虚作假、欺骗房屋权利人</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《房产测绘管理办法》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房产测绘单位房产面积测算失误，造成重大损失</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《房产测绘管理办法》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房地产经纪人员以个人名义承接房地产经纪业务和收取费用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《房地产经纪管理办法》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房地产经纪机构提供代办贷款、代办房地产登记等其他服务，未向委托人说明服务内容、收费标准等情况，并未经委托人同意</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《房地产经纪管理办法》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房地产经纪服务合同未由从事该业务的一名房地产经纪人或者两名房地产经纪人协理签名</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《房地产经纪管理办法》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房地产经纪机构签订房地产经纪服务合同前，不向交易当事人说明和书面告知规定事项</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《房地产经纪管理办法》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房地产经纪机构未按照规定如实记录业务情况或者保存房地产经纪服务合同</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《房地产经纪管理办法》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房地产经纪机构擅自对外发布房源信息</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《房地产经纪管理办法》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房地产经纪机构擅自划转客户交易结算资金</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《房地产经纪管理办法》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房地产经纪机构和房地产经纪人员以隐瞒、欺诈、胁迫、贿赂等不正当手段招揽业务，诱骗消费者交易或者强制交易</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《房地产经纪管理办法》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房地产经纪机构和房地产经纪人员泄露或者不当使用委托人的个人信息或者商业秘密，谋取不正当利益</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《房地产经纪管理办法》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为交易当事人规避房屋交易税费等非法目的，房地产经纪机构和房地产经纪人员就同一房屋签订不同交易价款的合同提供便利</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《房地产经纪管理办法》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房地产经纪机构和房地产经纪人员改变房屋内部结构分割出租</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《房地产经纪管理办法》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房地产经纪机构和房地产经纪人员侵占、挪用房地产交易资金</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《房地产经纪管理办法》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房地产经纪机构和房地产经纪人员承购、承租自己提供经纪服务的房屋</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《房地产经纪管理办法》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房地产经纪机构和房地产经纪人员为不符合交易条件的保障性住房和禁止交易的房屋提供经纪服务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《房地产经纪管理办法》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房地产经纪机构和房地产经纪人员做出法律、法规禁止的其他行为</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《房地产经纪管理办法》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申请人隐瞒有关情况或者提供虚假材料申请房地产估价机构资质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《房地产估价机构管理办</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以欺骗、贿赂等不正当手段取得房地产估价机构资质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《房地产估价机构管理办</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 xml:space="preserve">未取得房地产估价机构资质从事房地产估价活动或者超越资质等级承揽估价业务    </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《房地产估价机构管理办法》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房地产估价机构不及时办理资质证书变更手续</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《房地产估价机构管理办法》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一级资质房地产估价机构不按规定设立分支机构，或二、三级资质房地产估价机构设立分支机构</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《房地产估价机构管理办法》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房地产估价机构不按照规定条件设立分支机构</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《房地产估价机构管理办法》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房地产估计机构新设立的分支机构不备案</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《房地产估价机构管理办法》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房地产估价机构不按规定承揽业务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《房地产估价机构管理办法》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房地产估价机构不按规定出具估价报告</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《房地产估价机构管理办法》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房地产估价机构及其估价人员应当回避未回避</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《房地产估价机构管理办法》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房地产估价机构涂改、倒卖、出租、出借或者以其他形式非法转让资质证书</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《房地产估价机构管理办法》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房地产估价机构超越资质等级业务范围承接房地产估价业务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《房地产估价机构管理办法》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房地产估价机构以迎合高估或者低估要求、给予回扣、恶意压低收费等方式进行不正当竞争</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《房地产估价机构管理办法》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房地产估价机构违反房地产估价规范和标准</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《房地产估价机构管理办法》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房地产估价机构出具有虚假记载、误导性陈述或者重大遗漏的估价报告</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《房地产估价机构管理办法》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房地产估价机构擅自设立分支机构</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《房地产估价机构管理办法》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房地产估价机构未经委托人书面同意，擅自转让受托的估价业务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《房地产估价机构管理办法》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房地产估价机构有法律、法规禁止的其他行为</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《房地产估价机构管理办法》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房地产经纪机构及其经纪人员提供公共租赁住房出租、转租、出售等经纪业务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《公共租赁住房管理办法》                                  《房地产经纪管理办法》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出租属于违法建筑的房屋</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《商品房屋租赁管理办法》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rFonts w:hint="default" w:ascii="宋体" w:hAnsi="宋体" w:eastAsia="宋体" w:cs="宋体"/>
                <w:color w:val="auto"/>
                <w:sz w:val="18"/>
                <w:szCs w:val="18"/>
                <w:highlight w:val="none"/>
                <w:lang w:val="en-US" w:eastAsia="zh-CN"/>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出租不符合安全、防灾等工程建设强制性标准的房屋</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《商品房屋租赁管理办法》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rFonts w:hint="default" w:ascii="宋体" w:hAnsi="宋体" w:eastAsia="宋体" w:cs="宋体"/>
                <w:color w:val="auto"/>
                <w:sz w:val="18"/>
                <w:szCs w:val="18"/>
                <w:highlight w:val="none"/>
                <w:lang w:val="en-US" w:eastAsia="zh-CN"/>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出租违反规定改变房屋使用性质的房屋</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《商品房屋租赁管理办法》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rFonts w:hint="default" w:ascii="宋体" w:hAnsi="宋体" w:eastAsia="宋体" w:cs="宋体"/>
                <w:color w:val="auto"/>
                <w:sz w:val="18"/>
                <w:szCs w:val="18"/>
                <w:highlight w:val="none"/>
                <w:lang w:val="en-US" w:eastAsia="zh-CN"/>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出租法律、法规规定禁止出租的房屋</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《商品房屋租赁管理办法》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rFonts w:hint="default" w:ascii="宋体" w:hAnsi="宋体" w:eastAsia="宋体" w:cs="宋体"/>
                <w:color w:val="auto"/>
                <w:sz w:val="18"/>
                <w:szCs w:val="18"/>
                <w:highlight w:val="none"/>
                <w:lang w:val="en-US" w:eastAsia="zh-CN"/>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未以原设计的房间为最小出租单位，或人均租住建筑面积低于当地人民政府规定的最低标准</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《商品房屋租赁管理办法》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rFonts w:hint="default" w:ascii="宋体" w:hAnsi="宋体" w:eastAsia="宋体" w:cs="宋体"/>
                <w:color w:val="auto"/>
                <w:sz w:val="18"/>
                <w:szCs w:val="18"/>
                <w:highlight w:val="none"/>
                <w:lang w:val="en-US" w:eastAsia="zh-CN"/>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出租厨房、卫生间、阳台和地下储藏室供人员居住</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《商品房屋租赁管理办法》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rFonts w:hint="default" w:ascii="宋体" w:hAnsi="宋体" w:eastAsia="宋体" w:cs="宋体"/>
                <w:color w:val="auto"/>
                <w:sz w:val="18"/>
                <w:szCs w:val="18"/>
                <w:highlight w:val="none"/>
                <w:lang w:val="en-US" w:eastAsia="zh-CN"/>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房屋租赁合同订立后三十日内，房屋租赁当事人未按规定办理房屋租赁登记备案</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《商品房屋租赁管理办法》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rFonts w:hint="default" w:ascii="宋体" w:hAnsi="宋体" w:eastAsia="宋体" w:cs="宋体"/>
                <w:color w:val="auto"/>
                <w:sz w:val="18"/>
                <w:szCs w:val="18"/>
                <w:highlight w:val="none"/>
                <w:lang w:val="en-US" w:eastAsia="zh-CN"/>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房屋租赁登记备案内容发生变化、续租或者租赁终止后三十日内，当事人未按规定办理房屋租赁登记备案的变更、延续或者注销手续</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《商品房屋租赁管理办法》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rFonts w:hint="default" w:ascii="宋体" w:hAnsi="宋体" w:eastAsia="宋体" w:cs="宋体"/>
                <w:color w:val="auto"/>
                <w:sz w:val="18"/>
                <w:szCs w:val="18"/>
                <w:highlight w:val="none"/>
                <w:lang w:val="en-US" w:eastAsia="zh-CN"/>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公有住房售房单位未按规定交存首期住宅专项维修资金</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《住宅专项维修资金管理办法》</w:t>
            </w:r>
          </w:p>
          <w:p>
            <w:pPr>
              <w:widowControl/>
              <w:shd w:val="clear"/>
              <w:jc w:val="left"/>
              <w:textAlignment w:val="center"/>
              <w:rPr>
                <w:rFonts w:ascii="宋体" w:hAnsi="宋体" w:eastAsia="宋体" w:cs="宋体"/>
                <w:color w:val="auto"/>
                <w:sz w:val="18"/>
                <w:szCs w:val="18"/>
                <w:highlight w:val="none"/>
              </w:rPr>
            </w:pPr>
            <w:r>
              <w:rPr>
                <w:rFonts w:hint="eastAsia" w:ascii="宋体" w:cs="Times New Roman"/>
                <w:color w:val="auto"/>
                <w:sz w:val="18"/>
                <w:szCs w:val="18"/>
                <w:highlight w:val="none"/>
              </w:rPr>
              <w:t>《青岛市房屋专项维修资金管理办法（试行）》</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ascii="宋体" w:hAnsi="宋体" w:cs="宋体"/>
                <w:color w:val="auto"/>
                <w:kern w:val="0"/>
                <w:sz w:val="18"/>
                <w:szCs w:val="18"/>
                <w:highlight w:val="none"/>
              </w:rPr>
              <w:t>1.</w:t>
            </w:r>
            <w:r>
              <w:rPr>
                <w:rFonts w:hint="eastAsia" w:ascii="宋体" w:hAnsi="宋体" w:cs="宋体"/>
                <w:color w:val="auto"/>
                <w:kern w:val="0"/>
                <w:sz w:val="18"/>
                <w:szCs w:val="18"/>
                <w:highlight w:val="none"/>
              </w:rPr>
              <w:t>除处罚决定外其他内容：长期公开（动态调整）；</w:t>
            </w:r>
            <w:r>
              <w:rPr>
                <w:rFonts w:ascii="宋体" w:cs="Times New Roman"/>
                <w:color w:val="auto"/>
                <w:kern w:val="0"/>
                <w:sz w:val="18"/>
                <w:szCs w:val="18"/>
                <w:highlight w:val="none"/>
              </w:rPr>
              <w:br w:type="textWrapping"/>
            </w:r>
            <w:r>
              <w:rPr>
                <w:rFonts w:ascii="宋体" w:hAnsi="宋体" w:cs="宋体"/>
                <w:color w:val="auto"/>
                <w:kern w:val="0"/>
                <w:sz w:val="18"/>
                <w:szCs w:val="18"/>
                <w:highlight w:val="none"/>
              </w:rPr>
              <w:t>2.</w:t>
            </w:r>
            <w:r>
              <w:rPr>
                <w:rFonts w:hint="eastAsia" w:ascii="宋体" w:hAnsi="宋体" w:cs="宋体"/>
                <w:color w:val="auto"/>
                <w:kern w:val="0"/>
                <w:sz w:val="18"/>
                <w:szCs w:val="18"/>
                <w:highlight w:val="none"/>
              </w:rPr>
              <w:t>处罚决定：</w:t>
            </w:r>
            <w:r>
              <w:rPr>
                <w:rFonts w:ascii="宋体" w:hAnsi="宋体" w:cs="宋体"/>
                <w:color w:val="auto"/>
                <w:kern w:val="0"/>
                <w:sz w:val="18"/>
                <w:szCs w:val="18"/>
                <w:highlight w:val="none"/>
              </w:rPr>
              <w:t>20</w:t>
            </w:r>
            <w:r>
              <w:rPr>
                <w:rFonts w:hint="eastAsia" w:ascii="宋体" w:hAnsi="宋体" w:cs="宋体"/>
                <w:color w:val="auto"/>
                <w:kern w:val="0"/>
                <w:sz w:val="18"/>
                <w:szCs w:val="18"/>
                <w:highlight w:val="none"/>
              </w:rPr>
              <w:t>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rFonts w:ascii="宋体" w:cs="Times New Roman"/>
                <w:color w:val="auto"/>
                <w:kern w:val="0"/>
                <w:sz w:val="18"/>
                <w:szCs w:val="18"/>
                <w:highlight w:val="none"/>
              </w:rPr>
            </w:pPr>
            <w:r>
              <w:rPr>
                <w:rFonts w:hint="eastAsia" w:ascii="宋体" w:cs="Times New Roman"/>
                <w:color w:val="auto"/>
                <w:kern w:val="0"/>
                <w:sz w:val="18"/>
                <w:szCs w:val="18"/>
                <w:highlight w:val="none"/>
              </w:rPr>
              <w:t>房产服务中心</w:t>
            </w:r>
          </w:p>
          <w:p>
            <w:pPr>
              <w:shd w:val="clear"/>
              <w:rPr>
                <w:rFonts w:hint="default" w:ascii="宋体" w:hAnsi="宋体" w:eastAsia="宋体" w:cs="宋体"/>
                <w:color w:val="auto"/>
                <w:sz w:val="18"/>
                <w:szCs w:val="18"/>
                <w:highlight w:val="none"/>
                <w:lang w:val="en-US" w:eastAsia="zh-CN"/>
              </w:rPr>
            </w:pPr>
            <w:r>
              <w:rPr>
                <w:rFonts w:hint="eastAsia" w:ascii="宋体" w:cs="Times New Roman"/>
                <w:color w:val="auto"/>
                <w:kern w:val="0"/>
                <w:sz w:val="18"/>
                <w:szCs w:val="18"/>
                <w:highlight w:val="none"/>
              </w:rPr>
              <w:t>无处罚规定</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未按规定交存首期住宅专项维修资金，公有住房售房单位将房屋交付买受人</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cs="宋体"/>
                <w:color w:val="auto"/>
                <w:kern w:val="0"/>
                <w:sz w:val="18"/>
                <w:szCs w:val="18"/>
                <w:highlight w:val="none"/>
              </w:rPr>
              <w:t>《住宅专项维修资金管理办法》</w:t>
            </w:r>
            <w:r>
              <w:rPr>
                <w:rFonts w:hint="eastAsia" w:ascii="宋体" w:cs="Times New Roman"/>
                <w:color w:val="auto"/>
                <w:sz w:val="18"/>
                <w:szCs w:val="18"/>
                <w:highlight w:val="none"/>
              </w:rPr>
              <w:t>《青岛市房屋专项维修资金管理办法（试行）》</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ascii="宋体" w:hAnsi="宋体" w:cs="宋体"/>
                <w:color w:val="auto"/>
                <w:kern w:val="0"/>
                <w:sz w:val="18"/>
                <w:szCs w:val="18"/>
                <w:highlight w:val="none"/>
              </w:rPr>
              <w:t>1.</w:t>
            </w:r>
            <w:r>
              <w:rPr>
                <w:rFonts w:hint="eastAsia" w:ascii="宋体" w:hAnsi="宋体" w:cs="宋体"/>
                <w:color w:val="auto"/>
                <w:kern w:val="0"/>
                <w:sz w:val="18"/>
                <w:szCs w:val="18"/>
                <w:highlight w:val="none"/>
              </w:rPr>
              <w:t>除处罚决定外其他内容：长期公开（动态调整）；</w:t>
            </w:r>
            <w:r>
              <w:rPr>
                <w:rFonts w:ascii="宋体" w:cs="Times New Roman"/>
                <w:color w:val="auto"/>
                <w:kern w:val="0"/>
                <w:sz w:val="18"/>
                <w:szCs w:val="18"/>
                <w:highlight w:val="none"/>
              </w:rPr>
              <w:br w:type="textWrapping"/>
            </w:r>
            <w:r>
              <w:rPr>
                <w:rFonts w:ascii="宋体" w:hAnsi="宋体" w:cs="宋体"/>
                <w:color w:val="auto"/>
                <w:kern w:val="0"/>
                <w:sz w:val="18"/>
                <w:szCs w:val="18"/>
                <w:highlight w:val="none"/>
              </w:rPr>
              <w:t>2.</w:t>
            </w:r>
            <w:r>
              <w:rPr>
                <w:rFonts w:hint="eastAsia" w:ascii="宋体" w:hAnsi="宋体" w:cs="宋体"/>
                <w:color w:val="auto"/>
                <w:kern w:val="0"/>
                <w:sz w:val="18"/>
                <w:szCs w:val="18"/>
                <w:highlight w:val="none"/>
              </w:rPr>
              <w:t>处罚决定：</w:t>
            </w:r>
            <w:r>
              <w:rPr>
                <w:rFonts w:ascii="宋体" w:hAnsi="宋体" w:cs="宋体"/>
                <w:color w:val="auto"/>
                <w:kern w:val="0"/>
                <w:sz w:val="18"/>
                <w:szCs w:val="18"/>
                <w:highlight w:val="none"/>
              </w:rPr>
              <w:t>20</w:t>
            </w:r>
            <w:r>
              <w:rPr>
                <w:rFonts w:hint="eastAsia" w:ascii="宋体" w:hAnsi="宋体" w:cs="宋体"/>
                <w:color w:val="auto"/>
                <w:kern w:val="0"/>
                <w:sz w:val="18"/>
                <w:szCs w:val="18"/>
                <w:highlight w:val="none"/>
              </w:rPr>
              <w:t>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rFonts w:ascii="宋体" w:cs="Times New Roman"/>
                <w:color w:val="auto"/>
                <w:kern w:val="0"/>
                <w:sz w:val="18"/>
                <w:szCs w:val="18"/>
                <w:highlight w:val="none"/>
              </w:rPr>
            </w:pPr>
            <w:r>
              <w:rPr>
                <w:rFonts w:hint="eastAsia" w:ascii="宋体" w:cs="Times New Roman"/>
                <w:color w:val="auto"/>
                <w:kern w:val="0"/>
                <w:sz w:val="18"/>
                <w:szCs w:val="18"/>
                <w:highlight w:val="none"/>
              </w:rPr>
              <w:t>房产服务中心</w:t>
            </w:r>
          </w:p>
          <w:p>
            <w:pPr>
              <w:shd w:val="clear"/>
              <w:rPr>
                <w:rFonts w:ascii="宋体" w:hAnsi="宋体" w:eastAsia="宋体" w:cs="宋体"/>
                <w:color w:val="auto"/>
                <w:sz w:val="18"/>
                <w:szCs w:val="18"/>
                <w:highlight w:val="none"/>
              </w:rPr>
            </w:pPr>
            <w:r>
              <w:rPr>
                <w:rFonts w:hint="eastAsia" w:ascii="宋体" w:cs="Times New Roman"/>
                <w:color w:val="auto"/>
                <w:kern w:val="0"/>
                <w:sz w:val="18"/>
                <w:szCs w:val="18"/>
                <w:highlight w:val="none"/>
              </w:rPr>
              <w:t>无处罚规定</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公有住房售房单位未按规定分摊维修、更新、改造费用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cs="宋体"/>
                <w:color w:val="auto"/>
                <w:kern w:val="0"/>
                <w:sz w:val="18"/>
                <w:szCs w:val="18"/>
                <w:highlight w:val="none"/>
              </w:rPr>
              <w:t>《住宅专项维修资金管理办法》</w:t>
            </w:r>
            <w:r>
              <w:rPr>
                <w:rFonts w:hint="eastAsia" w:ascii="宋体" w:cs="Times New Roman"/>
                <w:color w:val="auto"/>
                <w:sz w:val="18"/>
                <w:szCs w:val="18"/>
                <w:highlight w:val="none"/>
              </w:rPr>
              <w:t>《青岛市房屋专项维修资金管理办法（试行）》</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ascii="宋体" w:hAnsi="宋体" w:cs="宋体"/>
                <w:color w:val="auto"/>
                <w:kern w:val="0"/>
                <w:sz w:val="18"/>
                <w:szCs w:val="18"/>
                <w:highlight w:val="none"/>
              </w:rPr>
              <w:t>1.</w:t>
            </w:r>
            <w:r>
              <w:rPr>
                <w:rFonts w:hint="eastAsia" w:ascii="宋体" w:hAnsi="宋体" w:cs="宋体"/>
                <w:color w:val="auto"/>
                <w:kern w:val="0"/>
                <w:sz w:val="18"/>
                <w:szCs w:val="18"/>
                <w:highlight w:val="none"/>
              </w:rPr>
              <w:t>除处罚决定外其他内容：长期公开（动态调整）；</w:t>
            </w:r>
            <w:r>
              <w:rPr>
                <w:rFonts w:ascii="宋体" w:cs="Times New Roman"/>
                <w:color w:val="auto"/>
                <w:kern w:val="0"/>
                <w:sz w:val="18"/>
                <w:szCs w:val="18"/>
                <w:highlight w:val="none"/>
              </w:rPr>
              <w:br w:type="textWrapping"/>
            </w:r>
            <w:r>
              <w:rPr>
                <w:rFonts w:ascii="宋体" w:hAnsi="宋体" w:cs="宋体"/>
                <w:color w:val="auto"/>
                <w:kern w:val="0"/>
                <w:sz w:val="18"/>
                <w:szCs w:val="18"/>
                <w:highlight w:val="none"/>
              </w:rPr>
              <w:t>2.</w:t>
            </w:r>
            <w:r>
              <w:rPr>
                <w:rFonts w:hint="eastAsia" w:ascii="宋体" w:hAnsi="宋体" w:cs="宋体"/>
                <w:color w:val="auto"/>
                <w:kern w:val="0"/>
                <w:sz w:val="18"/>
                <w:szCs w:val="18"/>
                <w:highlight w:val="none"/>
              </w:rPr>
              <w:t>处罚决定：</w:t>
            </w:r>
            <w:r>
              <w:rPr>
                <w:rFonts w:ascii="宋体" w:hAnsi="宋体" w:cs="宋体"/>
                <w:color w:val="auto"/>
                <w:kern w:val="0"/>
                <w:sz w:val="18"/>
                <w:szCs w:val="18"/>
                <w:highlight w:val="none"/>
              </w:rPr>
              <w:t>20</w:t>
            </w:r>
            <w:r>
              <w:rPr>
                <w:rFonts w:hint="eastAsia" w:ascii="宋体" w:hAnsi="宋体" w:cs="宋体"/>
                <w:color w:val="auto"/>
                <w:kern w:val="0"/>
                <w:sz w:val="18"/>
                <w:szCs w:val="18"/>
                <w:highlight w:val="none"/>
              </w:rPr>
              <w:t>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rFonts w:ascii="宋体" w:cs="Times New Roman"/>
                <w:color w:val="auto"/>
                <w:kern w:val="0"/>
                <w:sz w:val="18"/>
                <w:szCs w:val="18"/>
                <w:highlight w:val="none"/>
              </w:rPr>
            </w:pPr>
            <w:r>
              <w:rPr>
                <w:rFonts w:hint="eastAsia" w:ascii="宋体" w:cs="Times New Roman"/>
                <w:color w:val="auto"/>
                <w:kern w:val="0"/>
                <w:sz w:val="18"/>
                <w:szCs w:val="18"/>
                <w:highlight w:val="none"/>
              </w:rPr>
              <w:t>房产服务中心</w:t>
            </w:r>
          </w:p>
          <w:p>
            <w:pPr>
              <w:shd w:val="clear"/>
              <w:rPr>
                <w:color w:val="auto"/>
                <w:highlight w:val="none"/>
              </w:rPr>
            </w:pPr>
            <w:r>
              <w:rPr>
                <w:rFonts w:hint="eastAsia" w:ascii="宋体" w:cs="Times New Roman"/>
                <w:color w:val="auto"/>
                <w:kern w:val="0"/>
                <w:sz w:val="18"/>
                <w:szCs w:val="18"/>
                <w:highlight w:val="none"/>
              </w:rPr>
              <w:t>无处罚规定</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未按规定交存首期住宅专项维修资金，开发建设单位将房屋交付买受人</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cs="宋体"/>
                <w:color w:val="auto"/>
                <w:kern w:val="0"/>
                <w:sz w:val="18"/>
                <w:szCs w:val="18"/>
                <w:highlight w:val="none"/>
              </w:rPr>
              <w:t>《住宅专项维修资金管理办法》</w:t>
            </w:r>
            <w:r>
              <w:rPr>
                <w:rFonts w:hint="eastAsia" w:ascii="宋体" w:cs="Times New Roman"/>
                <w:color w:val="auto"/>
                <w:sz w:val="18"/>
                <w:szCs w:val="18"/>
                <w:highlight w:val="none"/>
              </w:rPr>
              <w:t>《青岛市房屋专项维修资金管理办法（试行）》</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ascii="宋体" w:hAnsi="宋体" w:cs="宋体"/>
                <w:color w:val="auto"/>
                <w:kern w:val="0"/>
                <w:sz w:val="18"/>
                <w:szCs w:val="18"/>
                <w:highlight w:val="none"/>
              </w:rPr>
              <w:t>1.</w:t>
            </w:r>
            <w:r>
              <w:rPr>
                <w:rFonts w:hint="eastAsia" w:ascii="宋体" w:hAnsi="宋体" w:cs="宋体"/>
                <w:color w:val="auto"/>
                <w:kern w:val="0"/>
                <w:sz w:val="18"/>
                <w:szCs w:val="18"/>
                <w:highlight w:val="none"/>
              </w:rPr>
              <w:t>除处罚决定外其他内容：长期公开（动态调整）；</w:t>
            </w:r>
            <w:r>
              <w:rPr>
                <w:rFonts w:ascii="宋体" w:cs="Times New Roman"/>
                <w:color w:val="auto"/>
                <w:kern w:val="0"/>
                <w:sz w:val="18"/>
                <w:szCs w:val="18"/>
                <w:highlight w:val="none"/>
              </w:rPr>
              <w:br w:type="textWrapping"/>
            </w:r>
            <w:r>
              <w:rPr>
                <w:rFonts w:ascii="宋体" w:hAnsi="宋体" w:cs="宋体"/>
                <w:color w:val="auto"/>
                <w:kern w:val="0"/>
                <w:sz w:val="18"/>
                <w:szCs w:val="18"/>
                <w:highlight w:val="none"/>
              </w:rPr>
              <w:t>2.</w:t>
            </w:r>
            <w:r>
              <w:rPr>
                <w:rFonts w:hint="eastAsia" w:ascii="宋体" w:hAnsi="宋体" w:cs="宋体"/>
                <w:color w:val="auto"/>
                <w:kern w:val="0"/>
                <w:sz w:val="18"/>
                <w:szCs w:val="18"/>
                <w:highlight w:val="none"/>
              </w:rPr>
              <w:t>处罚决定：</w:t>
            </w:r>
            <w:r>
              <w:rPr>
                <w:rFonts w:ascii="宋体" w:hAnsi="宋体" w:cs="宋体"/>
                <w:color w:val="auto"/>
                <w:kern w:val="0"/>
                <w:sz w:val="18"/>
                <w:szCs w:val="18"/>
                <w:highlight w:val="none"/>
              </w:rPr>
              <w:t>20</w:t>
            </w:r>
            <w:r>
              <w:rPr>
                <w:rFonts w:hint="eastAsia" w:ascii="宋体" w:hAnsi="宋体" w:cs="宋体"/>
                <w:color w:val="auto"/>
                <w:kern w:val="0"/>
                <w:sz w:val="18"/>
                <w:szCs w:val="18"/>
                <w:highlight w:val="none"/>
              </w:rPr>
              <w:t>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rFonts w:ascii="宋体" w:cs="Times New Roman"/>
                <w:color w:val="auto"/>
                <w:kern w:val="0"/>
                <w:sz w:val="18"/>
                <w:szCs w:val="18"/>
                <w:highlight w:val="none"/>
              </w:rPr>
            </w:pPr>
            <w:r>
              <w:rPr>
                <w:rFonts w:hint="eastAsia" w:ascii="宋体" w:cs="Times New Roman"/>
                <w:color w:val="auto"/>
                <w:kern w:val="0"/>
                <w:sz w:val="18"/>
                <w:szCs w:val="18"/>
                <w:highlight w:val="none"/>
              </w:rPr>
              <w:t>房产服务中心</w:t>
            </w:r>
          </w:p>
          <w:p>
            <w:pPr>
              <w:shd w:val="clear"/>
              <w:rPr>
                <w:color w:val="auto"/>
                <w:highlight w:val="none"/>
              </w:rPr>
            </w:pPr>
            <w:r>
              <w:rPr>
                <w:rFonts w:hint="eastAsia" w:ascii="宋体" w:cs="Times New Roman"/>
                <w:color w:val="auto"/>
                <w:kern w:val="0"/>
                <w:sz w:val="18"/>
                <w:szCs w:val="18"/>
                <w:highlight w:val="none"/>
              </w:rPr>
              <w:t>无处罚规定</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开发建设单位未按规定分摊维修、更新和改造费用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cs="宋体"/>
                <w:color w:val="auto"/>
                <w:kern w:val="0"/>
                <w:sz w:val="18"/>
                <w:szCs w:val="18"/>
                <w:highlight w:val="none"/>
              </w:rPr>
              <w:t>《住宅专项维修资金管理办法》</w:t>
            </w:r>
            <w:r>
              <w:rPr>
                <w:rFonts w:hint="eastAsia" w:ascii="宋体" w:cs="Times New Roman"/>
                <w:color w:val="auto"/>
                <w:sz w:val="18"/>
                <w:szCs w:val="18"/>
                <w:highlight w:val="none"/>
              </w:rPr>
              <w:t>《青岛市房屋专项维修资金管理办法（试行）》</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ascii="宋体" w:hAnsi="宋体" w:cs="宋体"/>
                <w:color w:val="auto"/>
                <w:kern w:val="0"/>
                <w:sz w:val="18"/>
                <w:szCs w:val="18"/>
                <w:highlight w:val="none"/>
              </w:rPr>
              <w:t>1.</w:t>
            </w:r>
            <w:r>
              <w:rPr>
                <w:rFonts w:hint="eastAsia" w:ascii="宋体" w:hAnsi="宋体" w:cs="宋体"/>
                <w:color w:val="auto"/>
                <w:kern w:val="0"/>
                <w:sz w:val="18"/>
                <w:szCs w:val="18"/>
                <w:highlight w:val="none"/>
              </w:rPr>
              <w:t>除处罚决定外其他内容：长期公开（动态调整）；</w:t>
            </w:r>
            <w:r>
              <w:rPr>
                <w:rFonts w:ascii="宋体" w:cs="Times New Roman"/>
                <w:color w:val="auto"/>
                <w:kern w:val="0"/>
                <w:sz w:val="18"/>
                <w:szCs w:val="18"/>
                <w:highlight w:val="none"/>
              </w:rPr>
              <w:br w:type="textWrapping"/>
            </w:r>
            <w:r>
              <w:rPr>
                <w:rFonts w:ascii="宋体" w:hAnsi="宋体" w:cs="宋体"/>
                <w:color w:val="auto"/>
                <w:kern w:val="0"/>
                <w:sz w:val="18"/>
                <w:szCs w:val="18"/>
                <w:highlight w:val="none"/>
              </w:rPr>
              <w:t>2.</w:t>
            </w:r>
            <w:r>
              <w:rPr>
                <w:rFonts w:hint="eastAsia" w:ascii="宋体" w:hAnsi="宋体" w:cs="宋体"/>
                <w:color w:val="auto"/>
                <w:kern w:val="0"/>
                <w:sz w:val="18"/>
                <w:szCs w:val="18"/>
                <w:highlight w:val="none"/>
              </w:rPr>
              <w:t>处罚决定：</w:t>
            </w:r>
            <w:r>
              <w:rPr>
                <w:rFonts w:ascii="宋体" w:hAnsi="宋体" w:cs="宋体"/>
                <w:color w:val="auto"/>
                <w:kern w:val="0"/>
                <w:sz w:val="18"/>
                <w:szCs w:val="18"/>
                <w:highlight w:val="none"/>
              </w:rPr>
              <w:t>20</w:t>
            </w:r>
            <w:r>
              <w:rPr>
                <w:rFonts w:hint="eastAsia" w:ascii="宋体" w:hAnsi="宋体" w:cs="宋体"/>
                <w:color w:val="auto"/>
                <w:kern w:val="0"/>
                <w:sz w:val="18"/>
                <w:szCs w:val="18"/>
                <w:highlight w:val="none"/>
              </w:rPr>
              <w:t>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rFonts w:ascii="宋体" w:cs="Times New Roman"/>
                <w:color w:val="auto"/>
                <w:kern w:val="0"/>
                <w:sz w:val="18"/>
                <w:szCs w:val="18"/>
                <w:highlight w:val="none"/>
              </w:rPr>
            </w:pPr>
            <w:r>
              <w:rPr>
                <w:rFonts w:hint="eastAsia" w:ascii="宋体" w:cs="Times New Roman"/>
                <w:color w:val="auto"/>
                <w:kern w:val="0"/>
                <w:sz w:val="18"/>
                <w:szCs w:val="18"/>
                <w:highlight w:val="none"/>
              </w:rPr>
              <w:t>房产服务中心</w:t>
            </w:r>
          </w:p>
          <w:p>
            <w:pPr>
              <w:shd w:val="clear"/>
              <w:rPr>
                <w:color w:val="auto"/>
                <w:highlight w:val="none"/>
              </w:rPr>
            </w:pPr>
            <w:r>
              <w:rPr>
                <w:rFonts w:hint="eastAsia" w:ascii="宋体" w:cs="Times New Roman"/>
                <w:color w:val="auto"/>
                <w:kern w:val="0"/>
                <w:sz w:val="18"/>
                <w:szCs w:val="18"/>
                <w:highlight w:val="none"/>
              </w:rPr>
              <w:t>无处罚规定</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挪用住宅专项维修资金</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cs="宋体"/>
                <w:color w:val="auto"/>
                <w:kern w:val="0"/>
                <w:sz w:val="18"/>
                <w:szCs w:val="18"/>
                <w:highlight w:val="none"/>
              </w:rPr>
              <w:t>《住宅专项维修资金管理办法》</w:t>
            </w:r>
            <w:r>
              <w:rPr>
                <w:rFonts w:hint="eastAsia" w:ascii="宋体" w:cs="Times New Roman"/>
                <w:color w:val="auto"/>
                <w:sz w:val="18"/>
                <w:szCs w:val="18"/>
                <w:highlight w:val="none"/>
              </w:rPr>
              <w:t>《青岛市房屋专项维修资金管理办法（试行）》</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ascii="宋体" w:hAnsi="宋体" w:cs="宋体"/>
                <w:color w:val="auto"/>
                <w:kern w:val="0"/>
                <w:sz w:val="18"/>
                <w:szCs w:val="18"/>
                <w:highlight w:val="none"/>
              </w:rPr>
              <w:t>1.</w:t>
            </w:r>
            <w:r>
              <w:rPr>
                <w:rFonts w:hint="eastAsia" w:ascii="宋体" w:hAnsi="宋体" w:cs="宋体"/>
                <w:color w:val="auto"/>
                <w:kern w:val="0"/>
                <w:sz w:val="18"/>
                <w:szCs w:val="18"/>
                <w:highlight w:val="none"/>
              </w:rPr>
              <w:t>除处罚决定外其他内容：长期公开（动态调整）；</w:t>
            </w:r>
            <w:r>
              <w:rPr>
                <w:rFonts w:ascii="宋体" w:cs="Times New Roman"/>
                <w:color w:val="auto"/>
                <w:kern w:val="0"/>
                <w:sz w:val="18"/>
                <w:szCs w:val="18"/>
                <w:highlight w:val="none"/>
              </w:rPr>
              <w:br w:type="textWrapping"/>
            </w:r>
            <w:r>
              <w:rPr>
                <w:rFonts w:ascii="宋体" w:hAnsi="宋体" w:cs="宋体"/>
                <w:color w:val="auto"/>
                <w:kern w:val="0"/>
                <w:sz w:val="18"/>
                <w:szCs w:val="18"/>
                <w:highlight w:val="none"/>
              </w:rPr>
              <w:t>2.</w:t>
            </w:r>
            <w:r>
              <w:rPr>
                <w:rFonts w:hint="eastAsia" w:ascii="宋体" w:hAnsi="宋体" w:cs="宋体"/>
                <w:color w:val="auto"/>
                <w:kern w:val="0"/>
                <w:sz w:val="18"/>
                <w:szCs w:val="18"/>
                <w:highlight w:val="none"/>
              </w:rPr>
              <w:t>处罚决定：</w:t>
            </w:r>
            <w:r>
              <w:rPr>
                <w:rFonts w:ascii="宋体" w:hAnsi="宋体" w:cs="宋体"/>
                <w:color w:val="auto"/>
                <w:kern w:val="0"/>
                <w:sz w:val="18"/>
                <w:szCs w:val="18"/>
                <w:highlight w:val="none"/>
              </w:rPr>
              <w:t>20</w:t>
            </w:r>
            <w:r>
              <w:rPr>
                <w:rFonts w:hint="eastAsia" w:ascii="宋体" w:hAnsi="宋体" w:cs="宋体"/>
                <w:color w:val="auto"/>
                <w:kern w:val="0"/>
                <w:sz w:val="18"/>
                <w:szCs w:val="18"/>
                <w:highlight w:val="none"/>
              </w:rPr>
              <w:t>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cs="Times New Roman"/>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城市低收入住房困难家庭隐瞒有关情况或者提供虚假材料申请廉租住房保障</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《廉租住房保障办法》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color w:val="auto"/>
                <w:highlight w:val="none"/>
              </w:rPr>
            </w:pPr>
            <w:r>
              <w:rPr>
                <w:rFonts w:hint="eastAsia" w:ascii="宋体" w:hAnsi="宋体" w:eastAsia="宋体" w:cs="宋体"/>
                <w:color w:val="auto"/>
                <w:sz w:val="18"/>
                <w:szCs w:val="18"/>
                <w:highlight w:val="none"/>
                <w:lang w:val="en-US" w:eastAsia="zh-CN"/>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对以欺骗等不正当手段，取得审核同意或者获得廉租住房保障</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《廉租住房保障办法》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1.除处罚决定外其他内容：长期公开（动态调整）；</w:t>
            </w:r>
            <w:r>
              <w:rPr>
                <w:rFonts w:hint="eastAsia" w:ascii="宋体" w:hAnsi="宋体" w:eastAsia="宋体" w:cs="宋体"/>
                <w:color w:val="auto"/>
                <w:sz w:val="18"/>
                <w:szCs w:val="18"/>
                <w:highlight w:val="none"/>
                <w:lang w:val="en-US" w:eastAsia="zh-CN"/>
              </w:rPr>
              <w:br w:type="textWrapping"/>
            </w:r>
            <w:r>
              <w:rPr>
                <w:rFonts w:hint="eastAsia" w:ascii="宋体" w:hAnsi="宋体" w:eastAsia="宋体" w:cs="宋体"/>
                <w:color w:val="auto"/>
                <w:sz w:val="18"/>
                <w:szCs w:val="18"/>
                <w:highlight w:val="none"/>
                <w:lang w:val="en-US" w:eastAsia="zh-CN"/>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注册房地产估价师未办理变更注册仍执业</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《注册房地产估价师管理办法》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 xml:space="preserve">  </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注册房地产估价师不履行注册房地产估价师义务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《注册房地产估价师管理办法》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 xml:space="preserve">  </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注册房地产估价师在执业过程中，索贿、受贿或者谋取合同约定费用外的其他利益</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cs="Times New Roman"/>
                <w:color w:val="auto"/>
                <w:sz w:val="18"/>
                <w:szCs w:val="18"/>
                <w:highlight w:val="none"/>
              </w:rPr>
            </w:pPr>
            <w:r>
              <w:rPr>
                <w:rFonts w:hint="eastAsia" w:ascii="宋体" w:hAnsi="宋体" w:eastAsia="宋体" w:cs="宋体"/>
                <w:color w:val="auto"/>
                <w:kern w:val="0"/>
                <w:sz w:val="18"/>
                <w:szCs w:val="18"/>
                <w:highlight w:val="none"/>
              </w:rPr>
              <w:t>《注册房地产估价师管理办法》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 xml:space="preserve">  </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cs="Times New Roman"/>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注册房地产估价师在执业过程中实施商业贿赂</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cs="Times New Roman"/>
                <w:color w:val="auto"/>
                <w:sz w:val="18"/>
                <w:szCs w:val="18"/>
                <w:highlight w:val="none"/>
              </w:rPr>
            </w:pPr>
            <w:r>
              <w:rPr>
                <w:rFonts w:hint="eastAsia" w:ascii="宋体" w:hAnsi="宋体" w:eastAsia="宋体" w:cs="宋体"/>
                <w:color w:val="auto"/>
                <w:kern w:val="0"/>
                <w:sz w:val="18"/>
                <w:szCs w:val="18"/>
                <w:highlight w:val="none"/>
              </w:rPr>
              <w:t>《注册房地产估价师管理办法》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 xml:space="preserve">  </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cs="Times New Roman"/>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注册房地产估价师签署有虚假记载、误导性陈述或者重大遗漏的估价报告</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cs="Times New Roman"/>
                <w:color w:val="auto"/>
                <w:sz w:val="18"/>
                <w:szCs w:val="18"/>
                <w:highlight w:val="none"/>
              </w:rPr>
            </w:pPr>
            <w:r>
              <w:rPr>
                <w:rFonts w:hint="eastAsia" w:ascii="宋体" w:hAnsi="宋体" w:eastAsia="宋体" w:cs="宋体"/>
                <w:color w:val="auto"/>
                <w:kern w:val="0"/>
                <w:sz w:val="18"/>
                <w:szCs w:val="18"/>
                <w:highlight w:val="none"/>
              </w:rPr>
              <w:t>《注册房地产估价师管理办法》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 xml:space="preserve">  </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cs="Times New Roman"/>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注册房地产估价师在估价报告中隐瞒或者歪曲事实</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cs="Times New Roman"/>
                <w:color w:val="auto"/>
                <w:sz w:val="18"/>
                <w:szCs w:val="18"/>
                <w:highlight w:val="none"/>
              </w:rPr>
            </w:pPr>
            <w:r>
              <w:rPr>
                <w:rFonts w:hint="eastAsia" w:ascii="宋体" w:hAnsi="宋体" w:eastAsia="宋体" w:cs="宋体"/>
                <w:color w:val="auto"/>
                <w:kern w:val="0"/>
                <w:sz w:val="18"/>
                <w:szCs w:val="18"/>
                <w:highlight w:val="none"/>
              </w:rPr>
              <w:t>《注册房地产估价师管理办法》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 xml:space="preserve">  </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cs="Times New Roman"/>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注册房地产估价师允许他人以自己的名义从事房地产估价业务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cs="Times New Roman"/>
                <w:color w:val="auto"/>
                <w:sz w:val="18"/>
                <w:szCs w:val="18"/>
                <w:highlight w:val="none"/>
              </w:rPr>
            </w:pPr>
            <w:r>
              <w:rPr>
                <w:rFonts w:hint="eastAsia" w:ascii="宋体" w:hAnsi="宋体" w:eastAsia="宋体" w:cs="宋体"/>
                <w:color w:val="auto"/>
                <w:kern w:val="0"/>
                <w:sz w:val="18"/>
                <w:szCs w:val="18"/>
                <w:highlight w:val="none"/>
              </w:rPr>
              <w:t>《注册房地产估价师管理办法》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 xml:space="preserve">  </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cs="Times New Roman"/>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注册房地产估价师同时在2个或者2个以上房地产估价机构执业</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cs="Times New Roman"/>
                <w:color w:val="auto"/>
                <w:sz w:val="18"/>
                <w:szCs w:val="18"/>
                <w:highlight w:val="none"/>
              </w:rPr>
            </w:pPr>
            <w:r>
              <w:rPr>
                <w:rFonts w:hint="eastAsia" w:ascii="宋体" w:hAnsi="宋体" w:eastAsia="宋体" w:cs="宋体"/>
                <w:color w:val="auto"/>
                <w:kern w:val="0"/>
                <w:sz w:val="18"/>
                <w:szCs w:val="18"/>
                <w:highlight w:val="none"/>
              </w:rPr>
              <w:t>《注册房地产估价师管理办法》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 xml:space="preserve">  </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cs="Times New Roman"/>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注册房地产估价师以个人名义承揽房地产估价业务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《注册房地产估价师管理办法》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 xml:space="preserve">  </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rFonts w:hint="default" w:ascii="宋体" w:hAnsi="宋体" w:eastAsia="宋体" w:cs="宋体"/>
                <w:color w:val="auto"/>
                <w:sz w:val="18"/>
                <w:szCs w:val="18"/>
                <w:highlight w:val="none"/>
                <w:lang w:val="en-US" w:eastAsia="zh-CN"/>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注册房地产估价师涂改、出租、出借或者以其他形式非法转让注册证书</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《注册房地产估价师管理办法》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 xml:space="preserve">  </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rFonts w:hint="default" w:ascii="宋体" w:hAnsi="宋体" w:eastAsia="宋体" w:cs="宋体"/>
                <w:color w:val="auto"/>
                <w:sz w:val="18"/>
                <w:szCs w:val="18"/>
                <w:highlight w:val="none"/>
                <w:lang w:val="en-US" w:eastAsia="zh-CN"/>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注册房地产估价师超出聘用单位业务范围从事房地产估价活动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《注册房地产估价师管理办法》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 xml:space="preserve">  </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注册房地产估价师严重损害他人利益、名誉的行为</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《注册房地产估价师管理办法》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 xml:space="preserve">  </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注册房地产估价师有法律、法规禁止的其他行为</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《注册房地产估价师管理办法》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 xml:space="preserve">  </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70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注册房地产估价师或者其聘用单位未按照要求提供房地产估价师信用档案信息</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《注册房地产估价师管理办法》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 xml:space="preserve">  </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71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开发企业未取得《商品房预售许可证》预售商品房</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 xml:space="preserve">《城市商品房预售管理办法》                  </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《城市房地产开发经营管理条例》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72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开发企业不按规定使用商品房预售款项</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《城市商品房预售管理办法》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73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开发企业隐瞒有关情况、提供虚假材料，或者采用欺骗、贿赂等不正当手段取得商品房预售许可</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《城市商品房预售管理办法》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74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不具备条件的单位从事白蚁防治业务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《城市房屋白蚁防治管理规定》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75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白蚁防治单位未建立健全白蚁防治质量保证体系，未严格按照国家和地方有关城市房屋白蚁防治的施工技术规范和操作程序进行防治</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《城市房屋白蚁防治管理规定》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76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白蚁防治单位违反规定，使用不合格药物</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《城市房屋白蚁防治管理规定》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77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房地产开发企业在进行商品房销(预)售时未向购房人出具该项目的《白蚁预防合同》或者其他实施房屋白蚁预防的证明文件，或提供的《住宅质量保证书》中未包括白蚁预防质量保证的内容</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《城市房屋白蚁防治管理规定》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78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原有房屋和超过白蚁预防包治期限的房屋发生蚁害的，房屋所有人、使用人或者房屋管理单位未委托白蚁防治单位进行灭治或未配合白蚁防治单位进行白蚁的检查和灭治工作</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《城市房屋白蚁防治管理规定》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79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在利用房地产权属档案的过程中，损毁、丢失、涂改、伪造房地产权属档案或者擅自提供、抄录、公布、销毁房地产权属档案</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《城市房地产权属档案管理办法》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color w:val="auto"/>
                <w:highlight w:val="none"/>
              </w:rPr>
            </w:pPr>
            <w:r>
              <w:rPr>
                <w:rFonts w:hint="eastAsia" w:ascii="宋体" w:hAnsi="宋体" w:eastAsia="宋体" w:cs="宋体"/>
                <w:color w:val="auto"/>
                <w:sz w:val="18"/>
                <w:szCs w:val="18"/>
                <w:highlight w:val="none"/>
              </w:rPr>
              <w:t>自然资源局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80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企事业组织或者个人擅自出卖或者转让房地产权属档案的</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《城市房地产权属档案管理办法》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color w:val="auto"/>
                <w:highlight w:val="none"/>
              </w:rPr>
            </w:pPr>
            <w:r>
              <w:rPr>
                <w:rFonts w:hint="eastAsia" w:ascii="宋体" w:hAnsi="宋体" w:eastAsia="宋体" w:cs="宋体"/>
                <w:color w:val="auto"/>
                <w:sz w:val="18"/>
                <w:szCs w:val="18"/>
                <w:highlight w:val="none"/>
              </w:rPr>
              <w:t>自然资源局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81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未取得房地产开发企业资质证书，擅自销售商品房</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《商品房销售管理办法》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82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在未解除商品房买卖合同前，将作为合同标的物的商品房再行销售给他人</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《商品房销售管理办法》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83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房地产开发企业将未组织竣工验收、验收不合格或者对不合格按合格验收的商品房擅自交付使用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 xml:space="preserve">1.机构职能、权责清单、执法人员名单； </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 xml:space="preserve">《商品房销售管理办法》                          </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《建设工程质量管理条例》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84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房地产开发企业未按规定将测绘成果或者需要由其提供的办理房屋权属登记的资料报送房地产行政主管部门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《商品房销售管理办法》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85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房地产开发企业在销售商品房中未按照规定的现售条件现售商品房</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《商品房销售管理办法》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86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房地产开发企业在销售商品房中未按照规定在商品房现售前将房地产开发项目手册及符合商品房现售条件的有关证明文件报送房地产开发主管部门备案</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《商品房销售管理办法》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87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房地产开发企业在销售商品房中返本销售或者变相返本销售商品房</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《商品房销售管理办法》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88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房地产开发企业在销售商品房中在销售商品房中采取售后包租或者变相售后包租方式销售未竣工商品房</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《商品房销售管理办法》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89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房地产开发企业在销售商品房中分割拆零销售商品住宅</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《商品房销售管理办法》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90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房地产开发企业在销售商品房中不符合商品房销售条件，向买受人收取预订款性质费用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《商品房销售管理办法》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38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91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房地产开发企业在销售商品房中未按照规定向买受人明示《商品房销售管理办法》、《商品房买卖合同示范文本》、《城市商品房预售管理办法》</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《商品房销售管理办法》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38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92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房地产开发企业在销售商品房中委托没有资格的机构代理销售商品房</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《商品房销售管理办法》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color w:val="auto"/>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93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房地产中介服务机构代理销售不符合销售条件的商品房</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《商品房销售管理办法》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rPr>
                <w:rFonts w:hint="default" w:ascii="宋体" w:hAnsi="宋体" w:eastAsia="宋体" w:cs="宋体"/>
                <w:color w:val="auto"/>
                <w:sz w:val="18"/>
                <w:szCs w:val="18"/>
                <w:highlight w:val="none"/>
                <w:lang w:val="en-US" w:eastAsia="zh-CN"/>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94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企业未取得资质证书从事房地产开发经营</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《房地产开发企业资质管理规定》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住宅保障中心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95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企业超越资质等级从事房地产开发经营</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《房地产开发企业资质管理规定》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住宅保障中心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96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未取得施工许可证或者开工报告未经批准擅自施工</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《中华人民共和国建筑法》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《建设工程质量管理条例》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97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发包单位将工程发包给不具有相应资质条件的承包单位的，或者违反本法规定将建筑工程肢解发包</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spacing w:after="180"/>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《中华人民共和国建筑法》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98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超越本单位资质等级承揽工程</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《中华人民共和国建筑法》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《建设工程质量管理条例》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38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99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未取得资质证书承揽工程</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《中华人民共和国建筑法》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《建设工程质量管理条例》                              《建设工程勘察设计管理条例》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38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100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以欺骗手段取得资质证书承揽工程</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《中华人民共和国建筑法》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《建设工程质量管理条例》                              《建设工程勘察设计管理条例》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101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建筑施工企业转让、出借资质证书或者以其他方式允许他人以本企业的名义承揽工程</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《中华人民共和国建筑法》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102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承包单位将承包的工程转包，或者违法分包</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《中华人民共和国建筑法》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《建设工程质量管理条例》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103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在工程发包与承包中索贿、受贿、行贿，且不构成犯罪</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《中华人民共和国建筑法》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104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工程监理单位转让监理业务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《中华人民共和国建筑法》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105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涉及建筑主体或者承重结构变动的装修工程擅自施工</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《中华人民共和国建筑法》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106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建筑施工企业对建筑安全事故隐患不采取措施予以消除</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《中华人民共和国建筑法》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107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建设单位要求建筑设计单位或者建筑施工企业违反建筑工程质量、安全标准，降低工程质量</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《中华人民共和国建筑法》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color w:val="auto"/>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108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建筑设计单位不按照建筑工程质量、安全标准进行设计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《中华人民共和国建筑法》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color w:val="auto"/>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109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建筑施工企业在施工中偷工减料，使用不合格的建筑材料、建筑构配件和设备，或者有其他不按照工程设计图纸或者施工技术标准施工的行为</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《中华人民共和国建筑法》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color w:val="auto"/>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110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建筑施工企业不履行保修义务或者拖延履行保修义务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《中华人民共和国建筑法》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《建设工程质量管理条例》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color w:val="auto"/>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111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建设单位违反建筑节能标准</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《中华人民共和国节约能源法》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color w:val="auto"/>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112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设计单位、施工单位、监理单位违反建筑节能标准</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《中华人民共和国节约能源法》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color w:val="auto"/>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113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建设单位将建设工程发包给不具有相应资质等级的勘察、设计、施工单位或者委托给不具有相应资质等级的工程监理单位</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《建设工程质量管理条例》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color w:val="auto"/>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114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将建筑工程肢解发包</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《建设工程质量管理条例》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color w:val="auto"/>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115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建设单位迫使承包方以低于成本的价格竞标</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《建设工程质量管理条例》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color w:val="auto"/>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116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建设单位任意压缩合理工期</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《建设工程质量管理条例》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color w:val="auto"/>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117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建设单位明示或者暗示设计单位或者施工单位违反工程建设强制性标准，降低工程质量</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《建设工程质量管理条例》                                        《实施工程建设强制性标准监督规</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 xml:space="preserve">定》  </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color w:val="auto"/>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118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建设单位施工图设计文件未经审查或者审查不合格，擅自施工</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《建设工程质量管理条例》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color w:val="auto"/>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119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建设项目必须实行工程监理而未实行工程监理</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《建设工程质量管理条例》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color w:val="auto"/>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120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建设单位未按照国家规定办理工程质量监督手续</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《建设工程质量管理条例》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121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建设单位明示或者暗示施工单位使用不合格的建筑材料、建筑构配件和设备</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《建设工程质量管理条例》</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《实施工程建设强制性标准监督规</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122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建设单位未按照国家规定将竣工验收报告、有关认可文件或者准许使用文件报送备案</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《建设工程质量管理条例》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123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未组织竣工验收，建设单位擅自交付使用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《建设工程质量管理条例》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124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验收不合格，建设单位擅自交付使用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《建设工程质量管理条例》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125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建设单位对不合格的建设工程按照合格工程验收</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《建设工程质量管理条例》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126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建设工程竣工验收后，建设单位未向建设行政主管部门或者其他有关部门移交建设项目档案</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《建设工程质量管理条例》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127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勘察、设计、施工、工程监理单位允许其他单位或者个人以本单位名义承揽工程</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《建设工程质量管理条例》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128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工程监理单位转让工程监理业务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《建设工程质量管理条例》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129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勘察单位未按照工程建设强制性标准进行勘察</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 xml:space="preserve">《建设工程质量管理条例》                 </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《建设工程勘察设计管理条例》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130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设计单位未根据勘察成果文件进行工程设计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 xml:space="preserve">《建设工程质量管理条例》                           </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《建设工程勘察设计管理条例》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131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设计单位指定建筑材料、建筑构配件的生产厂、供应商</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 xml:space="preserve">《建设工程质量管理条例》                         </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《建设工程勘察设计管理条例》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132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设计单位未按照工程建设强制性标准进行设计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 xml:space="preserve">《建设工程质量管理条例》                           </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《建设工程勘察设计管理条例》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133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施工单位在施工中偷工减料；使用不合格的建筑材料、建筑构配件和设备；或者有不按照工程设计图纸或者施工技术标准施工的其他行为</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《建设工程质量管理条例》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134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施工单位未对建筑材料、建筑构配件、设备和商品混凝土进行检验，或者未对涉及结构安全的试块、试件以及有关材料取样检测</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《建设工程质量管理条例》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135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工程监理单位与建设单位或者施工单位串通，弄虚作假、降低工程质量</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《建设工程质量管理条例》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136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工程监理单位将不合格的工程、建筑材料、构配件和设备按照合格签字</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《建设工程质量管理条例》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137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工程监理单位与被监理工程的施工承包单位以及建筑材料、建筑构配件和设备供应单位有隶属关系或者其他利害关系承担该项建设工程的监理业务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《建设工程质量管理条例》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138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注册建筑师、注册结构工程师、监理工程师等注册执业人员因过错造成质量事故</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《建设工程质量管理条例》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139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建设单位未提供建设工程安全生产作业环境及安全施工措施所需费用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《建设工程安全生产管理条例》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140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建设单位未将保证安全施工的措施或者拆除工程的有关资料报送有关部门备案</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《建设工程安全生产管理条例》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141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建设单位对勘察、设计、施工、工程监理等单位提出不符合安全生产法律、法规和强制性标准规定要求</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《建设工程安全生产管理条例》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142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建设单位要求施工单位压缩合同约定的工期</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《建设工程安全生产管理条例》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143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勘察单位、设计单位未按照法律、法规和工程建设强制性标准进行勘察、设计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《建设工程安全生产管理条例》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144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采用新结构、新材料、新工艺的建设工程和特殊结构的建设工程，设计单位未在设计中提出保障施工作业人员安全和预防生产安全事故的措施建议</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《建设工程安全生产管理条例》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145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工程监理单位未对施工组织设计中的安全技术措施或者专项施工方案进行审查</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《建设工程安全生产管理条例》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146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工程监理单位发现安全事故隐患未及时要求施工单位整改或者暂时停止施工</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《建设工程安全生产管理条例》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147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施工单位拒不整改或者不停止施工，工程监理单位未及时向有关主管部门报告</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《建设工程安全生产管理条例》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148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工程监理单位未依照法律、法规和工程建设强制性标准实施监理</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《建设工程安全生产管理条例》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149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注册执业人员未执行法律、法规和工程建设强制性标准</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《建设工程安全生产管理条例》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150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为建设工程提供机械设备和配件的单位，未按照安全施工的要求配备齐全有效的保险、限位等安全设施和装置</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《建设工程安全生产管理条例》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151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出租单位出租未经安全性能检测或者经检测不合格的机械设备和施工机具及配件</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《建设工程安全生产管理条例》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152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施工起重机械和整体提升脚手架、模板等自升式架设设施安装、拆卸单位未编制拆装方案、制定安全施工措施</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《建设工程安全生产管理条例》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153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施工起重机械和整体提升脚手架、模板等自升式架设设施安装、拆卸单位未由专业技术人员现场监督</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《建设工程安全生产管理条例》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154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施工起重机械和整体提升脚手架、模板等自升式架设设施安装、拆卸单位未出具自检合格证明或者出具虚假证明</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《建设工程安全生产管理条例》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155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施工起重机械和整体提升脚手架、模板等自升式架设设施安装、拆卸单位未向施工单位进行安全使用说明，办理移交手续</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《建设工程安全生产管理条例》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156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施工单位未设立安全生产管理机构、配备专职安全生产管理人员或者分部分项工程施工时无专职安全生产管理人员现场监督</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《建设工程安全生产管理条例》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157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施工单位的主要负责人、项目负责人、专职安全生产管理人员、作业人员或者特种作业人员，未经安全教育培训或者经考核不合格即从事相关工作</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《建设工程安全生产管理条例》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158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施工单位未在施工现场的危险部位设置明显的安全警示标志，或者未按照国家有关规定在施工现场设置消防通道、消防水源、配备消防设施和灭火器材</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《建设工程安全生产管理条例》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159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施工单位未向作业人员提供安全防护用具和安全防护服装</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《建设工程安全生产管理条例》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160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施工单位未按照规定在施工起重机械和整体提升脚手架、模板等自升式架设设施验收合格后登记</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《建设工程安全生产管理条例》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161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施工单位使用国家明令淘汰、禁止使用的危及施工安全的工艺、设备、材料</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《建设工程安全生产管理条例》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162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施工单位挪用列入建设工程概算的安全生产作业环境及安全施工措施所需费用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《建设工程安全生产管理条例》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163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施工单位施工前未对有关安全施工的技术要求作出详细说明</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《建设工程安全生产管理条例》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164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施工单位未根据不同施工阶段和周围环境及季节、气候的变化，在施工现场采取相应的安全施工措施，或者在城市市区内的建设工程的施工现场未实行封闭围挡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《建设工程安全生产管理条例》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165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施工单位在尚未竣工的建筑物内设置员工集体宿舍</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《建设工程安全生产管理条例》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166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施工现场临时搭建的建筑物不符合安全使用要求</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《建设工程安全生产管理条例》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167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施工单位未对因建设工程施工可能造成损害的毗邻建筑物、构筑物和地下管线等采取专项防护措施</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《建设工程安全生产管理条例》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168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安全防护用具、机械设备、施工机具及配件在进入施工现场前未经查验或者查验不合格施工单位即投入使用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《建设工程安全生产管理条例》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169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施工单位使用未经验收或者验收不合格的施工起重机械和整体提升脚手架、模板等自升式架设设施</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《建设工程安全生产管理条例》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170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施工单位委托不具有相应资质的单位承担施工现场安装、拆卸施工起重机械和整体提升脚手架、模板等自升式架设设施</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《建设工程安全生产管理条例》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171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施工单位在施工组织设计中未编制安全技术措施、施工现场临时用电方案或者专项施工方案</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《建设工程安全生产管理条例》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172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施工单位的主要负责人、项目负责人未履行安全生产管理职责</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《建设工程安全生产管理条例》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173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不服管理、违反规章制度和操作规程冒险作业</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《建设工程安全生产管理条例》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174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施工单位取得资质证书后，降低安全生产条件</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《建设工程安全生产管理条例》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175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建设工程勘察、设计单位超越其资质等级许可的范围或者以其他建设工程勘察、设计单位的名义承揽建设工程勘察、设计业务；允许其他单位或者个人以本单位的名义承揽建设工程勘察、设计业务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《建设工程勘察设计管理条例》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176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未经注册，擅自以注册建设工程勘察、设计人员的名义从事建设工程勘察、设计活动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《建设工程勘察设计管理条例》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177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建设工程勘察、设计注册执业人员和其他专业技术人员未受聘于一个建设工程勘察、设计单位或者同时受聘于两个以上建设工程勘察、设计单位，从事建设工程勘察、设计活动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《建设工程勘察设计管理条例》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178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发包方将建设工程勘察、设计业务发包给不具有相应资质等级的建设工程勘察、设计单位</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《建设工程勘察设计管理条例》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179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建设工程勘察、设计单位将所承揽的建设工程勘察、设计转包</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《建设工程勘察设计管理条例》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180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勘察、设计单位未依据项目批准文件，城乡规划及专业规划，国家规定的建设工程勘察、设计深度要求编制建设工程勘察、设计文件</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《建设工程勘察设计管理条例》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181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建设单位明示或者暗示设计单位、施工单位违反民用建筑节能强制性标准进行设计、施工</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《民用建筑节能条例》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182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建设单位明示或者暗示施工单位使用不符合施工图设计文件要求的墙体材料、保温材料、门窗、采暖制冷系统和照明设备</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《民用建筑节能条例》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183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建设单位采购不符合施工图设计文件要求的墙体材料、保温材料、门窗、采暖制冷系统和照明设备</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《民用建筑节能条例》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184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建设单位使用列入禁止使用目录的技术、工艺、材料和设备</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《民用建筑节能条例》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185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建设单位对不符合民用建筑节能强制性标准的民用建筑项目出具竣工验收合格报告</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《民用建筑节能条例》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186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设计单位未按照民用建筑节能强制性标准进行设计，或者使用列入禁止使用目录的技术、工艺、材料和设备</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《民用建筑节能条例》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187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施工单位未按照民用建筑节能强制性标准进行施工</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《民用建筑节能条例》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188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施工单位未对进入施工现场的墙体材料、保温材料、门窗、采暖制冷系统和照明设备进行查验</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《民用建筑节能条例》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189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施工单位使用不符合施工图设计文件要求的墙体材料、保温材料、门窗、采暖制冷系统和照明设备</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《民用建筑节能条例》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190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施工单位使用列入禁止使用目录的技术、工艺、材料和设备</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《民用建筑节能条例》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191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工程监理单位未按照民用建筑节能强制性标准实施监理</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《民用建筑节能条例》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192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墙体、屋面的保温工程施工时，工程监理单位未采取旁站、巡视和平行检验等形式实施监理</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《民用建筑节能条例》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193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对不符合施工图设计文件要求的墙体材料、保温材料、门窗、采暖制冷系统和照明设备，工程监理单位按照符合施工图设计文件要求签字</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《民用建筑节能条例》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194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房地产开发企业销售商品房，未向购买人明示所售商品房的能源消耗指标、节能措施和保护要求、保温工程保修期等信息，或者向购买人明示的所售商品房能源消耗指标与实际能源消耗不符</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《民用建筑节能条例》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195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注册执业人员未执行民用建筑节能强制性标准</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《民用建筑节能条例》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196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以不正当手段取得注册建筑师考试合格资格或者注册建筑师证书</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《中华人民共和国注册建筑师条例》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197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未经注册擅自以注册建筑师名义从事注册建筑师业务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《中华人民共和国注册建筑师条例》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198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注册建筑师以个人名义承接注册建筑师业务、收取费用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《中华人民共和国注册建筑师条例》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199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注册建筑师同时受聘于二个以上建筑设计单位执行业务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《中华人民共和国注册建筑师条例》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200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注册建筑师在建筑设计或者相关业务中侵犯他人合法权益</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《中华人民共和国注册建筑师条例》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201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注册建筑师准许他人以本人名义执行业务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《中华人民共和国注册建筑师条例》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202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二级注册建筑师以一级注册建筑师的名义执行业务或者超越国家规定的执业范围执行业务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《中华人民共和国注册建筑师条例》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203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注册建筑师因建筑设计质量不合格发生重大责任事故，造成重大损失</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《中华人民共和国注册建筑师条例》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204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建设单位未按照本规定提供工程周边环境等资料</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《危险性较大的分部分项工程安全管理规定》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205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建设单位未按照本规定在招标文件中列出危大工程清单</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《危险性较大的分部分项工程安全管理规定》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206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建设单位未按照施工合同约定及时支付危大工程施工技术措施费或者相应的安全防护文明施工措施费</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《危险性较大的分部分项工程安全管理规定》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207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建设单位未按照本规定委托具有相应勘察资质的单位进行第三方监测</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《危险性较大的分部分项工程安全管理规定》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208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建设单位未对第三方监测单位报告的异常情况组织采取处置措施</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《危险性较大的分部分项工程安全管理规定》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209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勘察单位未在勘察文件中说明地质条件可能造成的工程风险</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《危险性较大的分部分项工程安全管理规定》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210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设计单位未在设计文件中注明涉及危大工程的重点部位和环节，未提出保障工程周边环境安全和工程施工安全的意见的</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《危险性较大的分部分项工程安全管理规定》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211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施工单位未按照本规定编制并审核危大工程专项施工方案</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《危险性较大的分部分项工程安全管理规定》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38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212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施工单位未对超过一定规模的危大工程专项施工方案进行专家论证</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《危险性较大的分部分项工程安全管理规定》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32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213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施工单位未根据专家论证报告对超过一定规模的危大工程专项施工方案进行修改，或者未按照本规定重新组织专家论证</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《危险性较大的分部分项工程安全管理规定》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9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214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施工单位未严格按照专项施工方案组织施工，或者擅自修改专项施工方案</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《危险性较大的分部分项工程安全管理规定》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322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215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施工单位项目负责人未按照本规定现场履职或者组织限期整改</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《危险性较大的分部分项工程安全管理规定》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216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施工单位未按照本规定进行施工监测和安全巡视</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《危险性较大的分部分项工程安全管理规定》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217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施工单位未按照本规定组织危大工程验收</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《危险性较大的分部分项工程安全管理规定》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218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发生险情或者事故时，施工单位未采取应急处置措施</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《危险性较大的分部分项工程安全管理规定》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219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施工单位未按照本规定建立危大工程安全管理档案</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《危险性较大的分部分项工程安全管理规定》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220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监理单位的总监理工程师未按照本规定审查危大工程专项施工方案</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《危险性较大的分部分项工程安全管理规定》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221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发现施工单位未按照专项施工方案实施，监理单位未要求其整改或者停工</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《危险性较大的分部分项工程安全管理规定》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222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施工单位拒不整改或者不停止施工时，监理单位未向建设单位和工程所在地住房城乡建设主管部门报告</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《危险性较大的分部分项工程安全管理规定》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223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监理单位未按规定编制监理实施细则</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《危险性较大的分部分项工程安全管理规定》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224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监理单位未对危大工程施工实施专项巡视检查</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《危险性较大的分部分项工程安全管理规定》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225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监理单位未按规定参与组织危大工程验收</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《危险性较大的分部分项工程安全管理规定》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226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监理单位未按规定建立危大工程安全管理档案</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《危险性较大的分部分项工程安全管理规定》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227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监测单位未取得相应勘察资质从事第三方监测</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《危险性较大的分部分项工程安全管理规定》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228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监测单位未按规定编制监测方案</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《危险性较大的分部分项工程安全管理规定》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229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监测单位未按照监测方案开展监测</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《危险性较大的分部分项工程安全管理规定》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230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监测单位发现异常未及时报告</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《危险性较大的分部分项工程安全管理规定》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38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231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企业申请建筑业企业资质升级、资质增项，在申请之日起前一年至资质许可决定作出前，未取得施工许可证擅自施工</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《建筑业企业资质管理规定》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59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232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企业申请建筑业企业资质升级、资质增项，在申请之日起前一年至资质许可决定作出前，将承包的工程转包或违法分包</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《建筑业企业资质管理规定》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233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企业申请建筑业企业资质升级、资质增项，在申请之日起前一年至资质许可决定作出前，违反国家工程建设强制性标准施工</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《建筑业企业资质管理规定》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234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企业申请建筑业企业资质升级、资质增项，在申请之日起前一年至资质许可决定作出前，恶意拖欠分包企业工程款或者劳务人员工资</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《建筑业企业资质管理规定》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235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企业申请建筑业企业资质升级、资质增项，在申请之日起前一年至资质许可决定作出前，隐瞒或谎报、拖延报告工程质量安全事故，破坏事故现场、阻碍对事故调查</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《建筑业企业资质管理规定》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236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企业申请建筑业企业资质升级、资质增项，在申请之日起前一年至资质许可决定作出前，按照国家法律、法规和标准规定需要持证上岗的现场管理人员和技术工种作业人员未取得证书上岗</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《建筑业企业资质管理规定》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237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企业申请建筑业企业资质升级、资质增项，在申请之日起前一年至资质许可决定作出前，未依法履行工程质量保修义务或拖延履行保修义务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《建筑业企业资质管理规定》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238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企业申请建筑业企业资质升级、资质增项，在申请之日起前一年至资质许可决定作出前，伪造、变造、倒卖、出租、出借或者以其他形式非法转让建筑业企业资质证书</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《建筑业企业资质管理规定》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239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企业申请建筑业企业资质升级、资质增项，在申请之日起前一年至资质许可决定作出前，发生过较大以上质量安全事故或者发生过两起以上一般质量安全事故</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《建筑业企业资质管理规定》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240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企业申请建筑业企业资质升级、资质增项，在申请之日起前一年至资质许可决定作出前，有其它违反法律、法规的行为</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《建筑业企业资质管理规定》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241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企业未按照规定及时办理建筑业企业资质证书变更手续</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《建筑业企业资质管理规定》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242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企业在接受监督检查时，不如实提供有关材料，或者拒绝、阻碍监督检查</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《建筑业企业资质管理规定》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243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企业未按照规定要求提供企业信用档案信息</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《建筑业企业资质管理规定》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244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未取得建筑业企业资质承接分包工程</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《房屋建筑和市政基础设施工程施工分包管理办法》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245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未取得施工许可证或者为规避办理施工许可证将工程项目分解后擅自施工</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《建筑工程施工许可管理办法》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246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建设单位伪造或者涂改施工许可证</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《建筑工程施工许可管理办法》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247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“安管人员”隐瞒有关情况或者提供虚假材料申请安全生产考核</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《建筑施工企业主要负责人、项目负责人和专职安全生产管理人员安全生产管理规定》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248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 xml:space="preserve">“安管人员”以欺骗、贿赂等不正当手段取得安全生产考核合格证书    </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《建筑施工企业主要负责人、项目负责人和专职安全生产管理人员安全生产管理规定》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249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“安管人员”涂改、倒卖、出租、出借或者以其他形式非法转让安全生产考核合格证书</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《建筑施工企业主要负责人、项目负责人和专职安全生产管理人员安全生产管理规定》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250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建筑施工企业未按规定开展“安管人员”安全生产教育培训考核，或者未按规定如实将考核情况记入安全生产教育培训档案</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《建筑施工企业主要负责人、项目负责人和专职安全生产管理人员安全生产管理规定》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251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建筑施工企业未按规定设立安全生产管理机构</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《建筑施工企业主要负责人、项目负责人和专职安全生产管理人员安全生产管理规定》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252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建筑施工企业未按规定配备专职安全生产管理人员</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《建筑施工企业主要负责人、项目负责人和专职安全生产管理人员安全生产管理规定》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253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危险性较大的分部分项工程施工时建筑施工企业未安排专职安全生产管理人员现场监督</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《建筑施工企业主要负责人、项目负责人和专职安全生产管理人员安全生产管理规定》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254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“安管人员”未取得安全生产考核合格证书</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《建筑施工企业主要负责人、项目负责人和专职安全生产管理人员安全生产管理规定》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255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“安管人员”未按规定办理证书变更</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《建筑施工企业主要负责人、项目负责人和专职安全生产管理人员安全生产管理规定》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256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主要负责人、项目负责人未按规定履行安全生产管理职责</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《建筑施工企业主要负责人、项目负责人和专职安全生产管理人员安全生产管理规定》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257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专职安全生产管理人员未按规定履行安全生产管理职责</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《建筑施工企业主要负责人、项目负责人和专职安全生产管理人员安全生产管理规定》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258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工程造价咨询企业在建筑工程计价活动中，出具有虚假记载、误导性陈述的工程造价成果文件</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《建筑工程施工发包与承包计价管理办法》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259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审查机构列入名录后不再符合规定条件</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《房屋建筑和市政基础设施工程施工图设计文件审查管理办法》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260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审查机构超出范围从事施工图审查</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《房屋建筑和市政基础设施工程施工图设计文件审查管理办法》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261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审查机构使用不符合条件审查人员</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《房屋建筑和市政基础设施工程施工图设计文件审查管理办法》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262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审查机构未按规定的内容进行审查</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《房屋建筑和市政基础设施工程施工图设计文件审查管理办法》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263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审查机构未按规定上报审查过程中发现的违法违规行为</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《房屋建筑和市政基础设施工程施工图设计文件审查管理办法》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264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审查机构未按规定填写审查意见告知书</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《房屋建筑和市政基础设施工程施工图设计文件审查管理办法》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265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审查机构未按规定在审查合格书和施工图上签字盖章</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《房屋建筑和市政基础设施工程施工图设计文件审查管理办法》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266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审查机构已出具审查合格书的施工图，仍有违反法律、法规和工程建设强制性标准</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《房屋建筑和市政基础设施工程施工图设计文件审查管理办法》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267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审查机构出具虚假审查合格书</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《房屋建筑和市政基础设施工程施工图设计文件审查管理办法》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268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审查人员在虚假审查合格书上签字</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《房屋建筑和市政基础设施工程施工图设计文件审查管理办法》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269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建设单位压缩合理审查周期的</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《房屋建筑和市政基础设施工程施工图设计文件审查管理办法》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270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建设单位提供不真实送审资料</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《房屋建筑和市政基础设施工程施工图设计文件审查管理办法》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271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建设单位对审查机构提出不符合法律、法规和工程建设强制性标准要求</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《房屋建筑和市政基础设施工程施工图设计文件审查管理办法》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272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建设单位在工程竣工验收合格之日起15日内未办理工程竣工验收备案</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《房屋建筑和市政基础设施工程竣工验收备案管理办法》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273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建设单位将备案机关决定重新组织竣工验收的工程，在重新组织竣工验收前，擅自使用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《房屋建筑和市政基础设施工程竣工验收备案管理办法》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274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建设单位采用虚假证明文件办理工程竣工验收备案</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《房屋建筑和市政基础设施工程竣工验收备案管理办法》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45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275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隐瞒有关情况或者提供虚假材料申请注册</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《中华人民共和国注册建筑师条例实施细则》                                                                                                            《注册建造师管理规定》                                                                                                                              《注册监理工程师管理规定》                                                                                                                          《勘察设计注册工程师管理规定》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39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276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以欺骗、贿赂等不正当手段取得注册证书和执业印章</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《中华人民共和国注册建筑师条例实施细则》</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38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277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出租单位、自购建筑起重机械的使用单位未按照规定办理备案</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《建筑起重机械安全监督管理规定》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38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278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出租单位、自购建筑起重机械的使用单位未按照规定办理注销手续</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《建筑起重机械安全监督管理规定》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279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出租单位、自购建筑起重机械的使用单位未按照规定建立建筑起重机械安全技术档案</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《建筑起重机械安全监督管理规定》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280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安装单位未按照安全技术标准及安装使用说明书等检查建筑起重机械及现场施工条件</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《建筑起重机械安全监督管理规定》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281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安装单位未制定建筑起重机械安装、拆卸工程生产安全事故应急救援预案</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《建筑起重机械安全监督管理规定》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96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282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安装单位未将建筑起重机械安装、拆卸工程专项施工方案，安装、拆卸人员名单，安装、拆卸时间等材料报施工总承包单位和监理单位审核后，告知工程所在地县级以上地方人民政府建设主管部门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《建筑起重机械安全监督管理规定》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322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283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安装单位未按照规定建立建筑起重机械安装、拆卸工程档案</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《建筑起重机械安全监督管理规定》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419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284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安装单位未按照建筑起重机械安装、拆卸工程专项施工方案及安全操作规程组织安装、拆卸作业</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《建筑起重机械安全监督管理规定》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38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285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使用单位未根据不同施工阶段、周围环境以及季节、气候的变化，对建筑起重机械采取相应的安全防护措施</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《建筑起重机械安全监督管理规定》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286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使用单位未制定建筑起重机械生产安全事故应急救援预案</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《建筑起重机械安全监督管理规定》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287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使用单位未设置相应的设备管理机构或者配备专职的设备管理人员</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《建筑起重机械安全监督管理规定》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288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建筑起重机械出现故障或者发生异常情况时，使用单位未立即停止使用，或未待消除故障和事故隐患后，再重新投入使用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《建筑起重机械安全监督管理规定》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289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使用单位未指定专职设备管理人员进行现场监督检查</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《建筑起重机械安全监督管理规定》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290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使用单位擅自在建筑起重机械上安装非原制造厂制造的标准节和附着装置</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《建筑起重机械安全监督管理规定》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291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施工总承包单位未向安装单位提供拟安装设备位置的基础施工资料，确保建筑起重机械进场安装、拆卸所需的施工条件</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《建筑起重机械安全监督管理规定》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292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施工总承包单位未审核安装单位、使用单位的资质证书、安全生产许可证和特种作业人员的特种作业操作资格证书</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《建筑起重机械安全监督管理规定》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293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施工总承包单位未审核安装单位制定的建筑起重机械安装、拆卸工程专项施工方案和生产安全事故应急救援预案</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《建筑起重机械安全监督管理规定》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294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施工总承包单位未审核使用单位制定的建筑起重机械生产安全事故应急救援预案</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《建筑起重机械安全监督管理规定》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295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施工现场有多台塔式起重机作业时，施工单位未组织制定并实施防止塔式起重机相互碰撞的安全措施</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《建筑起重机械安全监督管理规定》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296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监理单位未审核建筑起重机械特种设备制造许可证、产品合格证、制造监督检验证明、备案证明等文件</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《建筑起重机械安全监督管理规定》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297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监理单位未审核建筑起重机械安装单位、使用单位的资质证书、安全生产许可证和特种作业人员的特种作业操作资格证书</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《建筑起重机械安全监督管理规定》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298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监理单位未监督安装单位执行建筑起重机械安装、拆卸工程专项施工方案情况</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《建筑起重机械安全监督管理规定》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299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监理单位未监督检查建筑起重机械的使用情况</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《建筑起重机械安全监督管理规定》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300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建设单位未按照规定协调组织制定防止多台塔式起重机相互碰撞的安全措施</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《建筑起重机械安全监督管理规定》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301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接到监理单位报告后，建设单位未责令安装单位、使用单位立即停工整改</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《建筑起重机械安全监督管理规定》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302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建设单位未为勘察工作提供必要的现场工作条件或者未提供真实、可靠原始资料</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《建设工程勘察质量管理办法》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303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工程勘察企业未按照工程建设强制性标准进行勘察、弄虚作假、提供虚假成果资料</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《建设工程勘察质量管理办法》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304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工程勘察企业勘察文件没有责任人签字或者签字不全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《建设工程勘察质量管理办法》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305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工程勘察企业原始记录不按照规定记录或者记录不完整</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《建设工程勘察质量管理办法》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306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工程勘察企业不参加施工验槽</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《建设工程勘察质量管理办法》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307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项目完成后，工程勘察企业勘察文件不归档保存</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《建设工程勘察质量管理办法》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308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企业隐瞒有关情况或者提供虚假材料申请资质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《建设工程勘察设计资质管理规定》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309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企业以欺骗、贿赂等不正当手段取得资质证书</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《建设工程勘察设计资质管理规定》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310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企业不及时办理资质证书变更手续</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《建设工程勘察设计资质管理规定》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311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企业未按照规定提供信用档案信息</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《建设工程勘察设计资质管理规定》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312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企业涂改、倒卖、出租、出借或者以其他形式非法转让资质证书</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《建设工程勘察设计资质管理规定》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313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工程监理企业在监理过程中实施商业贿赂</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《工程监理企业资质管理规定》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314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工程监理企业涂改、伪造、出借、转让工程监理企业资质证书</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《工程监理企业资质管理规定》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315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工程监理企业不及时办理资质证书变更手续</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《工程监理企业资质管理规定》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316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工程监理企业未按照要求提供工程监理企业信用档案信息</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《工程监理企业资质管理规定》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317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以欺骗、贿赂等不正当手段取得注册证书</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《注册建造师管理规定》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318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未取得注册证书和执业印章，担任大中型建设工程项目施工单位项目负责人，或者以注册建造师的名义从事相关活动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《注册建造师管理规定》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319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注册建造师、注册造价工程师、注册监理工程师未办理变更注册而继续执业</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《注册建造师管理规定》                                                                                                                              《注册造价工程师管理办法》                                                                                                                              《注册监理工程师管理规定》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320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注册建造师在执业活动中不履行注册建造师义务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《注册建造师管理规定》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321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注册建造师在执业活动中索贿、受贿或者谋取合同约定费用外的其他利益</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《注册建造师管理规定》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322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注册建造师在执业活动中在执业过程中实施商业贿赂</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《注册建造师管理规定》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323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注册建造师在执业活动中签署有虚假记载等不合格的文件</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《注册建造师管理规定》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324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注册建造师在执业活动中允许他人以自己的名义从事执业活动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《注册建造师管理规定》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325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注册建造师在执业活动中同时在两个或者两个以上单位受聘或者执业</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《注册建造师管理规定》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326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注册建造师在执业活动中涂改、倒卖、出租、出借或以其他形式非法转让资格证书、注册证书和执业印章</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《注册建造师管理规定》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327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注册建造师在执业活动中超出执业范围和聘用单位业务范围内从事执业活动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《注册建造师管理规定》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328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注册建造师在执业活动中法律、法规、规章禁止的其他行为</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《注册建造师管理规定》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329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注册建造师或者其聘用单位未按照要求提供注册建造师信用档案信息</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《注册建造师管理规定》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330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聘用单位为申请人提供虚假注册材料</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《注册建造师管理规定》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《注册造价工程师管理办法》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59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331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未经注册而以注册造价工程师的名义从事工程造价活动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《注册造价工程师管理办法》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371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332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注册造价工程师不履行注册造价工程师义务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《注册造价工程师管理办法》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333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注册造价工程师在执业过程中，索贿、受贿或者谋取合同约定费用外的其他利益</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《注册造价工程师管理办法》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334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注册造价工程师在执业过程中实施商业贿赂</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《注册造价工程师管理办法》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335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注册造价工程师签署有虚假记载、误导性陈述的工程造价成果文件</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《注册造价工程师管理办法》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336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注册造价工程师以个人名义承接工程造价业务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《注册造价工程师管理办法》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337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注册造价工程师允许他人以自己名义从事工程造价业务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《注册造价工程师管理办法》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338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注册造价工程师同时在两个或者两个以上单位执业</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《注册造价工程师管理办法》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339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注册造价工程师涂改、倒卖、出租、出借或者以其他形式非法转让注册证书或者执业印章</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《注册造价工程师管理办法》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340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注册造价工程师有法律、法规、规章禁止的其他行为</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《注册造价工程师管理办法》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341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注册造价工程师或者其聘用单位未按照要求提供造价工程师信用档案信息</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《注册造价工程师管理办法》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342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未取得工程造价咨询企业资质从事工程造价咨询活动或者超越资质等级承接工程造价咨询业务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《工程造价咨询企业管理办法》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343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工程造价咨询企业不及时办理资质证书变更手续</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《工程造价咨询企业管理办法》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344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工程造价咨询企业涂改、倒卖、出租、出借资质证书，或者以其他形式非法转让资质证书</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《工程造价咨询企业管理办法》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345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工程造价咨询企业超越资质等级业务范围承接工程造价咨询业务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《工程造价咨询企业管理办法》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346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工程造价咨询企业同时接受招标人和投标人或两个以上投标人对同一工程项目的工程造价咨询业务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《工程造价咨询企业管理办法》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347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工程造价咨询企业以给予回扣、恶意压低收费等方式进行不正当竞争</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《工程造价咨询企业管理办法》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348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工程造价咨询企业转包承接的工程造价咨询业务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《工程造价咨询企业管理办法》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349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法律、法规禁止的其他行为</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《工程造价咨询企业管理办法》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350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擅自使用没有国家技术标准又未经审定的新技术、新材料</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《房屋建筑工程抗震设防管理规定》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351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擅自变动或者破坏房屋建筑抗震构件、隔震装置、减震部件或者地震反应观测系统等抗震设施</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《房屋建筑工程抗震设防管理规定》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352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鉴定需抗震加固的房屋建筑工程在进行装修改造时未进行抗震加固</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《房屋建筑工程抗震设防管理规定》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353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未经注册，擅自以注册监理工程师的名义从事工程监理及相关业务活动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《注册监理工程师管理规定》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354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注册监理工程师在执业活动中以个人名义承接业务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《注册监理工程师管理规定》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355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注册监理工程师在执业活动中涂改、倒卖、出租、出借或者以其他形式非法转让注册证书或者执业印章</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《注册监理工程师管理规定》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356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注册监理工程师在执业活动中泄露执业中应当保守的秘密并造成严重后果</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《注册监理工程师管理规定》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357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注册监理工程师在执业活动中超出规定执业范围或者聘用单位业务范围从事执业活动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《注册监理工程师管理规定》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358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 xml:space="preserve">注册监理工程师在执业活动中弄虚作假提供执业活动成果    </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《注册监理工程师管理规定》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359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注册监理工程师在执业活动中同时受聘于两个或者两个以上的单位，从事执业活动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《注册监理工程师管理规定》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360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注册监理工程师在执业活动中有其它违反法律、法规、规章的行为</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《注册监理工程师管理规定》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361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建设单位未按照建筑节能强制性标准委托设计，擅自修改节能设计文件，明示或暗示设计单位、施工单位违反建筑节能设计强制性标准，降低工程建设质量</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《民用建筑节能管理规定》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362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设计单位未按照建筑节能强制性标准进行设计,且未进行修改；两年内，累计三项工程未按照建筑节能强制性标准设计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《民用建筑节能管理规定》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363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施工单位未按照节能设计进行施工；两年内，累计三项工程未按照符合节能标准要求的设计进行施工</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《民用建筑节能管理规定》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364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未取得相应的资质，擅自承担本办法规定的检测业务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《建设工程质量检测管理办法》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365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检测机构隐瞒有关情况或者提供虚假材料申请资质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《建设工程质量检测管理办法》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366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以欺骗、贿赂等不正当手段取得资质证书</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《建设工程质量检测管理办法》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367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检测机构超出资质范围从事检测活动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《建设工程质量检测管理办法》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368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检测机构涂改、倒卖、出租、出借、转让资质证书</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《建设工程质量检测管理办法》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369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检测机构使用不符合条件的检测人员</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《建设工程质量检测管理办法》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370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检测机构未按规定上报发现的违法违规行为和检测不合格事项</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《建设工程质量检测管理办法》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371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检测机构未按规定在检测报告上签字盖章</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《建设工程质量检测管理办法》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372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检测机构未按照国家有关工程建设强制性标准进行检测</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《建设工程质量检测管理办法》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373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检测机构档案资料管理混乱，造成检测数据无法追溯</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《建设工程质量检测管理办法》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374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检测机构转包检测业务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《建设工程质量检测管理办法》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375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检测机构伪造检测数据，出具虚假检测报告或鉴定结论</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《建设工程质量检测管理办法》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376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委托方委托未取得相应资质的检测机构进行检测</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《建设工程质量检测管理办法》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377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委托方明示或暗示检测机构出具虚假检测报告，篡改或伪造检测报告</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《建设工程质量检测管理办法》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378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委托方弄虚作假送检试样</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《建设工程质量检测管理办法》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379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以欺骗、贿赂等不正当手段取得注册证书</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《勘察设计注册工程师管理规定》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380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注册工程师在执业活动中以个人名义承接业务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《勘察设计注册工程师管理规定》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381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注册工程师在执业活动中涂改、出租、出借或者以形式非法转让注册证书或者执业印章</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《勘察设计注册工程师管理规定》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382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注册工程师在执业活动中泄露执业中应当保守的秘密并造成严重后果</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《勘察设计注册工程师管理规定》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383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注册工程师在执业活动中超出本专业规定范围或者聘用单位业务范围从事执业活动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《勘察设计注册工程师管理规定》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384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注册工程师在执业活动中弄虚作假提供执业活动成果</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《勘察设计注册工程师管理规定》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385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注册工程师在执业活动中有其它违反法律、法规、规章的行为</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《勘察设计注册工程师管理规定》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386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取得安全生产许可证的建筑施工企业，发生重大安全事故</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《建筑施工企业安全生产许可证管理规定》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387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建筑施工企业未取得安全生产许可证擅自从事建筑施工活动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《建筑施工企业安全生产许可证管理规定》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388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安全生产许可证有效期满未办理延期手续，继续从事建筑施工活动；逾期仍不办理延期手续，继续从事建筑施工活动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《建筑施工企业安全生产许可证管理规定》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389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建筑施工企业转让安全生产许可证；接受转让安全生产许可证</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《建筑施工企业安全生产许可证管理规定》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390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建筑施工企业冒用安全生产许可证或使用伪造的安全生产许可证</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《建筑施工企业安全生产许可证管理规定》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391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建筑施工企业隐瞒有关情况或者提供虚假材料申请安全生产许可证</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《建筑施工企业安全生产许可证管理规定》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392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建筑施工企业以欺骗、贿赂等不正当手段取得安全生产许可证</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《建筑施工企业安全生产许可证管理规定》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393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工程监理单位违反强制性标准规定，将不合格的建设工程以及建筑材料、建筑构配件和设备按照合格签字的</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《实施工程建设强制性标准监督规定》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394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施工单位在工程竣工验收后，不向建设单位出具质量保修书</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《房屋建筑工程质量保修办法》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395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施工单位关于质量保修的内容、期限违反规定</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《房屋建筑工程质量保修办法》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396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施工单位不履行保修义务或者拖延履行保修义务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《房屋建筑工程质量保修办法》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397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未按有关规范、标准、规定进行设计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《城市居民住宅安全防范设施建设管理规定》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398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擅自改动设计文件中安全防范设施内容的</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《城市居民住宅安全防范设施建设管理规定》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399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必须进行招标的项目不招标；将必须进行招标的项目化整为零或者以其他任何方式规避招标</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400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招标代理机构泄露应当保密的与招标投标活动有关的情况和资料；或者与招标人、投标人串通损害国家利益、社会公共利益或者他人合法权益</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401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招标人以不合理的条件限制或者排斥潜在投标人；对潜在投标人实行歧视待遇；强制要求投标人组成联合体共同投标；或者限制投标人之间竞争</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                                                                              《建筑工程设计招标投标管理办法》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402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依法必须进行招标的项目的招标人向他人透露已获取招标文件的潜在投标人的名称、数量或者可能影响公平竞争的有关招标投标的其他情况；或者泄露标底</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403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投标人相互串通投标或者与招标人串通投标；投标人以向招标人或者评标委员会成员行贿的手段谋取中标</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《中华人民共和国招标投标法实施条例》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404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投标人以他人名义投标或者以其他方式弄虚作假，骗取中标，且尚未构成犯罪</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《中华人民共和国招标投标法实施条例》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405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依法必须进行招标的项目，招标人与投标人就投标价格、投标方案等实质性内容进行谈判</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406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评标委员会成员收受投标人的财物或者其他好处，评标委员会成员或者参加评标的有关工作人员向他人透露对投标文件的评审和比较、中标候选人的推荐以及与评标有关的其他情况</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                                                                                                           《建筑工程设计招标投标管理办法》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407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招标人在评标委员会依法推荐的中标候选人以外确定中标人；依法必须进行招标的项目在所有投标被评标委员会否决后自行确定中标人</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408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中标人将中标项目转让给他人；将中标项目肢解后分别转让给他人；违反招标投标法和招标投标法实施条例规定将中标项目的部分主体、关键性工作分包给他人；或者分包人再次分包</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《中华人民共和国招标投标法实施条例》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409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招标人与中标人不按照招标文件和中标人的投标文件订立合同，或者招标人、中标人订立背离合同实质性内容的协议</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《中华人民共和国招标投标法实施条例》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410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中标人不按照与招标人订立的合同履行义务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411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依法应当公开招标的项目招标人不按照规定在指定媒介发布资格预审公告或者招标公告</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《中华人民共和国招标投标法实施条例》                                                                                                                                 《工程建设项目货物招标投标办法》                                                                                                                                                           《工程建设项目施工招标投标办法》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412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招标人在不同媒介发布的同一招标项目的资格预审公告或者招标公告的内容不一致，影响潜在投标人申请资格预审或者投标</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《中华人民共和国招标投标法实施条例》                                                                                                                     《工程建设项目勘察设计招标投标办法》                                                                                                                                   《工程建设项目施工招标投标办法》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413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依法必须进行招标的项目的招标人不按照规定发布资格预审公告或者招标公告，构成规避招标</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《中华人民共和国招标投标法实施条例》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414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依法应当公开招标而招标人采用邀请招标</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《中华人民共和国招标投标法实施条例》                                                                                                              《工程建设项目勘察设计招标投标办法》                                                                                                                                 《工程建设项目货物招标投标办法》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415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招标文件、资格预审文件的发售、澄清、修改的时限，或者确定的提交资格预审申请文件、投标文件的时限不符合招标投标法和本条例规定</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《中华人民共和国招标投标法实施条例》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416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招标人接受未通过资格预审的单位或者个人参加投标</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《中华人民共和国招标投标法实施条例》                                                                                                                          《工程建设项目勘察设计招标投标办法》                                                                                                                                   《工程建设项目货物招标投标办法》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417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招标人接受应当拒收的投标文件</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《中华人民共和国招标投标法实施条例》                                                                                                                           《工程建设项目勘察设计招标投标办法》                                                                                                                                         《工程建设项目货物招标投标办法》                                                                                                                                                              《工程建设项目施工招标投标办法》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418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招标代理机构在所代理的招标项目中投标、代理投标或者向该项目投标人提供咨询，接受委托编制标底的中介机构参加受托编制标底项目的投标或者为该项目的投标人编制投标文件、提供咨询</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《中华人民共和国招标投标法实施条例》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419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招标人超过规定的比例收取投标保证金、履约保证金或者不按照规定退还投标保证金及银行同期存款利息</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《中华人民共和国招标投标法实施条例》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420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出让或者出租资格、资质证书供他人投标</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《中华人民共和国招标投标法实施条例》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421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依法必须进行招标的项目的招标人不按照规定组建评标委员会，或者确定、更换评标委员会成员违反招标投标法和招标投标法实施条例规定</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《中华人民共和国招标投标法实施条例》                                                                                                                         《工程建设项目勘察设计招标投标办法》                                                                                                                                      《工程建设项目施工招标投标办法》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422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评标委员会成员应当回避而不回避</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《中华人民共和国招标投标法实施条例》</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《工程建设项目勘察设计招标投标办法》                                                                                                                                 《工程建设项目货物招标投标办法》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423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评标委员会成员擅离职守</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《中华人民共和国招标投标法实施条例》</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 xml:space="preserve">《工程建设项目勘察设计招标投标办法》                                                                                                                                 《工程建设项目货物招标投标办法》  </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424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评标委员会成员不按照招标文件规定的评标标准和方法评标</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《中华人民共和国招标投标法实施条例》</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《工程建设项目勘察设计招标投标办法》                                                                                                                                   《工程建设项目货物招标投标办法》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 xml:space="preserve"> </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425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评标委员会成员私下接触投标人</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《中华人民共和国招标投标法实施条例》《工程建设项目勘察设计招标投标办法》                                                                                                                                       《工程建设项目货物招标投标办法》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426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评标委员会成员向招标人征询确定中标人的意向或者接受任何单位或者个人明示或者暗示提出的倾向或者排斥特定投标人的要求</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《中华人民共和国招标投标法实施条例》《工程建设项目勘察设计招标投标办法》                                                                                                                                      《工程建设项目货物招标投标办法》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427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评标委员会成员对依法应当否决的投标不提出否决意见</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 xml:space="preserve">《中华人民共和国招标投标法实施条例》《工程建设项目勘察设计招标投标办法》                                                                                                                                 《工程建设项目货物招标投标办法》  </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428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评标委员会成员暗示或者诱导投标人作出澄清、说明或者接受投标人主动提出的澄清、说明</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《中华人民共和国招标投标法实施条例》</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《工程建设项目勘察设计招标投标办法》                                                                                                                      《工程建设项目货物招标投标办法》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429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评标委员会成员有其他不客观、不公正履行职务的行为</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《中华人民共和国招标投标法实施条例》</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 xml:space="preserve">《工程建设项目勘察设计招标投标办法》                                                                                                                                 《工程建设项目货物招标投标办法》 </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430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评标委员会成员收受投标人的财物或者其他好处</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《中华人民共和国招标投标法实施条例》                                                                                                                  《工程建设项目施工招标投标办法》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431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依法必须进行招标的项目的招标人无正当理由不发出中标通知书</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《中华人民共和国招标投标法实施条例》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432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依法必须进行招标的项目的招标人不按照规定确定中标人</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《中华人民共和国招标投标法实施条例》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433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依法必须进行招标的项目的招标人中标通知书发出后无正当理由改变中标结果</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《中华人民共和国招标投标法实施条例》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434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依法必须进行招标的项目的招标人无正当理由不与中标人订立合同</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《中华人民共和国招标投标法实施条例》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435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依法必须进行招标的项目的招标人在订立合同时向中标人提出附加条件</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《中华人民共和国招标投标法实施条例》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436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中标人无正当理由不与招标人订立合同，在签订合同时向招标人提出附加条件，或者不按照招标文件要求提交履约保证金</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《中华人民共和国招标投标法实施条例》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437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招标人和中标人不按照招标文件和中标人的投标文件订立合同，合同的主要条款与招标文件、中标人的投标文件的内容不一致，或者招标人、中标人订立背离合同实质性内容的协议</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《中华人民共和国招标投标法实施条例》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438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招标人不按照规定对异议作出答复，继续进行招标投标活动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《中华人民共和国招标投标法实施条例》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439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招标人澄清、修改招标文件的时限，或者确定的提交投标文件的时限不符合规定</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《建筑工程设计招标投标管理办法》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440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招标人不按照规定组建评标委员会，或者评标委员会成员的确定违反规定</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《建筑工程设计招标投标管理办法》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441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招标人无正当理由未按规定发出中标通知书</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《建筑工程设计招标投标管理办法》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442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招标人不按照规定确定中标人</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《建筑工程设计招标投标管理办法》                                                                                                     《工程建设项目货物招标投标办法》                                                                                                                                                      《工程建设项目施工招标投标办法》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443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中标通知书发出后招标人无正当理由改变中标结果</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《建筑工程设计招标投标管理办法》                                                                                                    《工程建设项目货物招标投标办法》                                                                                                                                                      《工程建设项目施工招标投标办法》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444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招标人无正当理由未按规定与中标人订立合同</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《建筑工程设计招标投标管理办法》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445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招标人在订立合同时向中标人提出附加条件</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《建筑工程设计招标投标管理办法》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446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投标人以他人名义投标或者以其他方式弄虚作假，骗取中标，且尚未构成犯罪</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《建筑工程设计招标投标管理办法》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447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评标委员会成员违反规定，对应当否决的投标不提出否决意见</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《建筑工程设计招标投标管理办法》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448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依法必须公开招标的项目招标人不按照规定在指定媒介发布资格预审公告或者招标公告</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《工程建设项目勘察设计招标投标办法》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 xml:space="preserve"> </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449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招标文件、资格预审文件的发售、澄清、修改的时限，或者确定的提交资格预审申请文件、投标文件的时限不符合招标投标法和招标投标法实施条例规定</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《工程建设项目勘察设计招标投标办法》                                                                                                                                   《工程建设项目货物招标投标办法》                                                                                                                                                          《工程建设项目施工招标投标办法》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450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依法必须进行招标的项目的投标人以他人名义投标，利用伪造、转让、租借、无效的资质证书参加投标，或者请其他单位在自己编制的投标文件上代为签字盖章，弄虚作假，骗取中标，且未构成犯罪</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《工程建设项目勘察设计招标投标办法》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 xml:space="preserve"> </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451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招标人以抽签、摇号等不合理的条件限制或者排斥资格预审合格的潜在投标人参加投标，对潜在投标人实行歧视待遇的，强制要求投标人组成联合体共同投标，或者限制投标人之间竞争</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《工程建设项目勘察设计招标投标办法》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452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招标人与中标人不按照招标文件和中标人的投标文件订立合同</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《工程建设项目勘察设计招标投标办法》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453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招标人在不同媒介发布的同一招标项目的资格预审公告或者招标公告内容不一致，影响潜在投标人申请资格预审或者投标</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《工程建设项目勘察设计招标投标办法》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454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招标人无正当理由不发出中标通知书</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《工程建设项目货物招标投标办法》                                                                                                                                                         《工程建设项目施工招标投标办法》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455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招标人无正当理由不与中标人订立合同</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《工程建设项目货物招标投标办法》                                                                                                                                                       《工程建设项目施工招标投标办法》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456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在订立合同时招标人向中标人提出附加条件</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《工程建设项目货物招标投标办法》                                                                                                                                                         《工程建设项目施工招标投标办法》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457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中标通知书发出后，中标人放弃中标项目的，无正当理由不与招标人签订合同的，在签订合同时向招标人提出附加条件或者更改合同实质性内容的，或者拒不提交所要求的履约保证金</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《工程建设项目货物招标投标办法》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458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依法必须进行招标的项目而不招标的，将必须进行招标的项目化整为零或者以其他任何方式规避招标</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《工程建设项目施工招标投标办法》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459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招标代理机构违法泄露应当保密的与招标投标活动有关的情况和资料，或者与招标人、投标人串通损害国家利益、社会公共利益或者他人合法权益</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《工程建设项目施工招标投标办法》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460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招标人以不合理的条件限制或者排斥潜在投标人，对潜在投标人实行歧视待遇，强制要求投标人组成联合体共同投标，或者限制投标人之间竞争</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《工程建设项目施工招标投标办法》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461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依法必须进行招标项目的招标人向他人透露已获取招标文件的潜在投标人的名称、数量或者可能影响公平竞争的有关招标投标的其他情况，或者泄露标底</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《工程建设项目施工招标投标办法》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462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招标人依法应当公开招标而采用邀请招标</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《工程建设项目施工招标投标办法》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463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投标人相互串通投标或者与招标人串通投标，投标人以向招标人或者评标委员会成员行贿的手段谋取中标</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《工程建设项目施工招标投标办法》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464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投标人以他人名义投标或者以其他方式弄虚作假，骗取中标的，尚未构成犯罪</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《工程建设项目施工招标投标办法》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465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依法必须进行招标的项目，招标人违法与投标人就投标价格、投标方案等实质性内容进行谈判</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《工程建设项目施工招标投标办法》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466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评标委员会成员应当回避而不回避，擅离职守，不按照招标文件规定的评标标准和方法评标，私下接触投标人，向招标人征询确定中标人的意向或者接受任何单位或者个人明示或者暗示提出的倾向或者排斥特定投标人的要求，对依法应当否决的投标不提出否决意见，暗示或者诱导投标人作出澄清、说明或者接受投标人主动提出的澄清、说明，或者有其他不能客观公正地履行职责行为</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《工程建设项目施工招标投标办法》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467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中标通知书发出后，中标人放弃中标项目；无正当理由不与招标人签订合同；在签订合同时向招标人提出附加条件或者更改合同实质性内容；或者拒不提交所要求的履约保证金</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《工程建设项目施工招标投标办法》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468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中标人将中标项目转让给他人，将中标项目肢解后分别转让给他人，违法将中标项目的部分主体、关键性工作分包给他人，或者分包人再次分包</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《工程建设项目施工招标投标办法》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469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招标人与中标人不按照招标文件和中标人的投标文件订立合同；合同的主要条款与招标文件、中标人的投标文件的内容不一致，或者招标人、中标人订立背离合同实质性内容的协议；或者招标人擅自提高履约保证金或强制要求中标人垫付中标项目建设资金</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《工程建设项目施工招标投标办法》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470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工程招标投标管理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中标人不按照与招标人订立的合同履行义务，情节严重</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《工程建设项目施工招标投标办法》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471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历史文化名城名镇名村保护</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开山、采石、开矿等破坏传统格局和历史风貌</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《历史文化名城名镇名村保护条例》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472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历史文化名城名镇名村保护</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占用保护规划确定保留的园林绿地、河湖水系、道路等</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《历史文化名城名镇名村保护条例》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473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历史文化名城名镇名村保护</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修建生产、储存爆炸性、易燃性、放射性、毒害性、腐蚀性物品的工厂、仓库等</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《历史文化名城名镇名村保护条例》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474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历史文化名城名镇名村保护</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在历史建筑上刻划、涂污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《历史文化名城名镇名村保护条例》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475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历史文化名城名镇名村保护</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未经城乡规划主管部门会同同级文物主管部门批准拆除历史建筑以外的建筑物、构筑物或者其他设施；或者经批准但是在活动过程中对传统格局、历史风貌或者历史建筑构成破坏性影响</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《历史文化名城名镇名村保护条例》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476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历史文化名城名镇名村保护</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未经城乡规划主管部门会同同级文物主管部门批准对历史建筑进行外部修缮装饰、添加设施以及改变历史建筑的结构或者使用性质；或者经批准但是在活动过程中对传统格局、历史风貌或者历史建筑构成破坏性影响</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《历史文化名城名镇名村保护条例》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477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历史文化名城名镇名村保护</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在改变园林绿地、河湖水系等自然状态的活动中，对传统格局、历史风貌或者历史建筑构成破坏性影响</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《历史文化名城名镇名村保护条例》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478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历史文化名城名镇名村保护</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在核心保护范围内进行影视摄制、举办大型群众性活动中，对传统格局、历史风貌或者历史建筑构成破坏性影响</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《历史文化名城名镇名村保护条例》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479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历史文化名城名镇名村保护</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在其他影响传统格局、历史风貌或者历史建筑的活动中，构成破坏性影响</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《历史文化名城名镇名村保护条例》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38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480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历史文化名城名镇名村保护</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损坏或者擅自迁移、拆除历史建筑</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《历史文化名城名镇名村保护条例》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316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481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历史文化名城名镇名村保护</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擅自设置、移动、涂改或者损毁历史文化街区、名镇、名村标志牌</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《历史文化名城名镇名村保护条例》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4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482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历史文化名城名镇名村保护</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6"/>
                <w:szCs w:val="16"/>
                <w:highlight w:val="none"/>
              </w:rPr>
              <w:t>在历史文化名城、名镇、名村保护范围内，开山、采石、开矿等破坏传统格局和历史风貌，占用保护规划确定保留的园林绿地、河湖水系、道路等，修建生产、储存爆炸性、易燃性、放射性、毒害性、腐蚀性物品的工厂、仓库等，逾期不恢复原状或者不采取其他补救措施</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5.强制决定；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《历史文化名城名镇名村保护条例》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1.除强制决定外其他内容：长期公开（动态调整）；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2.强制决定：20个工作日内。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322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483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历史文化名城名镇名村保护</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未经城乡规划主管部门会同同级文物主管部门批准，改变园林绿地、河湖水系等自然状态，进行影视摄制、举办大型群众性活动，拆除历史建筑以外的建筑物、构筑物或者其他设施，对历史建筑进行外部修缮装饰、添加设施以及改变历史建筑的结构或者使用性质，其他影响传统格局、历史风貌或者历史建筑，逾期不恢复原状或者不采取其他补救措施</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5.强制决定；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《历史文化名城名镇名村保护条例》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1.除强制决定外其他内容：长期公开（动态调整）；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2.强制决定：20个工作日内。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484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历史文化名城名镇名村保护</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损坏或者擅自迁移、拆除历史建筑，逾期不恢复原状或者不采取其他补救措施</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5.强制决定；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《历史文化名城名镇名村保护条例》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1.除强制决定外其他内容：长期公开（动态调整）；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2.强制决定：20个工作日内。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485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绿化管理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 xml:space="preserve">损坏城市树木花草    </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《城市绿化条例》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486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绿化管理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擅自砍伐城市树木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《城市绿化条例》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487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绿化管理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砍伐、擅自迁移古树名木或者因养护不善致使古树名木受到损伤或者死亡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《城市绿化条例》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自然资源局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488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绿化管理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损坏城市绿化设施</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《城市绿化条例》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489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绿化管理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未经同意擅自占用城市绿化用地</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《城市绿化条例》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490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市容环境卫生管理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随地吐痰、便溺，乱扔果皮、纸屑和烟头等废弃物</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《城市市容和环境卫生管理条例》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491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市容环境卫生管理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在城市建筑物、设施以及树木上涂写、刻画或者未经批准张挂、张贴宣传品等</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《城市市容和环境卫生管理条例》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492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市容环境卫生管理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在城市人民政府规定的街道的临街建筑物的阳台和窗外，堆放、吊挂有碍市容的物品</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《城市市容和环境卫生管理条例》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38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493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市容环境卫生管理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不按规定的时间、地点、方式，倾倒垃圾、粪便</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《城市市容和环境卫生管理条例》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9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494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市容环境卫生管理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不履行卫生责任区清扫保洁义务或者不按规定清运、处理垃圾和粪便</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《城市市容和环境卫生管理条例》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21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495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市容环境卫生管理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运输液体、散装货物不作密封、包扎、覆盖，造成泄漏、遗撒</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《城市市容和环境卫生管理条例》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496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市容环境卫生管理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未经城市人民政府市容环境卫生行政主管部门同意，擅自设置大型户外广告，影响市容</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《城市市容和环境卫生管理条例》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497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市容环境卫生管理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未经城市人民政府市容环境卫生行政主管部门批准，擅自在街道两侧和公共场地堆放物料，搭建建筑物、构筑物或者其他设施，影响市容</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《城市市容和环境卫生管理条例》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498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市容环境卫生管理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不符合城市容貌标准、环境卫生标准的建筑物或者设施</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《城市市容和环境卫生管理条例》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499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市容环境卫生管理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单位和个人未按规定缴纳城市生活垃圾处理费</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《城市生活垃圾管理办法》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500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市容环境卫生管理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随意倾倒、抛洒、堆放城市生活垃圾</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《城市生活垃圾管理办法》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501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市容环境卫生管理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从事城市生活垃圾经营性清扫、收集、运输的企业在运输过程中沿途丢弃、遗撒生活垃圾</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《城市生活垃圾管理办法》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502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市容环境卫生管理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将建筑垃圾混入生活垃圾</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《城市建筑垃圾管理规定》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503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市容环境卫生管理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将危险废物混入建筑垃圾</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《城市建筑垃圾管理规定》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504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市容环境卫生管理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 xml:space="preserve">擅自设立弃置场受纳建筑垃圾    </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《城市建筑垃圾管理规定》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505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市容环境卫生管理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建筑垃圾储运消纳场受纳工业垃圾、生活垃圾和有毒有害垃圾</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《城市建筑垃圾管理规定》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506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市容环境卫生管理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施工单位未及时清运工程施工过程中产生的建筑垃圾，造成环境污染</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《城市建筑垃圾管理规定》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507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市容环境卫生管理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施工单位将建筑垃圾交给个人或者未经核准从事建筑垃圾运输的单位处置</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《城市建筑垃圾管理规定》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508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市容环境卫生管理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处置建筑垃圾的单位在运输建筑垃圾过程中沿途丢弃、遗撒建筑垃圾</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《城市建筑垃圾管理规定》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509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市容环境卫生管理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涂改、倒卖、出租、出借或者以其他形式非法转让城市建筑垃圾处置核准文件</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《城市建筑垃圾管理规定》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75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510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市容环境卫生管理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未经核准擅自处置建筑垃圾</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《城市建筑垃圾管理规定》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46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511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市容环境卫生管理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处置超出核准范围的建筑垃圾</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《城市建筑垃圾管理规定》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346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512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市容环境卫生管理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任何单位和个人随意倾倒、抛撒或者堆放建筑垃圾</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《城市建筑垃圾管理规定》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17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513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市容环境卫生管理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在运输过程中沿途丢弃、遗撒生活垃圾</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《中华人民共和国固体废物污染环境防治法》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514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市容环境卫生管理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对涉嫌从事无照经营的场所，予以查封；对涉嫌用于无照经营的工具、设备、原材料、产品（商品）等物品，予以查封、扣押</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5.强制决定；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《无证无照经营查处办法》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1.除强制决定外其他内容：长期公开（动态调整）；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2.强制决定：20个工作日内。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lang w:eastAsia="zh-CN"/>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515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未取得设计、施工资格或者未按照资质等级承担城市道路的设计、施工任务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《城市道路管理条例》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lang w:eastAsia="zh-CN"/>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516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未按照城市道路设计、施工技术规范设计、施工</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《城市道路管理条例》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lang w:eastAsia="zh-CN"/>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517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未按照设计图纸施工或者擅自修改图纸</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《城市道路管理条例》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lang w:eastAsia="zh-CN"/>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518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擅自使用未经验收或者验收不合格的城市道路</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《城市道路管理条例》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lang w:eastAsia="zh-CN"/>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519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承担城市道路养护、维修的单位未定期对城市道路进行养护、维修或者未按照规定的期限修复竣工，并拒绝接受市政工程行政主管部门监督、检查</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《城市道路管理条例》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lang w:eastAsia="zh-CN"/>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520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未对设在城市道路上的各种管线的检查井、箱盖或者城市道路附属设施的缺损及时补缺或者修复</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《城市道路管理条例》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521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未在城市道路施工现场设置明显标志和安全防围设施</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《城市道路管理条例》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lang w:eastAsia="zh-CN"/>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47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522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占用城市道路期满或者挖掘城市道路后，不及时清理现场</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《城市道路管理条例》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22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523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紧急抢修埋设在城市道路下的管线，不按照规定补办批准手续</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《城市道路管理条例》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301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524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未按照批准的位置、面积、期限占用或者挖掘城市道路，或者需要移动位置、扩大面积、延长时间，未提前办理变更审批手续</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《城市道路管理条例》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38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525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擅自占用或者挖掘城市道路</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《城市道路管理条例》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38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526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履带车、铁轮车或者超重、超高、超长车辆擅自在城市道路上行驶</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《城市道路管理条例》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38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527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机动车在桥梁或者非指定的城市道路上试刹车</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《城市道路管理条例》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528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擅自在桥梁或者路灯设施上设置广告牌或者其他挂浮物</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《城市道路管理条例》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529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其他损害、侵占城市道路的行为</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《城市道路管理条例》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1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530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未取得燃气经营许可证从事燃气经营活动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《城镇燃气管理条例》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76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531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燃气经营者不按照燃气经营许可证的规定从事燃气经营活动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《城镇燃气管理条例》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368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532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燃气经营者拒绝向市政燃气管网覆盖范围内符合用气条件的单位或者个人供气</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《城镇燃气管理条例》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7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533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燃气经营者倒卖、抵押、出租、出借、转让、涂改燃气经营许可证</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《城镇燃气管理条例》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534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燃气经营者未履行必要告知义务擅自停止供气、调整供气量，或者未经审批擅自停业或者歇业</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《城镇燃气管理条例》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535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燃气经营者向未取得燃气经营许可证的单位或者个人提供用于经营的燃气</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《城镇燃气管理条例》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536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燃气经营者在不具备安全条件的场所储存燃气</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《城镇燃气管理条例》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537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燃气经营者要求燃气用户购买其指定的产品或者接受其提供的服务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《城镇燃气管理条例》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538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燃气经营者未向燃气用户持续、稳定、安全供应符合国家质量标准的燃气，或者未对燃气用户的燃气设施定期进行安全检查</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《城镇燃气管理条例》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36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539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擅自为非自有气瓶充装燃气或者销售未经许可的充装单位充装的瓶装燃气</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《城镇燃气管理条例》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36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540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销售充装单位擅自为非自有气瓶充装的瓶装燃气</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《城镇燃气管理条例》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7303"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541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冒用其他企业名称或者标识从事燃气经营、服务活动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《城镇燃气管理条例》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425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542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燃气经营者未按照国家有关工程建设标准和安全生产管理的规定，设置燃气设施防腐、绝缘、防雷、降压、隔离等保护装置和安全警示标志；或者未定期进行巡查、检测、维修和维护；或者未采取措施及时消除燃气安全事故隐患</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《城镇燃气管理条例》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3506"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543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燃气用户及相关单位和个人擅自操作公用燃气阀门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《城镇燃气管理条例》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38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544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燃气用户及相关单位和个人将燃气管道作为负重支架或者接地引线</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《城镇燃气管理条例》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9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545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燃气用户及相关单位和个人安装、使用不符合气源要求的燃气燃烧器具</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《城镇燃气管理条例》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15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546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燃气用户及相关单位和个人擅自安装、改装、拆除户内燃气设施和燃气计量装置</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《城镇燃气管理条例》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547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燃气用户及相关单位和个人在不具备安全条件的场所使用、储存燃气</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《城镇燃气管理条例》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548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燃气用户及相关单位和个人改变燃气用途或者转供燃气</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《城镇燃气管理条例》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38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549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未设立售后服务站点或者未配备经考核合格的燃气燃烧器具安装、维修人员</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《城镇燃气管理条例》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38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550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燃气燃烧器具的安装、维修不符合国家有关标准</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《城镇燃气管理条例》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43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551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在燃气设施保护范围内进行爆破、取土等作业或者动用明火</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《城镇燃气管理条例》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38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552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在燃气设施保护范围内倾倒、排放腐蚀性物质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《城镇燃气管理条例》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553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在燃气设施保护范围内放置易燃易爆物品或者种植深根植物</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《城镇燃气管理条例》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554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在燃气设施保护范围内未与燃气经营者共同制定燃气设施保护方案，采取相应的安全保护措施，从事敷设管道、打桩、顶进、挖掘、钻探等可能影响燃气设施安全活动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《城镇燃气管理条例》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35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555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侵占、毁损、擅自拆除、移动燃气设施或者擅自改动市政燃气设施</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《城镇燃气管理条例》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32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556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毁损、覆盖、涂改、擅自拆除或者移动燃气设施安全警示标志</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《城镇燃气管理条例》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426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557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建设工程施工范围内有地下燃气管线等重要燃气设施，建设单位未会同施工单位与管道燃气经营者共同制定燃气设施保护方案，或者建设单位、施工单位未采取相应的安全保护措施</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《城镇燃气管理条例》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51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558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城市自来水供水企业或者自建设施对外供水的企业供水水质、水压不符合国家规定标准</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《城市供水条例》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5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559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 xml:space="preserve">城市自来水供水企业或者自建设施对外供水的企业擅自停止供水或者来履行停水通知义务    </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《城市供水条例》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560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城市自来水供水企业或者自建设施对外供水的企业未按照规定检修供水设施或者在供水设施发生故障后未及时抢修</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《城市供水条例》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561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无证或者超越资质证书规定的经营范围进行城市供水工程的设计或者施工</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《城市供水条例》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562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未按国家规定的技术标准和规范进行城市供水工程的设计或者施工</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《城市供水条例》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563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未按规定缴纳水费</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《城市供水条例》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564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盗用或者转供城市公共供水</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《城市供水条例》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565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在规定的城市公共供水管道及其附属设施的安全保护范围内进行危害供水设施安全活动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《城市供水条例》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kern w:val="0"/>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hint="eastAsia" w:ascii="宋体" w:hAnsi="宋体" w:eastAsia="宋体" w:cs="宋体"/>
                <w:color w:val="auto"/>
                <w:kern w:val="0"/>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hint="eastAsia" w:ascii="宋体" w:hAnsi="宋体" w:eastAsia="宋体" w:cs="宋体"/>
                <w:color w:val="auto"/>
                <w:kern w:val="0"/>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hint="eastAsia" w:ascii="宋体" w:hAnsi="宋体" w:eastAsia="宋体" w:cs="宋体"/>
                <w:color w:val="auto"/>
                <w:kern w:val="0"/>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hint="eastAsia" w:ascii="宋体" w:hAnsi="宋体" w:eastAsia="宋体" w:cs="宋体"/>
                <w:color w:val="auto"/>
                <w:kern w:val="0"/>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hint="eastAsia" w:ascii="宋体" w:hAnsi="宋体" w:eastAsia="宋体" w:cs="宋体"/>
                <w:color w:val="auto"/>
                <w:kern w:val="0"/>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hint="eastAsia" w:ascii="宋体" w:hAnsi="宋体" w:eastAsia="宋体" w:cs="宋体"/>
                <w:color w:val="auto"/>
                <w:kern w:val="0"/>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567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擅自将自建设施供水管网系统与城市公共供水管网系统连接</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《城市供水条例》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568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产生或者使用有毒有害物质的单位将其生产用水管网系统与城市公共供水管网系统直接连接</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《城市供水条例》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569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在城市公共供水管道上直接装泵抽水</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《城市供水条例》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570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擅自拆除、改装或者迁移城市公共供水设施</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《城市供水条例》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571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在雨水、污水分流地区，建设单位、施工单位将雨水管网、污水管网相互混接</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《城镇排水与污水处理条例》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572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城镇排水与污水处理设施覆盖范围内的排水单位和个人，未按照国家有关规定将污水排入城镇排水设施，或者在雨水、污水分流地区将污水排入雨水管网</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《城镇排水与污水处理条例》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573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排水户未取得污水排入排水管网许可证向城镇排水设施排放污水</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《城镇排水与污水处理条例》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kern w:val="0"/>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hint="eastAsia" w:ascii="宋体" w:hAnsi="宋体" w:eastAsia="宋体" w:cs="宋体"/>
                <w:color w:val="auto"/>
                <w:kern w:val="0"/>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hint="eastAsia" w:ascii="宋体" w:hAnsi="宋体" w:eastAsia="宋体" w:cs="宋体"/>
                <w:color w:val="auto"/>
                <w:kern w:val="0"/>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hint="eastAsia" w:ascii="宋体" w:hAnsi="宋体" w:eastAsia="宋体" w:cs="宋体"/>
                <w:color w:val="auto"/>
                <w:kern w:val="0"/>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hint="eastAsia" w:ascii="宋体" w:hAnsi="宋体" w:eastAsia="宋体" w:cs="宋体"/>
                <w:color w:val="auto"/>
                <w:kern w:val="0"/>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hint="eastAsia" w:ascii="宋体" w:hAnsi="宋体" w:eastAsia="宋体" w:cs="宋体"/>
                <w:color w:val="auto"/>
                <w:kern w:val="0"/>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hint="eastAsia" w:ascii="宋体" w:hAnsi="宋体" w:eastAsia="宋体" w:cs="宋体"/>
                <w:color w:val="auto"/>
                <w:kern w:val="0"/>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574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排水户不按照污水排入排水管网许可证的要求排放污水</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《城镇排水与污水处理条例》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kern w:val="0"/>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hint="eastAsia" w:ascii="宋体" w:hAnsi="宋体" w:eastAsia="宋体" w:cs="宋体"/>
                <w:color w:val="auto"/>
                <w:kern w:val="0"/>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hint="eastAsia" w:ascii="宋体" w:hAnsi="宋体" w:eastAsia="宋体" w:cs="宋体"/>
                <w:color w:val="auto"/>
                <w:kern w:val="0"/>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hint="eastAsia" w:ascii="宋体" w:hAnsi="宋体" w:eastAsia="宋体" w:cs="宋体"/>
                <w:color w:val="auto"/>
                <w:kern w:val="0"/>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hint="eastAsia" w:ascii="宋体" w:hAnsi="宋体" w:eastAsia="宋体" w:cs="宋体"/>
                <w:color w:val="auto"/>
                <w:kern w:val="0"/>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hint="eastAsia" w:ascii="宋体" w:hAnsi="宋体" w:eastAsia="宋体" w:cs="宋体"/>
                <w:color w:val="auto"/>
                <w:kern w:val="0"/>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hint="eastAsia" w:ascii="宋体" w:hAnsi="宋体" w:eastAsia="宋体" w:cs="宋体"/>
                <w:color w:val="auto"/>
                <w:kern w:val="0"/>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575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因城镇排水设施维护或者检修可能对排水造成影响或者严重影响，城镇排水设施维护运营单位未提前通知相关排水户；或者未事先向城镇排水主管部门报告，采取应急处理措施；或者未按照防汛要求对城镇排水设施进行全面检查、维护、清疏，影响汛期排水畅通</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《城镇排水与污水处理条例》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576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城镇污水处理设施维护运营单位未按照国家有关规定检测进出水水质，或者未报送污水处理水质和水量、主要污染物削减量等信息和生产运营成本等信息</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《城镇排水与污水处理条例》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577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城镇污水处理设施维护运营单位擅自停运城镇污水处理设施，未按照规定事先报告或者采取应急处理措施</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《城镇排水与污水处理条例》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kern w:val="0"/>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hint="eastAsia" w:ascii="宋体" w:hAnsi="宋体" w:eastAsia="宋体" w:cs="宋体"/>
                <w:color w:val="auto"/>
                <w:kern w:val="0"/>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hint="eastAsia" w:ascii="宋体" w:hAnsi="宋体" w:eastAsia="宋体" w:cs="宋体"/>
                <w:color w:val="auto"/>
                <w:kern w:val="0"/>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hint="eastAsia" w:ascii="宋体" w:hAnsi="宋体" w:eastAsia="宋体" w:cs="宋体"/>
                <w:color w:val="auto"/>
                <w:kern w:val="0"/>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hint="eastAsia" w:ascii="宋体" w:hAnsi="宋体" w:eastAsia="宋体" w:cs="宋体"/>
                <w:color w:val="auto"/>
                <w:kern w:val="0"/>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hint="eastAsia" w:ascii="宋体" w:hAnsi="宋体" w:eastAsia="宋体" w:cs="宋体"/>
                <w:color w:val="auto"/>
                <w:kern w:val="0"/>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hint="eastAsia" w:ascii="宋体" w:hAnsi="宋体" w:eastAsia="宋体" w:cs="宋体"/>
                <w:color w:val="auto"/>
                <w:kern w:val="0"/>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578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城镇污水处理设施维护运营单位或者污泥处理处置单位对产生的污泥以及处理处置后的污泥的去向、用途、用量等未进行跟踪、记录的，或者处理处置后的污泥不符合国家有关标准</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《城镇排水与污水处理条例》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579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擅自倾倒、堆放、丢弃、遗撒污泥</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《城镇排水与污水处理条例》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kern w:val="0"/>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hint="eastAsia" w:ascii="宋体" w:hAnsi="宋体" w:eastAsia="宋体" w:cs="宋体"/>
                <w:color w:val="auto"/>
                <w:kern w:val="0"/>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hint="eastAsia" w:ascii="宋体" w:hAnsi="宋体" w:eastAsia="宋体" w:cs="宋体"/>
                <w:color w:val="auto"/>
                <w:kern w:val="0"/>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hint="eastAsia" w:ascii="宋体" w:hAnsi="宋体" w:eastAsia="宋体" w:cs="宋体"/>
                <w:color w:val="auto"/>
                <w:kern w:val="0"/>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hint="eastAsia" w:ascii="宋体" w:hAnsi="宋体" w:eastAsia="宋体" w:cs="宋体"/>
                <w:color w:val="auto"/>
                <w:kern w:val="0"/>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hint="eastAsia" w:ascii="宋体" w:hAnsi="宋体" w:eastAsia="宋体" w:cs="宋体"/>
                <w:color w:val="auto"/>
                <w:kern w:val="0"/>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hint="eastAsia" w:ascii="宋体" w:hAnsi="宋体" w:eastAsia="宋体" w:cs="宋体"/>
                <w:color w:val="auto"/>
                <w:kern w:val="0"/>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580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排水单位或者个人不缴纳污水处理费</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《城镇排水与污水处理条例》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581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城镇排水与污水处理设施维护运营单位未按照国家有关规定履行日常巡查、维修和养护责任，保障设施安全运行</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《城镇排水与污水处理条例》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kern w:val="0"/>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582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城镇排水与污水处理设施维护运营单位未及时采取防护措施、组织事故抢修</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《城镇排水与污水处理条例》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kern w:val="0"/>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583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城镇排水与污水处理设施维护运营单位因巡查、维护不到位，导致窨井盖丢失、损毁，造成人员伤亡和财产损失</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《城镇排水与污水处理条例》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kern w:val="0"/>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hint="eastAsia" w:ascii="宋体" w:hAnsi="宋体" w:eastAsia="宋体" w:cs="宋体"/>
                <w:color w:val="auto"/>
                <w:kern w:val="0"/>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584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从事危及城镇排水与污水处理设施安全的活动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《城镇排水与污水处理条例》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585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有关单位未与施工单位、设施维护运营单位等共同制定设施保护方案，并采取相应的安全防护措施</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《城镇排水与污水处理条例》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586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擅自拆除、改动城镇排水与污水处理设施</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《城镇排水与污水处理条例》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90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587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城市的新建、扩建和改建工程项目未按规定配套建设节约用水设施或者节约用水设施经验收不合格</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《城市节约用水管理规定》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78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588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逾期不缴纳超计划用水加价水费</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《城市节约用水管理规定》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31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589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拒不安装生活用水分户计量水表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《城市节约用水管理规定》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38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590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城市自来水供水企业和自建设施对外供水的企业新建、改建、扩建的饮用水供水工程项目未经建设行政主管部门设计审查和竣工验收而擅自建设并投入使用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《生活饮用水卫生监督管理办法》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591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城市自来水供水企业和自建设施对外供水的企业未按规定进行日常性水质检验工作</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《生活饮用水卫生监督管理办法》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592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特许经营者违反法律、行政法规和国家强制性标准，严重危害公共利益，或者造成重大质量、安全事故或者突发环境事件</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《基础设施和公用事业特许经营管理办法》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593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以欺骗、贿赂等不正当手段取得特许经营项目</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《基础设施和公用事业特许经营管理办法》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594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在城镇排水与污水处理设施覆盖范围内，未按照国家有关规定将污水排入城镇排水设施，或者在雨水、污水分流地区将污水排入雨水管网</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《城镇污水排入排水管网许可管理办</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595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排水户未取得排水许可，向城镇排水设施排放污水</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《城镇污水排入排水管网许可管理办</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29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596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排水户未按照排水许可证的要求，向城镇排水设施排放污水</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《城镇污水排入排水管网许可管理办</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322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597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排水户名称、法定代表人等其他事项变更，未按规定及时向城镇排水主管部门申请办理变更</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《城镇污水排入排水管网许可管理办</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341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598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排水户以欺骗、贿赂等不正当手段取得排水许可</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《城镇污水排入排水管网许可管理办</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599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排水户因发生事故或者其他突发事件，排放的污水可能危及城镇排水与污水处理设施安全运行，没有立即停止排放，未采取措施消除危害，或者并未按规定及时向城镇排水主管部门等有关部门报告</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《城镇污水排入排水管网许可管理办</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600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从事危及城镇排水设施安全的活动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《城镇污水排入排水管网许可管理办</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601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排水户违反规定，拒不接受水质、水量监测或者妨碍、阻挠城镇排水主管部门依法监督检查</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《城镇污水排入排水管网许可管理办</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602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不具备相应资质的单位和不具备相应执业资格证书的专业技术人员从事城市照明工程勘察、设计、施工、监理</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《城市照明管理规定》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lang w:eastAsia="zh-CN"/>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603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在城市景观照明中有过度照明等超能耗标准行为</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《城市照明管理规定》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lang w:eastAsia="zh-CN"/>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604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在城市照明设施上刻划、涂污</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《城市照明管理规定》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lang w:eastAsia="zh-CN"/>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605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在城市照明设施安全距离内，擅自植树、挖坑取土或者设置其他物体，或者倾倒含酸、碱、盐等腐蚀物或者具有腐蚀性的废渣、废液</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《城市照明管理规定》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lang w:eastAsia="zh-CN"/>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606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擅自在城市照明设施上张贴、悬挂、设置宣传品、广告</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《城市照明管理规定》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lang w:eastAsia="zh-CN"/>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607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擅自在城市照明设施上架设线缆、安置其它设施或者接用电源</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《城市照明管理规定》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lang w:eastAsia="zh-CN"/>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608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擅自迁移、拆除、利用城市照明设施</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《城市照明管理规定》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lang w:eastAsia="zh-CN"/>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609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其他可能影响城市照明设施正常运行的行为</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《城市照明管理规定》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lang w:eastAsia="zh-CN"/>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610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供水水质达不到国家有关标准规定</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《城市供水水质管理规定》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611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城市供水单位、二次供水管理单位未按规定进行水质检测或者委托检测</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《城市供水水质管理规定》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612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对于实施生产许可证管理的净水剂及与制水有关的材料等，选用未获证企业产品</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《城市供水水质管理规定》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613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城市供水单位使用未经检验或者检验不合格的净水剂及有关制水材料</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《城市供水水质管理规定》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614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城市供水单位使用未经检验或者检验不合格的城市供水设备、管网</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《城市供水水质管理规定》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615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二次供水管理单位，未按规定对各类储水设施进行清洗消毒</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《城市供水水质管理规定》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616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城市供水单位、二次供水管理单位隐瞒、缓报、谎报水质突发事件或者水质信息</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《城市供水水质管理规定》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617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有危害城市供水水质安全的其他行为</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《城市供水水质管理规定》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618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城市供水单位未制定城市供水水质突发事件应急预案</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《城市供水水质管理规定》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619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城市供水单位未按规定上报水质报表</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《城市供水水质管理规定》</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620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建设单位未移交地下管线工程档案</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《城市地下管线工程档案管理办法》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621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地下管线专业管理单位未移交地下管线工程档案</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《城市地下管线工程档案管理办法》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622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获得特许经营权的企业擅自停业、歇业</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《市政公用事业特许经营管理办法》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623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以欺骗、贿赂等不正当手段获得特许经营权</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《市政公用事业特许经营管理办法》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624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城市桥梁产权人或者委托管理人未按照规定编制城市桥梁养护维修的中长期规划和年度计划，或者未经批准即实施</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《城市桥梁检测和养护维修管理办</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eastAsia="zh-CN"/>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w:t>
            </w:r>
            <w:r>
              <w:rPr>
                <w:rStyle w:val="7"/>
                <w:rFonts w:hint="default"/>
                <w:color w:val="auto"/>
                <w:highlight w:val="none"/>
              </w:rPr>
              <w:t xml:space="preserve">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 xml:space="preserve">□精准推送      </w:t>
            </w:r>
            <w:r>
              <w:rPr>
                <w:rStyle w:val="7"/>
                <w:rFonts w:hint="default"/>
                <w:color w:val="auto"/>
                <w:highlight w:val="none"/>
              </w:rPr>
              <w:t>■其他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625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城市桥梁产权人或者委托管理人未按照规定设置相应的标志，并保持其完好、清晰</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《城市桥梁检测和养护维修管理办</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w:t>
            </w:r>
            <w:r>
              <w:rPr>
                <w:rStyle w:val="7"/>
                <w:rFonts w:hint="default"/>
                <w:color w:val="auto"/>
                <w:highlight w:val="none"/>
              </w:rPr>
              <w:t xml:space="preserve">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 xml:space="preserve">□精准推送      </w:t>
            </w:r>
            <w:r>
              <w:rPr>
                <w:rStyle w:val="7"/>
                <w:rFonts w:hint="default"/>
                <w:color w:val="auto"/>
                <w:highlight w:val="none"/>
              </w:rPr>
              <w:t>■其他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626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城市桥梁产权人或者委托管理人未按照规定委托具有相应资格的机构对城市桥梁进行检测评估</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《城市桥梁检测和养护维修管理办</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w:t>
            </w:r>
            <w:r>
              <w:rPr>
                <w:rStyle w:val="7"/>
                <w:rFonts w:hint="default"/>
                <w:color w:val="auto"/>
                <w:highlight w:val="none"/>
              </w:rPr>
              <w:t xml:space="preserve">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 xml:space="preserve">□精准推送      </w:t>
            </w:r>
            <w:r>
              <w:rPr>
                <w:rStyle w:val="7"/>
                <w:rFonts w:hint="default"/>
                <w:color w:val="auto"/>
                <w:highlight w:val="none"/>
              </w:rPr>
              <w:t>■其他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627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城市桥梁产权人或者委托管理人未按照规定制定城市桥梁的安全抢险预备方案</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《城市桥梁检测和养护维修管理办</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w:t>
            </w:r>
            <w:r>
              <w:rPr>
                <w:rStyle w:val="7"/>
                <w:rFonts w:hint="default"/>
                <w:color w:val="auto"/>
                <w:highlight w:val="none"/>
              </w:rPr>
              <w:t xml:space="preserve">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 xml:space="preserve">□精准推送      </w:t>
            </w:r>
            <w:r>
              <w:rPr>
                <w:rStyle w:val="7"/>
                <w:rFonts w:hint="default"/>
                <w:color w:val="auto"/>
                <w:highlight w:val="none"/>
              </w:rPr>
              <w:t>■其他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628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城市桥梁产权人或者委托管理人未按照规定对城市桥梁进行养护维修</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《城市桥梁检测和养护维修管理办</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w:t>
            </w:r>
            <w:r>
              <w:rPr>
                <w:rStyle w:val="7"/>
                <w:rFonts w:hint="default"/>
                <w:color w:val="auto"/>
                <w:highlight w:val="none"/>
              </w:rPr>
              <w:t xml:space="preserve">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 xml:space="preserve">□精准推送      </w:t>
            </w:r>
            <w:r>
              <w:rPr>
                <w:rStyle w:val="7"/>
                <w:rFonts w:hint="default"/>
                <w:color w:val="auto"/>
                <w:highlight w:val="none"/>
              </w:rPr>
              <w:t>■其他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629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单位或者个人擅自在城市桥梁上架设各类管线、设置广告等辅助物</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《城市桥梁检测和养护维修管理办</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w:t>
            </w:r>
            <w:r>
              <w:rPr>
                <w:rStyle w:val="7"/>
                <w:rFonts w:hint="default"/>
                <w:color w:val="auto"/>
                <w:highlight w:val="none"/>
              </w:rPr>
              <w:t xml:space="preserve">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 xml:space="preserve">□精准推送      </w:t>
            </w:r>
            <w:r>
              <w:rPr>
                <w:rStyle w:val="7"/>
                <w:rFonts w:hint="default"/>
                <w:color w:val="auto"/>
                <w:highlight w:val="none"/>
              </w:rPr>
              <w:t>■其他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630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单位和个人擅自在城市桥梁施工控制范围内从事河道疏浚、挖掘、打桩、地下管道顶进、爆破等</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《城市桥梁检测和养护维修管理办</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w:t>
            </w:r>
            <w:r>
              <w:rPr>
                <w:rStyle w:val="7"/>
                <w:rFonts w:hint="default"/>
                <w:color w:val="auto"/>
                <w:highlight w:val="none"/>
              </w:rPr>
              <w:t xml:space="preserve">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 xml:space="preserve">□精准推送      </w:t>
            </w:r>
            <w:r>
              <w:rPr>
                <w:rStyle w:val="7"/>
                <w:rFonts w:hint="default"/>
                <w:color w:val="auto"/>
                <w:highlight w:val="none"/>
              </w:rPr>
              <w:t>■其他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631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超限机动车辆、履带车、铁轮车等需经过城市桥梁的，在报公安交通管理部门审批前，未先经城市人民政府市政工程设施行政主管部门同意，或未采取相应技术措施就通行</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《城市桥梁检测和养护维修管理办</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w:t>
            </w:r>
            <w:r>
              <w:rPr>
                <w:rStyle w:val="7"/>
                <w:rFonts w:hint="default"/>
                <w:color w:val="auto"/>
                <w:highlight w:val="none"/>
              </w:rPr>
              <w:t xml:space="preserve">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 xml:space="preserve">□精准推送      </w:t>
            </w:r>
            <w:r>
              <w:rPr>
                <w:rStyle w:val="7"/>
                <w:rFonts w:hint="default"/>
                <w:color w:val="auto"/>
                <w:highlight w:val="none"/>
              </w:rPr>
              <w:t>■其他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632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经过检测评估，确定城市桥梁的承载能力下降，但尚未构成危桥的，城市桥梁产权人和委托管理人未及时设置警示标志，或未立即采取加固等安全措施</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《城市桥梁检测和养护维修管理办</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w:t>
            </w:r>
            <w:r>
              <w:rPr>
                <w:rStyle w:val="7"/>
                <w:rFonts w:hint="default"/>
                <w:color w:val="auto"/>
                <w:highlight w:val="none"/>
              </w:rPr>
              <w:t xml:space="preserve">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 xml:space="preserve">□精准推送      </w:t>
            </w:r>
            <w:r>
              <w:rPr>
                <w:rStyle w:val="7"/>
                <w:rFonts w:hint="default"/>
                <w:color w:val="auto"/>
                <w:highlight w:val="none"/>
              </w:rPr>
              <w:t>■其他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633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经检测评估判定为危桥的，城市桥梁产权人和委托管理人未立即采取措施，设置显著的警示标志，或未在二十四小时内，向城市人民政府市政工程设施行政主管部门报告；市政工程设施行政主管部门提出处理意见后，城市桥梁产权人和委托管理人未在期限内排除危险；在危险排除之前，城市桥梁产权人和委托管理人使用或者转让危桥</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《城市桥梁检测和养护维修管理办</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w:t>
            </w:r>
            <w:r>
              <w:rPr>
                <w:rStyle w:val="7"/>
                <w:rFonts w:hint="default"/>
                <w:color w:val="auto"/>
                <w:highlight w:val="none"/>
              </w:rPr>
              <w:t xml:space="preserve">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 xml:space="preserve">□精准推送     </w:t>
            </w:r>
            <w:r>
              <w:rPr>
                <w:rStyle w:val="7"/>
                <w:rFonts w:hint="eastAsia" w:eastAsia="宋体"/>
                <w:color w:val="auto"/>
                <w:highlight w:val="none"/>
                <w:lang w:val="en-US" w:eastAsia="zh-CN"/>
              </w:rPr>
              <w:t xml:space="preserve"> </w:t>
            </w:r>
            <w:r>
              <w:rPr>
                <w:rStyle w:val="7"/>
                <w:rFonts w:hint="default"/>
                <w:color w:val="auto"/>
                <w:highlight w:val="none"/>
              </w:rPr>
              <w:t>■其他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634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市政公用管理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城镇污水处理设施维护运营单位或者污泥处理处置单位对产生的污泥以及处理处置后的污泥的去向、用途、用量等未进行跟踪、记录，或者处理处置后的污泥不符合国家有关标准，逾期不采取治理措施</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5.强制决定；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《城镇排水与污水处理条例》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1.除强制决定外其他内容：长期公开（动态调整）；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2.强制决定：20个工作日内。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住建局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635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违法建设</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未取得建设工程规划许可证或者未按照建设工程规划许可证的规定进行建设</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《中华人民共和国城乡规划法》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sym w:font="Wingdings 2" w:char="00A3"/>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636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违法建设</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建设单位或者个人未经批准进行临时建设</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《中华人民共和国城乡规划法》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637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违法建设</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建设单位或者个人未按照批准内容进行临时建设</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《中华人民共和国城乡规划法》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638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违法建设</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临时建筑物、构筑物超过批准期限建设单位或者个人不拆除</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《中华人民共和国城乡规划法》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639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违法建设</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城乡规划主管部门作出责令停止建设或者限期拆除的决定后，当事人不停止建设或者逾期不拆除</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5.强制决定；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《中华人民共和国城乡规划法》</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1.除强制决定外其他内容：长期公开（动态调整）；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2.强制决定：20个工作日内。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640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违法建设</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凡不符合城市容貌标准、环境卫生标准的建筑物或者设施，逾期未改造或者未拆除</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5.强制决定；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《城市市容和环境卫生管理条例》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1.除强制决定外其他内容：长期公开（动态调整）；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2.强制决定：20个工作日内。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hint="default" w:ascii="宋体" w:hAnsi="宋体" w:eastAsia="宋体" w:cs="宋体"/>
                <w:color w:val="auto"/>
                <w:sz w:val="18"/>
                <w:szCs w:val="18"/>
                <w:highlight w:val="none"/>
                <w:lang w:val="en-US" w:eastAsia="zh-CN"/>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641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物业管理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住宅物业的建设单位未通过招投标的方式选聘物业服务企业或者未经批准，擅自采用协议方式选聘物业服务企业</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《物业管理条例》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642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物业管理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建设单位擅自处分属于业主的物业共用部位、共用设施设备的所有权或者使用权</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《物业管理条例》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643</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物业管理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逾期仍不移交有关资料</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《物业管理条例》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644</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物业管理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物业服务企业将一个物业管理区域内的全部物业管理一并委托给他人</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《物业管理条例》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645</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物业管理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挪用专项维修资金</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《物业管理条例》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房产服务中心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646</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物业管理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建设单位在物业管理区域内不按照规定配置必要的物业管理用房</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《物业管理条例》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647</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物业管理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未经业主大会同意，物业服务企业擅自改变物业管理用房的用途</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《物业管理条例》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648</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物业管理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擅自改变物业管理区域内按照规划建设的公共建筑和共用设施用途</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《物业管理条例》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649</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物业管理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擅自占用、挖掘物业管理区域内道路、场地，损害业主共同利益</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《物业管理条例》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650</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物业管理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擅自利用物业共用部位、共用设施设备进行经营</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《物业管理条例》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综合行政执法局</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7"/>
                <w:rFonts w:hint="eastAsia" w:eastAsia="宋体"/>
                <w:color w:val="auto"/>
                <w:highlight w:val="none"/>
                <w:lang w:val="en-US" w:eastAsia="zh-CN"/>
              </w:rPr>
              <w:t xml:space="preserve"> 青岛市行政处罚与行政强制信息公示平台</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651</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住房公积金管理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单位不办理住房公积金缴存登记或者不为本单位职工办理住房公积金账户设立手续</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《住房公积金管理条例》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青岛市公积金中心垂直管理统一发布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r>
        <w:tblPrEx>
          <w:tblLayout w:type="fixed"/>
          <w:tblCellMar>
            <w:top w:w="0" w:type="dxa"/>
            <w:left w:w="0" w:type="dxa"/>
            <w:bottom w:w="0" w:type="dxa"/>
            <w:right w:w="0" w:type="dxa"/>
          </w:tblCellMar>
        </w:tblPrEx>
        <w:trPr>
          <w:trHeight w:val="2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652</w:t>
            </w:r>
          </w:p>
        </w:tc>
        <w:tc>
          <w:tcPr>
            <w:tcW w:w="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住房公积金管理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单位逾期不缴或者少缴住房公积金</w:t>
            </w:r>
          </w:p>
        </w:tc>
        <w:tc>
          <w:tcPr>
            <w:tcW w:w="31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1.机构职能、权责清单、执法人员名单；</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2.执法程序或行政强制流程图；</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3.执法依据；</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4.行政处罚自由裁量基准；</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5.咨询、监督投诉方式；</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6.处罚决定；</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7.救济渠道。</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《住房公积金管理条例》</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kern w:val="0"/>
                <w:sz w:val="18"/>
                <w:szCs w:val="18"/>
                <w:highlight w:val="none"/>
              </w:rPr>
              <w:t>1.除处罚决定外其他内容：长期公开（动态调整）；</w:t>
            </w:r>
            <w:r>
              <w:rPr>
                <w:rFonts w:hint="eastAsia" w:ascii="宋体" w:hAnsi="宋体" w:eastAsia="宋体" w:cs="宋体"/>
                <w:color w:val="auto"/>
                <w:kern w:val="0"/>
                <w:sz w:val="18"/>
                <w:szCs w:val="18"/>
                <w:highlight w:val="none"/>
              </w:rPr>
              <w:br w:type="textWrapping"/>
            </w:r>
            <w:r>
              <w:rPr>
                <w:rFonts w:hint="eastAsia" w:ascii="宋体" w:hAnsi="宋体" w:eastAsia="宋体" w:cs="宋体"/>
                <w:color w:val="auto"/>
                <w:kern w:val="0"/>
                <w:sz w:val="18"/>
                <w:szCs w:val="18"/>
                <w:highlight w:val="none"/>
              </w:rPr>
              <w:t>2.处罚决定：20个工作日内。</w:t>
            </w:r>
          </w:p>
        </w:tc>
        <w:tc>
          <w:tcPr>
            <w:tcW w:w="6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青岛市公积金中心垂直管理统一发布</w:t>
            </w:r>
          </w:p>
        </w:tc>
        <w:tc>
          <w:tcPr>
            <w:tcW w:w="3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left"/>
              <w:textAlignment w:val="center"/>
              <w:rPr>
                <w:rFonts w:ascii="宋体" w:hAnsi="宋体" w:eastAsia="宋体" w:cs="宋体"/>
                <w:color w:val="auto"/>
                <w:sz w:val="18"/>
                <w:szCs w:val="18"/>
                <w:highlight w:val="none"/>
              </w:rPr>
            </w:pPr>
            <w:r>
              <w:rPr>
                <w:rStyle w:val="7"/>
                <w:rFonts w:hint="default"/>
                <w:color w:val="auto"/>
                <w:highlight w:val="none"/>
              </w:rPr>
              <w:t>■政府网站      □政府公报</w:t>
            </w:r>
            <w:r>
              <w:rPr>
                <w:rStyle w:val="7"/>
                <w:rFonts w:hint="default"/>
                <w:color w:val="auto"/>
                <w:highlight w:val="none"/>
              </w:rPr>
              <w:br w:type="textWrapping"/>
            </w:r>
            <w:r>
              <w:rPr>
                <w:rStyle w:val="7"/>
                <w:rFonts w:hint="default"/>
                <w:color w:val="auto"/>
                <w:highlight w:val="none"/>
              </w:rPr>
              <w:t>□两微一端      □发布会/听证会</w:t>
            </w:r>
            <w:r>
              <w:rPr>
                <w:rStyle w:val="7"/>
                <w:rFonts w:hint="default"/>
                <w:color w:val="auto"/>
                <w:highlight w:val="none"/>
              </w:rPr>
              <w:br w:type="textWrapping"/>
            </w:r>
            <w:r>
              <w:rPr>
                <w:rStyle w:val="7"/>
                <w:rFonts w:hint="default"/>
                <w:color w:val="auto"/>
                <w:highlight w:val="none"/>
              </w:rPr>
              <w:t>□广播电视      □纸质媒体</w:t>
            </w:r>
            <w:r>
              <w:rPr>
                <w:rStyle w:val="7"/>
                <w:rFonts w:hint="default"/>
                <w:color w:val="auto"/>
                <w:highlight w:val="none"/>
              </w:rPr>
              <w:br w:type="textWrapping"/>
            </w:r>
            <w:r>
              <w:rPr>
                <w:rStyle w:val="7"/>
                <w:rFonts w:hint="default"/>
                <w:color w:val="auto"/>
                <w:highlight w:val="none"/>
              </w:rPr>
              <w:t>■公开查阅点    □政务服务中心</w:t>
            </w:r>
            <w:r>
              <w:rPr>
                <w:rStyle w:val="7"/>
                <w:rFonts w:hint="default"/>
                <w:color w:val="auto"/>
                <w:highlight w:val="none"/>
              </w:rPr>
              <w:br w:type="textWrapping"/>
            </w:r>
            <w:r>
              <w:rPr>
                <w:rStyle w:val="7"/>
                <w:rFonts w:hint="default"/>
                <w:color w:val="auto"/>
                <w:highlight w:val="none"/>
              </w:rPr>
              <w:t>□便民服务站    □入户/现场</w:t>
            </w:r>
            <w:r>
              <w:rPr>
                <w:rStyle w:val="7"/>
                <w:rFonts w:hint="default"/>
                <w:color w:val="auto"/>
                <w:highlight w:val="none"/>
              </w:rPr>
              <w:br w:type="textWrapping"/>
            </w:r>
            <w:r>
              <w:rPr>
                <w:rStyle w:val="7"/>
                <w:rFonts w:hint="default"/>
                <w:color w:val="auto"/>
                <w:highlight w:val="none"/>
              </w:rPr>
              <w:t>□社区/企事业单位/村公示栏（电子屏）</w:t>
            </w:r>
            <w:r>
              <w:rPr>
                <w:rStyle w:val="7"/>
                <w:rFonts w:hint="default"/>
                <w:color w:val="auto"/>
                <w:highlight w:val="none"/>
              </w:rPr>
              <w:br w:type="textWrapping"/>
            </w:r>
            <w:r>
              <w:rPr>
                <w:rStyle w:val="7"/>
                <w:rFonts w:hint="default"/>
                <w:color w:val="auto"/>
                <w:highlight w:val="none"/>
              </w:rPr>
              <w:t>□精准推送      □其他</w:t>
            </w:r>
            <w:r>
              <w:rPr>
                <w:rStyle w:val="8"/>
                <w:rFonts w:hint="default"/>
                <w:color w:val="auto"/>
                <w:highlight w:val="none"/>
              </w:rPr>
              <w:t xml:space="preserve">    </w:t>
            </w:r>
          </w:p>
        </w:tc>
        <w:tc>
          <w:tcPr>
            <w:tcW w:w="4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2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hd w:val="clear"/>
              <w:jc w:val="center"/>
              <w:rPr>
                <w:rFonts w:ascii="宋体" w:hAnsi="宋体" w:eastAsia="宋体" w:cs="宋体"/>
                <w:color w:val="auto"/>
                <w:sz w:val="18"/>
                <w:szCs w:val="18"/>
                <w:highlight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jc w:val="center"/>
              <w:textAlignment w:val="center"/>
              <w:rPr>
                <w:rFonts w:ascii="Arial" w:hAnsi="Arial" w:eastAsia="宋体" w:cs="Arial"/>
                <w:color w:val="auto"/>
                <w:sz w:val="18"/>
                <w:szCs w:val="18"/>
                <w:highlight w:val="none"/>
              </w:rPr>
            </w:pPr>
            <w:r>
              <w:rPr>
                <w:rFonts w:ascii="Arial" w:hAnsi="Arial" w:eastAsia="宋体" w:cs="Arial"/>
                <w:color w:val="auto"/>
                <w:kern w:val="0"/>
                <w:sz w:val="18"/>
                <w:szCs w:val="18"/>
                <w:highlight w:val="none"/>
              </w:rPr>
              <w:t>√</w:t>
            </w:r>
          </w:p>
        </w:tc>
      </w:tr>
    </w:tbl>
    <w:p>
      <w:pPr>
        <w:shd w:val="clear"/>
        <w:rPr>
          <w:rFonts w:hint="eastAsia" w:eastAsiaTheme="minorEastAsia"/>
          <w:color w:val="auto"/>
          <w:lang w:eastAsia="zh-CN"/>
        </w:rPr>
      </w:pPr>
    </w:p>
    <w:bookmarkEnd w:id="0"/>
    <w:sectPr>
      <w:footerReference r:id="rId3" w:type="default"/>
      <w:pgSz w:w="16838" w:h="11906" w:orient="landscape"/>
      <w:pgMar w:top="720" w:right="720" w:bottom="720" w:left="720" w:header="567" w:footer="454"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fldChar w:fldCharType="begin"/>
                          </w:r>
                          <w:r>
                            <w:instrText xml:space="preserve"> PAGE  \* MERGEFORMAT </w:instrText>
                          </w:r>
                          <w:r>
                            <w:fldChar w:fldCharType="separate"/>
                          </w:r>
                          <w:r>
                            <w:t>260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260</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hideSpellingErrors/>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43483E"/>
    <w:rsid w:val="000110D9"/>
    <w:rsid w:val="00052652"/>
    <w:rsid w:val="000756C9"/>
    <w:rsid w:val="0009553C"/>
    <w:rsid w:val="000E5876"/>
    <w:rsid w:val="00160535"/>
    <w:rsid w:val="00197126"/>
    <w:rsid w:val="001B464F"/>
    <w:rsid w:val="002A5690"/>
    <w:rsid w:val="003C41C6"/>
    <w:rsid w:val="00400312"/>
    <w:rsid w:val="00451656"/>
    <w:rsid w:val="004766B9"/>
    <w:rsid w:val="0050645D"/>
    <w:rsid w:val="0054557B"/>
    <w:rsid w:val="005D332C"/>
    <w:rsid w:val="006264C0"/>
    <w:rsid w:val="0067418B"/>
    <w:rsid w:val="006C0D20"/>
    <w:rsid w:val="008379CD"/>
    <w:rsid w:val="008E405B"/>
    <w:rsid w:val="009374CA"/>
    <w:rsid w:val="009603EE"/>
    <w:rsid w:val="00996AEB"/>
    <w:rsid w:val="00A13DC8"/>
    <w:rsid w:val="00A15967"/>
    <w:rsid w:val="00BA7981"/>
    <w:rsid w:val="00BE38CA"/>
    <w:rsid w:val="00CC1475"/>
    <w:rsid w:val="00DF2BD0"/>
    <w:rsid w:val="00E23A72"/>
    <w:rsid w:val="00E844F3"/>
    <w:rsid w:val="00F67780"/>
    <w:rsid w:val="00F80C0C"/>
    <w:rsid w:val="07D5634B"/>
    <w:rsid w:val="08380F8C"/>
    <w:rsid w:val="0AE10C79"/>
    <w:rsid w:val="0B39094D"/>
    <w:rsid w:val="0CA64006"/>
    <w:rsid w:val="0F0C32A1"/>
    <w:rsid w:val="0F5205F7"/>
    <w:rsid w:val="104F6246"/>
    <w:rsid w:val="11026E77"/>
    <w:rsid w:val="16796DE7"/>
    <w:rsid w:val="191B4BBD"/>
    <w:rsid w:val="1BED402D"/>
    <w:rsid w:val="1BFE34C2"/>
    <w:rsid w:val="1C1C2FAC"/>
    <w:rsid w:val="1C212BBE"/>
    <w:rsid w:val="21F80006"/>
    <w:rsid w:val="23635868"/>
    <w:rsid w:val="24CC742E"/>
    <w:rsid w:val="25315BBD"/>
    <w:rsid w:val="27952120"/>
    <w:rsid w:val="28DA792C"/>
    <w:rsid w:val="2F922799"/>
    <w:rsid w:val="301938E2"/>
    <w:rsid w:val="31B93B8A"/>
    <w:rsid w:val="33471930"/>
    <w:rsid w:val="35347E57"/>
    <w:rsid w:val="3EBF5C74"/>
    <w:rsid w:val="3ED81AD9"/>
    <w:rsid w:val="3F14330B"/>
    <w:rsid w:val="3FBE7F20"/>
    <w:rsid w:val="3FC46B78"/>
    <w:rsid w:val="45F0290D"/>
    <w:rsid w:val="46150D0A"/>
    <w:rsid w:val="469B2A65"/>
    <w:rsid w:val="4B342571"/>
    <w:rsid w:val="4D995CC7"/>
    <w:rsid w:val="4EAD7325"/>
    <w:rsid w:val="4EF5572D"/>
    <w:rsid w:val="505A7354"/>
    <w:rsid w:val="564951B6"/>
    <w:rsid w:val="56986374"/>
    <w:rsid w:val="583D76A2"/>
    <w:rsid w:val="598D237B"/>
    <w:rsid w:val="5AE34EAB"/>
    <w:rsid w:val="5C5879B2"/>
    <w:rsid w:val="5CD47C6B"/>
    <w:rsid w:val="5D695B4F"/>
    <w:rsid w:val="5E43483E"/>
    <w:rsid w:val="5E986E0C"/>
    <w:rsid w:val="5FF17AF7"/>
    <w:rsid w:val="61AD4B5E"/>
    <w:rsid w:val="668118B1"/>
    <w:rsid w:val="674C2247"/>
    <w:rsid w:val="67834660"/>
    <w:rsid w:val="6BE976E1"/>
    <w:rsid w:val="73103881"/>
    <w:rsid w:val="74C54CA2"/>
    <w:rsid w:val="75F95F98"/>
    <w:rsid w:val="7AE52C2E"/>
    <w:rsid w:val="7C467A29"/>
    <w:rsid w:val="7C815ED2"/>
    <w:rsid w:val="7D412A8D"/>
    <w:rsid w:val="7DC324B9"/>
    <w:rsid w:val="7E5933B8"/>
    <w:rsid w:val="7F8E16AB"/>
    <w:rsid w:val="7FA730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7">
    <w:name w:val="font71"/>
    <w:basedOn w:val="5"/>
    <w:qFormat/>
    <w:uiPriority w:val="0"/>
    <w:rPr>
      <w:rFonts w:hint="eastAsia" w:ascii="宋体" w:hAnsi="宋体" w:eastAsia="宋体" w:cs="宋体"/>
      <w:color w:val="000000"/>
      <w:sz w:val="18"/>
      <w:szCs w:val="18"/>
      <w:u w:val="none"/>
    </w:rPr>
  </w:style>
  <w:style w:type="character" w:customStyle="1" w:styleId="8">
    <w:name w:val="font01"/>
    <w:basedOn w:val="5"/>
    <w:qFormat/>
    <w:uiPriority w:val="0"/>
    <w:rPr>
      <w:rFonts w:hint="eastAsia" w:ascii="宋体" w:hAnsi="宋体" w:eastAsia="宋体" w:cs="宋体"/>
      <w:color w:val="000000"/>
      <w:sz w:val="18"/>
      <w:szCs w:val="18"/>
      <w:u w:val="single"/>
    </w:rPr>
  </w:style>
  <w:style w:type="character" w:customStyle="1" w:styleId="9">
    <w:name w:val="批注框文本 Char"/>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22B5E9A-2918-417A-8259-8B5B27C38727}">
  <ds:schemaRefs/>
</ds:datastoreItem>
</file>

<file path=docProps/app.xml><?xml version="1.0" encoding="utf-8"?>
<Properties xmlns="http://schemas.openxmlformats.org/officeDocument/2006/extended-properties" xmlns:vt="http://schemas.openxmlformats.org/officeDocument/2006/docPropsVTypes">
  <Template>Normal.dotm</Template>
  <Company>Win</Company>
  <Pages>260</Pages>
  <Words>39187</Words>
  <Characters>223370</Characters>
  <Lines>1861</Lines>
  <Paragraphs>524</Paragraphs>
  <TotalTime>4</TotalTime>
  <ScaleCrop>false</ScaleCrop>
  <LinksUpToDate>false</LinksUpToDate>
  <CharactersWithSpaces>262033</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2020-09-03T01:33:00Z</dcterms:created>
  <dc:creator>张国顺</dc:creator>
  <cp:lastModifiedBy>张国顺</cp:lastModifiedBy>
  <cp:lastPrinted>2020-07-10T01:51:00Z</cp:lastPrinted>
  <dcterms:modified xsi:type="dcterms:W3CDTF">2021-11-11T05:44:03Z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CE683A529B06429FA355D0E962541073</vt:lpwstr>
  </property>
</Properties>
</file>