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56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453"/>
        <w:gridCol w:w="1030"/>
        <w:gridCol w:w="1245"/>
        <w:gridCol w:w="1110"/>
        <w:gridCol w:w="1620"/>
        <w:gridCol w:w="1365"/>
        <w:gridCol w:w="1260"/>
        <w:gridCol w:w="1080"/>
        <w:gridCol w:w="5388"/>
        <w:gridCol w:w="9"/>
      </w:tblGrid>
      <w:tr w14:paraId="7C98D1D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0" w:hRule="atLeast"/>
          <w:jc w:val="center"/>
        </w:trPr>
        <w:tc>
          <w:tcPr>
            <w:tcW w:w="453"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0DA4B4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序号</w:t>
            </w:r>
          </w:p>
        </w:tc>
        <w:tc>
          <w:tcPr>
            <w:tcW w:w="103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5F7D24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部门</w:t>
            </w:r>
          </w:p>
        </w:tc>
        <w:tc>
          <w:tcPr>
            <w:tcW w:w="1245"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4FE614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抽查事项</w:t>
            </w:r>
          </w:p>
        </w:tc>
        <w:tc>
          <w:tcPr>
            <w:tcW w:w="111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6EDD4E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检查对象</w:t>
            </w:r>
          </w:p>
        </w:tc>
        <w:tc>
          <w:tcPr>
            <w:tcW w:w="162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7CDE0C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抽查内容</w:t>
            </w:r>
          </w:p>
        </w:tc>
        <w:tc>
          <w:tcPr>
            <w:tcW w:w="1365"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7DA7FF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事项类别</w:t>
            </w:r>
          </w:p>
        </w:tc>
        <w:tc>
          <w:tcPr>
            <w:tcW w:w="126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2D6BBD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检查方式</w:t>
            </w:r>
          </w:p>
        </w:tc>
        <w:tc>
          <w:tcPr>
            <w:tcW w:w="108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40FF77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抽查比例</w:t>
            </w:r>
          </w:p>
          <w:p w14:paraId="2C42D7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及频次</w:t>
            </w:r>
          </w:p>
        </w:tc>
        <w:tc>
          <w:tcPr>
            <w:tcW w:w="5397" w:type="dxa"/>
            <w:gridSpan w:val="2"/>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390910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检查依据</w:t>
            </w:r>
          </w:p>
        </w:tc>
      </w:tr>
      <w:tr w14:paraId="1CDE8F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30" w:hRule="atLeast"/>
          <w:jc w:val="center"/>
        </w:trPr>
        <w:tc>
          <w:tcPr>
            <w:tcW w:w="453" w:type="dxa"/>
            <w:tcBorders>
              <w:top w:val="single" w:color="00000A" w:sz="6" w:space="0"/>
              <w:left w:val="single" w:color="00000A" w:sz="6" w:space="0"/>
              <w:bottom w:val="single" w:color="auto" w:sz="4" w:space="0"/>
              <w:right w:val="single" w:color="00000A" w:sz="6" w:space="0"/>
            </w:tcBorders>
            <w:shd w:val="clear" w:color="auto" w:fill="FFFFFF"/>
            <w:tcMar>
              <w:left w:w="115" w:type="dxa"/>
              <w:right w:w="115" w:type="dxa"/>
            </w:tcMar>
            <w:vAlign w:val="center"/>
          </w:tcPr>
          <w:p w14:paraId="0F2DAE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1</w:t>
            </w:r>
          </w:p>
        </w:tc>
        <w:tc>
          <w:tcPr>
            <w:tcW w:w="103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310D23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青岛市即墨区</w:t>
            </w:r>
            <w:r>
              <w:rPr>
                <w:rFonts w:hint="eastAsia" w:ascii="仿宋_GB2312" w:hAnsi="仿宋_GB2312" w:eastAsia="仿宋_GB2312" w:cs="仿宋_GB2312"/>
                <w:i w:val="0"/>
                <w:iCs w:val="0"/>
                <w:caps w:val="0"/>
                <w:color w:val="000000"/>
                <w:spacing w:val="0"/>
                <w:sz w:val="24"/>
                <w:szCs w:val="24"/>
                <w:lang w:eastAsia="zh-CN"/>
              </w:rPr>
              <w:t>海洋发展</w:t>
            </w:r>
            <w:r>
              <w:rPr>
                <w:rFonts w:hint="eastAsia" w:ascii="仿宋_GB2312" w:hAnsi="仿宋_GB2312" w:eastAsia="仿宋_GB2312" w:cs="仿宋_GB2312"/>
                <w:i w:val="0"/>
                <w:iCs w:val="0"/>
                <w:caps w:val="0"/>
                <w:color w:val="000000"/>
                <w:spacing w:val="0"/>
                <w:sz w:val="24"/>
                <w:szCs w:val="24"/>
              </w:rPr>
              <w:t>局</w:t>
            </w:r>
          </w:p>
        </w:tc>
        <w:tc>
          <w:tcPr>
            <w:tcW w:w="1245"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48467B0B">
            <w:pPr>
              <w:keepNext w:val="0"/>
              <w:keepLines w:val="0"/>
              <w:widowControl/>
              <w:suppressLineNumbers w:val="0"/>
              <w:jc w:val="center"/>
              <w:textAlignment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olor w:val="000000"/>
                <w:kern w:val="0"/>
                <w:sz w:val="24"/>
                <w:szCs w:val="24"/>
                <w:u w:val="none"/>
                <w:lang w:val="en-US" w:eastAsia="zh-CN" w:bidi="ar"/>
              </w:rPr>
              <w:t>对渔港水域拆船活动的监督检查</w:t>
            </w:r>
          </w:p>
        </w:tc>
        <w:tc>
          <w:tcPr>
            <w:tcW w:w="111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0574D60B">
            <w:pPr>
              <w:keepNext w:val="0"/>
              <w:keepLines w:val="0"/>
              <w:widowControl/>
              <w:suppressLineNumbers w:val="0"/>
              <w:jc w:val="center"/>
              <w:textAlignment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olor w:val="000000"/>
                <w:kern w:val="0"/>
                <w:sz w:val="24"/>
                <w:szCs w:val="24"/>
                <w:u w:val="none"/>
                <w:lang w:val="en-US" w:eastAsia="zh-CN" w:bidi="ar"/>
              </w:rPr>
              <w:t>即墨市永盛渔船修造厂</w:t>
            </w:r>
          </w:p>
        </w:tc>
        <w:tc>
          <w:tcPr>
            <w:tcW w:w="162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5D162231">
            <w:pPr>
              <w:keepNext w:val="0"/>
              <w:keepLines w:val="0"/>
              <w:widowControl/>
              <w:suppressLineNumbers w:val="0"/>
              <w:jc w:val="center"/>
              <w:textAlignment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olor w:val="000000"/>
                <w:kern w:val="0"/>
                <w:sz w:val="24"/>
                <w:szCs w:val="24"/>
                <w:u w:val="none"/>
                <w:lang w:val="en-US" w:eastAsia="zh-CN" w:bidi="ar"/>
              </w:rPr>
              <w:t>对拆船活动是否污染渔港水域环境进行检查</w:t>
            </w:r>
          </w:p>
        </w:tc>
        <w:tc>
          <w:tcPr>
            <w:tcW w:w="1365"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099CFF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一般检查事项</w:t>
            </w:r>
          </w:p>
        </w:tc>
        <w:tc>
          <w:tcPr>
            <w:tcW w:w="126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428032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color w:val="333333"/>
                <w:sz w:val="24"/>
                <w:szCs w:val="24"/>
                <w:lang w:eastAsia="zh-CN"/>
              </w:rPr>
            </w:pPr>
            <w:r>
              <w:rPr>
                <w:rFonts w:hint="eastAsia" w:ascii="仿宋_GB2312" w:hAnsi="仿宋_GB2312" w:eastAsia="仿宋_GB2312" w:cs="仿宋_GB2312"/>
                <w:i w:val="0"/>
                <w:iCs w:val="0"/>
                <w:caps w:val="0"/>
                <w:color w:val="000000"/>
                <w:spacing w:val="0"/>
                <w:sz w:val="24"/>
                <w:szCs w:val="24"/>
                <w:lang w:val="en-US" w:eastAsia="zh-CN"/>
              </w:rPr>
              <w:t>现场检查</w:t>
            </w:r>
          </w:p>
        </w:tc>
        <w:tc>
          <w:tcPr>
            <w:tcW w:w="1080" w:type="dxa"/>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624B67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i w:val="0"/>
                <w:iCs w:val="0"/>
                <w:caps w:val="0"/>
                <w:color w:val="000000"/>
                <w:spacing w:val="0"/>
                <w:sz w:val="24"/>
                <w:szCs w:val="24"/>
                <w:lang w:eastAsia="zh-CN"/>
              </w:rPr>
            </w:pPr>
            <w:r>
              <w:rPr>
                <w:rFonts w:hint="eastAsia" w:ascii="仿宋_GB2312" w:hAnsi="仿宋_GB2312" w:eastAsia="仿宋_GB2312" w:cs="仿宋_GB2312"/>
                <w:i w:val="0"/>
                <w:iCs w:val="0"/>
                <w:caps w:val="0"/>
                <w:color w:val="000000"/>
                <w:spacing w:val="0"/>
                <w:sz w:val="24"/>
                <w:szCs w:val="24"/>
                <w:lang w:val="en-US" w:eastAsia="zh-CN"/>
              </w:rPr>
              <w:t>100</w:t>
            </w:r>
            <w:r>
              <w:rPr>
                <w:rFonts w:hint="eastAsia" w:ascii="仿宋_GB2312" w:hAnsi="仿宋_GB2312" w:eastAsia="仿宋_GB2312" w:cs="仿宋_GB2312"/>
                <w:i w:val="0"/>
                <w:iCs w:val="0"/>
                <w:caps w:val="0"/>
                <w:color w:val="000000"/>
                <w:spacing w:val="0"/>
                <w:sz w:val="24"/>
                <w:szCs w:val="24"/>
              </w:rPr>
              <w:t>%；</w:t>
            </w:r>
          </w:p>
          <w:p w14:paraId="2113B1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rPr>
                <w:rFonts w:hint="eastAsia" w:ascii="仿宋_GB2312" w:hAnsi="仿宋_GB2312" w:eastAsia="仿宋_GB2312" w:cs="仿宋_GB2312"/>
                <w:color w:val="333333"/>
                <w:sz w:val="24"/>
                <w:szCs w:val="24"/>
              </w:rPr>
            </w:pPr>
            <w:r>
              <w:rPr>
                <w:rFonts w:hint="eastAsia" w:ascii="仿宋_GB2312" w:hAnsi="仿宋_GB2312" w:eastAsia="仿宋_GB2312" w:cs="仿宋_GB2312"/>
                <w:i w:val="0"/>
                <w:iCs w:val="0"/>
                <w:caps w:val="0"/>
                <w:color w:val="000000"/>
                <w:spacing w:val="0"/>
                <w:sz w:val="24"/>
                <w:szCs w:val="24"/>
              </w:rPr>
              <w:t>1次</w:t>
            </w:r>
          </w:p>
        </w:tc>
        <w:tc>
          <w:tcPr>
            <w:tcW w:w="5397" w:type="dxa"/>
            <w:gridSpan w:val="2"/>
            <w:tcBorders>
              <w:top w:val="single" w:color="00000A" w:sz="6" w:space="0"/>
              <w:left w:val="single" w:color="00000A" w:sz="6" w:space="0"/>
              <w:bottom w:val="single" w:color="00000A" w:sz="6" w:space="0"/>
              <w:right w:val="single" w:color="00000A" w:sz="6" w:space="0"/>
            </w:tcBorders>
            <w:shd w:val="clear" w:color="auto" w:fill="FFFFFF"/>
            <w:tcMar>
              <w:left w:w="115" w:type="dxa"/>
              <w:right w:w="115" w:type="dxa"/>
            </w:tcMar>
            <w:vAlign w:val="center"/>
          </w:tcPr>
          <w:p w14:paraId="6E26A9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both"/>
              <w:rPr>
                <w:rFonts w:hint="eastAsia" w:ascii="仿宋_GB2312" w:hAnsi="仿宋_GB2312" w:eastAsia="仿宋_GB2312" w:cs="仿宋_GB2312"/>
                <w:color w:val="333333"/>
                <w:sz w:val="24"/>
                <w:szCs w:val="24"/>
              </w:rPr>
            </w:pPr>
            <w:r>
              <w:rPr>
                <w:rFonts w:hint="eastAsia" w:ascii="仿宋_GB2312" w:hAnsi="仿宋_GB2312" w:eastAsia="仿宋_GB2312" w:cs="仿宋_GB2312"/>
                <w:color w:val="333333"/>
                <w:sz w:val="24"/>
                <w:szCs w:val="24"/>
              </w:rPr>
              <w:t>《防止拆船污染环境管理条例》</w:t>
            </w:r>
            <w:r>
              <w:rPr>
                <w:rFonts w:hint="eastAsia" w:ascii="楷体_GB2312" w:hAnsi="楷体_GB2312" w:eastAsia="楷体_GB2312" w:cs="楷体_GB2312"/>
                <w:color w:val="333333"/>
                <w:sz w:val="22"/>
                <w:szCs w:val="22"/>
              </w:rPr>
              <w:t>（1988年5月国务院发布，2017年3月修订）</w:t>
            </w:r>
            <w:r>
              <w:rPr>
                <w:rFonts w:hint="eastAsia" w:ascii="仿宋_GB2312" w:hAnsi="仿宋_GB2312" w:eastAsia="仿宋_GB2312" w:cs="仿宋_GB2312"/>
                <w:color w:val="333333"/>
                <w:sz w:val="24"/>
                <w:szCs w:val="24"/>
              </w:rPr>
              <w:t>第四条：“国家渔政渔港监督管理部门主管渔港水域拆船的环境保护工作，负责监督拆船活动对沿岸渔业水域的影响，发现污染损害事故后，会同环境保护部门调查处理。县级以上人民政府的环境保护部门、港务监督、国家渔政渔港监督管理部门和军队环境保护部门，在主管本条第一、第二、第三、第四款所确定水域的拆船环境保护工作时，简称“监督拆船污染的主管部门”。”第七条：“监督拆船污染的主管部门有权对拆船单位的拆船活动进行检查，被检查单位必须如实反映情况，提供必要的资料。监督拆船污染的主管部门有义务为被检查单位保守技术和业务秘密。</w:t>
            </w:r>
          </w:p>
        </w:tc>
      </w:tr>
      <w:tr w14:paraId="02F76A3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gridAfter w:val="1"/>
          <w:wAfter w:w="9" w:type="dxa"/>
          <w:trHeight w:val="4668" w:hRule="atLeast"/>
          <w:jc w:val="center"/>
        </w:trPr>
        <w:tc>
          <w:tcPr>
            <w:tcW w:w="453" w:type="dxa"/>
            <w:shd w:val="clear" w:color="auto" w:fill="FFFFFF"/>
            <w:vAlign w:val="center"/>
          </w:tcPr>
          <w:p w14:paraId="30D1D1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leftChars="0" w:right="0" w:rightChars="0"/>
              <w:jc w:val="cente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2</w:t>
            </w:r>
          </w:p>
        </w:tc>
        <w:tc>
          <w:tcPr>
            <w:tcW w:w="1030" w:type="dxa"/>
            <w:shd w:val="clear" w:color="auto" w:fill="FFFFFF"/>
            <w:vAlign w:val="center"/>
          </w:tcPr>
          <w:p w14:paraId="213C7D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leftChars="0" w:right="0" w:rightChars="0"/>
              <w:jc w:val="center"/>
              <w:rPr>
                <w:rFonts w:hint="eastAsia" w:ascii="仿宋_GB2312" w:hAnsi="仿宋_GB2312" w:eastAsia="仿宋_GB2312" w:cs="仿宋_GB2312"/>
                <w:i w:val="0"/>
                <w:iCs w:val="0"/>
                <w:caps w:val="0"/>
                <w:color w:val="000000"/>
                <w:spacing w:val="0"/>
                <w:kern w:val="0"/>
                <w:sz w:val="24"/>
                <w:szCs w:val="24"/>
                <w:lang w:val="en-US" w:eastAsia="zh-CN" w:bidi="ar"/>
              </w:rPr>
            </w:pPr>
            <w:r>
              <w:rPr>
                <w:rFonts w:hint="eastAsia" w:ascii="仿宋_GB2312" w:hAnsi="仿宋_GB2312" w:eastAsia="仿宋_GB2312" w:cs="仿宋_GB2312"/>
                <w:i w:val="0"/>
                <w:iCs w:val="0"/>
                <w:caps w:val="0"/>
                <w:color w:val="000000"/>
                <w:spacing w:val="0"/>
                <w:sz w:val="24"/>
                <w:szCs w:val="24"/>
              </w:rPr>
              <w:t>青岛市即墨区</w:t>
            </w:r>
            <w:r>
              <w:rPr>
                <w:rFonts w:hint="eastAsia" w:ascii="仿宋_GB2312" w:hAnsi="仿宋_GB2312" w:eastAsia="仿宋_GB2312" w:cs="仿宋_GB2312"/>
                <w:i w:val="0"/>
                <w:iCs w:val="0"/>
                <w:caps w:val="0"/>
                <w:color w:val="000000"/>
                <w:spacing w:val="0"/>
                <w:sz w:val="24"/>
                <w:szCs w:val="24"/>
                <w:lang w:eastAsia="zh-CN"/>
              </w:rPr>
              <w:t>海洋发展</w:t>
            </w:r>
            <w:r>
              <w:rPr>
                <w:rFonts w:hint="eastAsia" w:ascii="仿宋_GB2312" w:hAnsi="仿宋_GB2312" w:eastAsia="仿宋_GB2312" w:cs="仿宋_GB2312"/>
                <w:i w:val="0"/>
                <w:iCs w:val="0"/>
                <w:caps w:val="0"/>
                <w:color w:val="000000"/>
                <w:spacing w:val="0"/>
                <w:sz w:val="24"/>
                <w:szCs w:val="24"/>
              </w:rPr>
              <w:t>局</w:t>
            </w:r>
          </w:p>
        </w:tc>
        <w:tc>
          <w:tcPr>
            <w:tcW w:w="1245" w:type="dxa"/>
            <w:shd w:val="clear" w:color="auto" w:fill="FFFFFF"/>
            <w:vAlign w:val="center"/>
          </w:tcPr>
          <w:p w14:paraId="607A2DC0">
            <w:pPr>
              <w:keepNext w:val="0"/>
              <w:keepLines w:val="0"/>
              <w:widowControl/>
              <w:suppressLineNumbers w:val="0"/>
              <w:jc w:val="center"/>
              <w:textAlignment w:val="center"/>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对水生野生动物保护执法监督检查</w:t>
            </w:r>
          </w:p>
        </w:tc>
        <w:tc>
          <w:tcPr>
            <w:tcW w:w="1110" w:type="dxa"/>
            <w:shd w:val="clear" w:color="auto" w:fill="FFFFFF"/>
            <w:vAlign w:val="center"/>
          </w:tcPr>
          <w:p w14:paraId="035ED196">
            <w:pPr>
              <w:keepNext w:val="0"/>
              <w:keepLines w:val="0"/>
              <w:widowControl/>
              <w:suppressLineNumbers w:val="0"/>
              <w:jc w:val="center"/>
              <w:textAlignment w:val="center"/>
              <w:rPr>
                <w:rFonts w:hint="eastAsia" w:ascii="仿宋_GB2312" w:hAnsi="仿宋_GB2312" w:eastAsia="仿宋_GB2312" w:cs="仿宋_GB2312"/>
                <w:i w:val="0"/>
                <w:iCs w:val="0"/>
                <w:caps w:val="0"/>
                <w:color w:val="333333"/>
                <w:spacing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即墨区嘎啦和屋子工艺品店</w:t>
            </w:r>
            <w:r>
              <w:rPr>
                <w:rFonts w:hint="eastAsia" w:ascii="楷体_GB2312" w:hAnsi="楷体_GB2312" w:eastAsia="楷体_GB2312" w:cs="楷体_GB2312"/>
                <w:color w:val="333333"/>
                <w:kern w:val="0"/>
                <w:sz w:val="22"/>
                <w:szCs w:val="22"/>
                <w:lang w:val="en-US" w:eastAsia="zh-CN" w:bidi="ar"/>
              </w:rPr>
              <w:t>（个体工商户）</w:t>
            </w:r>
          </w:p>
        </w:tc>
        <w:tc>
          <w:tcPr>
            <w:tcW w:w="1620" w:type="dxa"/>
            <w:shd w:val="clear" w:color="auto" w:fill="FFFFFF"/>
            <w:vAlign w:val="center"/>
          </w:tcPr>
          <w:p w14:paraId="1BD7D0DC">
            <w:pPr>
              <w:keepNext w:val="0"/>
              <w:keepLines w:val="0"/>
              <w:widowControl/>
              <w:suppressLineNumbers w:val="0"/>
              <w:jc w:val="center"/>
              <w:textAlignment w:val="center"/>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olor w:val="000000"/>
                <w:kern w:val="0"/>
                <w:sz w:val="24"/>
                <w:szCs w:val="24"/>
                <w:u w:val="none"/>
                <w:lang w:val="en-US" w:eastAsia="zh-CN" w:bidi="ar"/>
              </w:rPr>
              <w:t>从事猎捕活动取得特许猎捕证的情况，从事驯养繁殖取得人工繁育许可证的情况，从事经营活动取得经营利用许可证和使用专用标识的情况，从事进出口活动取得经营利用许可证的情况，猎捕、繁育、经营管理、进出口活动是否符合相应的条件等。</w:t>
            </w:r>
          </w:p>
        </w:tc>
        <w:tc>
          <w:tcPr>
            <w:tcW w:w="1365" w:type="dxa"/>
            <w:shd w:val="clear" w:color="auto" w:fill="FFFFFF"/>
            <w:vAlign w:val="center"/>
          </w:tcPr>
          <w:p w14:paraId="1B07E9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leftChars="0" w:right="0" w:rightChars="0"/>
              <w:jc w:val="center"/>
              <w:rPr>
                <w:rFonts w:hint="eastAsia" w:ascii="仿宋_GB2312" w:hAnsi="仿宋_GB2312" w:eastAsia="仿宋_GB2312" w:cs="仿宋_GB2312"/>
                <w:i w:val="0"/>
                <w:iCs w:val="0"/>
                <w:caps w:val="0"/>
                <w:color w:val="000000"/>
                <w:spacing w:val="0"/>
                <w:kern w:val="0"/>
                <w:sz w:val="24"/>
                <w:szCs w:val="24"/>
                <w:lang w:val="en-US" w:eastAsia="zh-CN" w:bidi="ar"/>
              </w:rPr>
            </w:pPr>
            <w:r>
              <w:rPr>
                <w:rFonts w:hint="eastAsia" w:ascii="仿宋_GB2312" w:hAnsi="仿宋_GB2312" w:eastAsia="仿宋_GB2312" w:cs="仿宋_GB2312"/>
                <w:i w:val="0"/>
                <w:iCs w:val="0"/>
                <w:caps w:val="0"/>
                <w:color w:val="000000"/>
                <w:spacing w:val="0"/>
                <w:sz w:val="24"/>
                <w:szCs w:val="24"/>
              </w:rPr>
              <w:t>一般检查事项</w:t>
            </w:r>
          </w:p>
        </w:tc>
        <w:tc>
          <w:tcPr>
            <w:tcW w:w="1260" w:type="dxa"/>
            <w:shd w:val="clear" w:color="auto" w:fill="FFFFFF"/>
            <w:vAlign w:val="center"/>
          </w:tcPr>
          <w:p w14:paraId="45712C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leftChars="0" w:right="0" w:rightChars="0"/>
              <w:jc w:val="center"/>
              <w:rPr>
                <w:rFonts w:hint="eastAsia" w:ascii="仿宋_GB2312" w:hAnsi="仿宋_GB2312" w:eastAsia="仿宋_GB2312" w:cs="仿宋_GB2312"/>
                <w:i w:val="0"/>
                <w:iCs w:val="0"/>
                <w:caps w:val="0"/>
                <w:color w:val="000000"/>
                <w:spacing w:val="0"/>
                <w:kern w:val="0"/>
                <w:sz w:val="24"/>
                <w:szCs w:val="24"/>
                <w:lang w:val="en-US" w:eastAsia="zh-CN" w:bidi="ar"/>
              </w:rPr>
            </w:pPr>
            <w:r>
              <w:rPr>
                <w:rFonts w:hint="eastAsia" w:ascii="仿宋_GB2312" w:hAnsi="仿宋_GB2312" w:eastAsia="仿宋_GB2312" w:cs="仿宋_GB2312"/>
                <w:i w:val="0"/>
                <w:iCs w:val="0"/>
                <w:caps w:val="0"/>
                <w:color w:val="000000"/>
                <w:spacing w:val="0"/>
                <w:sz w:val="24"/>
                <w:szCs w:val="24"/>
                <w:lang w:val="en-US" w:eastAsia="zh-CN"/>
              </w:rPr>
              <w:t>现场检查</w:t>
            </w:r>
            <w:bookmarkStart w:id="0" w:name="_GoBack"/>
            <w:bookmarkEnd w:id="0"/>
          </w:p>
        </w:tc>
        <w:tc>
          <w:tcPr>
            <w:tcW w:w="1080" w:type="dxa"/>
            <w:shd w:val="clear" w:color="auto" w:fill="FFFFFF"/>
            <w:vAlign w:val="center"/>
          </w:tcPr>
          <w:p w14:paraId="412E69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leftChars="0" w:right="0" w:rightChars="0"/>
              <w:jc w:val="center"/>
              <w:rPr>
                <w:rFonts w:hint="eastAsia" w:ascii="仿宋_GB2312" w:hAnsi="仿宋_GB2312" w:eastAsia="仿宋_GB2312" w:cs="仿宋_GB2312"/>
                <w:i w:val="0"/>
                <w:iCs w:val="0"/>
                <w:caps w:val="0"/>
                <w:color w:val="000000"/>
                <w:spacing w:val="0"/>
                <w:sz w:val="24"/>
                <w:szCs w:val="24"/>
                <w:lang w:val="en-US" w:eastAsia="zh-CN"/>
              </w:rPr>
            </w:pPr>
            <w:r>
              <w:rPr>
                <w:rFonts w:hint="eastAsia" w:ascii="仿宋_GB2312" w:hAnsi="仿宋_GB2312" w:eastAsia="仿宋_GB2312" w:cs="仿宋_GB2312"/>
                <w:i w:val="0"/>
                <w:iCs w:val="0"/>
                <w:caps w:val="0"/>
                <w:color w:val="000000"/>
                <w:spacing w:val="0"/>
                <w:sz w:val="24"/>
                <w:szCs w:val="24"/>
                <w:lang w:val="en-US" w:eastAsia="zh-CN"/>
              </w:rPr>
              <w:t>20%；1次</w:t>
            </w:r>
          </w:p>
        </w:tc>
        <w:tc>
          <w:tcPr>
            <w:tcW w:w="5388" w:type="dxa"/>
            <w:shd w:val="clear" w:color="auto" w:fill="FFFFFF"/>
            <w:vAlign w:val="center"/>
          </w:tcPr>
          <w:p w14:paraId="0A483D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leftChars="0" w:right="0" w:rightChars="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中华人民共和国野生动物保护法》第七条：“国务院林业草原、渔业主管部门分别主管全国陆生、水生野生动物保护工作。县级以上地方人民政府对本行政区域内野生动物保护工作负责，其林业草原、渔业主管部门分别主管本行政区域内陆生、水生野生动物保护工作。县级以上人民政府有关部门按照职责分工，负责野生动物保护相关工作。”；第三十五条：“县级以上人民政府野生动物保护主管部门应当对科学研究、人工繁育、公众展示展演等利用野生动物及其制品的活动进行规范和监督管理。市场监督管理、海关、铁路、道路、水运、民航、邮政等部门应当按照职责分工对野生动物及其制品交易、利用、运输、携带、寄递等活动进行监督检查”</w:t>
            </w:r>
            <w:r>
              <w:rPr>
                <w:rFonts w:hint="eastAsia" w:ascii="仿宋_GB2312" w:hAnsi="仿宋_GB2312" w:eastAsia="仿宋_GB2312" w:cs="仿宋_GB2312"/>
                <w:sz w:val="24"/>
                <w:szCs w:val="24"/>
                <w:lang w:eastAsia="zh-CN"/>
              </w:rPr>
              <w:t>；</w:t>
            </w:r>
          </w:p>
          <w:p w14:paraId="7AF6CC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leftChars="0" w:right="0" w:rightChars="0"/>
              <w:jc w:val="both"/>
              <w:rPr>
                <w:rFonts w:hint="eastAsia" w:ascii="仿宋_GB2312" w:hAnsi="仿宋_GB2312" w:eastAsia="仿宋_GB2312" w:cs="仿宋_GB2312"/>
                <w:color w:val="333333"/>
                <w:sz w:val="24"/>
                <w:szCs w:val="24"/>
              </w:rPr>
            </w:pPr>
            <w:r>
              <w:rPr>
                <w:rFonts w:hint="eastAsia" w:ascii="仿宋_GB2312" w:hAnsi="仿宋_GB2312" w:eastAsia="仿宋_GB2312" w:cs="仿宋_GB2312"/>
                <w:sz w:val="24"/>
                <w:szCs w:val="24"/>
              </w:rPr>
              <w:t>2.《水生野生动物保护实施条例》</w:t>
            </w:r>
            <w:r>
              <w:rPr>
                <w:rFonts w:hint="eastAsia" w:ascii="楷体_GB2312" w:hAnsi="楷体_GB2312" w:eastAsia="楷体_GB2312" w:cs="楷体_GB2312"/>
                <w:color w:val="333333"/>
                <w:sz w:val="22"/>
                <w:szCs w:val="22"/>
              </w:rPr>
              <w:t>（1993年10月农业部令第1号，2013年12月修订）</w:t>
            </w:r>
            <w:r>
              <w:rPr>
                <w:rFonts w:hint="eastAsia" w:ascii="仿宋_GB2312" w:hAnsi="仿宋_GB2312" w:eastAsia="仿宋_GB2312" w:cs="仿宋_GB2312"/>
                <w:sz w:val="24"/>
                <w:szCs w:val="24"/>
              </w:rPr>
              <w:t>第三条：“国务院渔业行政主管部门主管全国全国水野生动物管理工作；县级以上地方人民政府渔业行政主管部门主管本行政区域内水生野生动物管理工作；《野生动物保护法》和本条例规定的渔业行政主管部门的行政处罚权，可以由其所属的渔政监督管理机构行使。”</w:t>
            </w:r>
          </w:p>
        </w:tc>
      </w:tr>
    </w:tbl>
    <w:p w14:paraId="4695E0FA">
      <w:pPr>
        <w:spacing w:line="240" w:lineRule="auto"/>
        <w:rPr>
          <w:rFonts w:hint="eastAsia" w:ascii="仿宋_GB2312" w:hAnsi="仿宋_GB2312" w:eastAsia="仿宋_GB2312" w:cs="仿宋_GB2312"/>
          <w:sz w:val="21"/>
          <w:szCs w:val="21"/>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2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iODUyMTkzM2IyY2JhMjA3YzgwYzk4MWFmYWMzNDkifQ=="/>
  </w:docVars>
  <w:rsids>
    <w:rsidRoot w:val="00000000"/>
    <w:rsid w:val="10635FD1"/>
    <w:rsid w:val="1CCE1597"/>
    <w:rsid w:val="2A741A1F"/>
    <w:rsid w:val="2FD01B17"/>
    <w:rsid w:val="30DD09BE"/>
    <w:rsid w:val="35471228"/>
    <w:rsid w:val="4CA11D04"/>
    <w:rsid w:val="4E9C2D43"/>
    <w:rsid w:val="50D04559"/>
    <w:rsid w:val="53E66088"/>
    <w:rsid w:val="609F079B"/>
    <w:rsid w:val="7EA00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1007</Words>
  <Characters>1028</Characters>
  <Lines>0</Lines>
  <Paragraphs>0</Paragraphs>
  <TotalTime>26</TotalTime>
  <ScaleCrop>false</ScaleCrop>
  <LinksUpToDate>false</LinksUpToDate>
  <CharactersWithSpaces>1028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2022-06-29T08:22:00Z</dcterms:created>
  <dc:creator>Administrator</dc:creator>
  <cp:lastModifiedBy>011</cp:lastModifiedBy>
  <dcterms:modified xsi:type="dcterms:W3CDTF">2025-12-10T09:19:04Z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2CFD9738172E485BA8A5BC99AF810E37_13</vt:lpwstr>
  </property>
  <property fmtid="{D5CDD505-2E9C-101B-9397-08002B2CF9AE}" pid="4" name="KSOTemplateDocerSaveRecord">
    <vt:lpwstr>eyJoZGlkIjoiNjcxZTc0NzgyNTBjNWVjMzI2MzdkNWNlNjZiZDBjMGYiLCJ1c2VySWQiOiI4NjIwODc3NDIifQ==</vt:lpwstr>
  </property>
</Properties>
</file>